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工商银行智能研究项目</w:t>
      </w:r>
    </w:p>
    <w:p>
      <w:pPr>
        <w:pStyle w:val="Subtitle"/>
      </w:pPr>
      <w:r>
        <w:t>商业计划书与参赛 PPT 内容素材</w:t>
      </w:r>
    </w:p>
    <w:p>
      <w:pPr>
        <w:spacing w:after="100"/>
      </w:pPr>
      <w:r>
        <w:rPr>
          <w:color w:val="555555"/>
          <w:sz w:val="18"/>
        </w:rPr>
        <w:t>数据与成果核验日期  2026年10月3日</w:t>
      </w:r>
    </w:p>
    <w:p>
      <w:r>
        <w:t>项目已形成面向工商银行的多信号研究原型，将价格趋势、新闻情绪、技术指标和数据质量检查组织成可解释的分析报告。现阶段能够证明的是数据接入、研究流程与结果复核能力；AI 模型的持续超额收益和商业收入仍需验证。</w:t>
      </w:r>
    </w:p>
    <w:p>
      <w:pPr>
        <w:pStyle w:val="Heading1"/>
      </w:pPr>
      <w:r>
        <w:t>1 项目定位与展示重点</w:t>
      </w:r>
    </w:p>
    <w:p>
      <w:r>
        <w:t>面向金融研究和教学场景，为用户提供有依据、可复核的股票研究辅助报告。以工商银行 A 股为已验证样本，同时配置港股入口，逐步验证多市场研究能力。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200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21"/>
              </w:rPr>
              <w:t>可展示成果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已核实事实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历史数据基础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4,584 条 A 股日线记录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最新联网验证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1,636 条日线  2020年1月至2026年9月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近期新闻覆盖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28 个日期聚合记录  92 条新闻计数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研究信号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价格预测  新闻情绪  技术指标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结果验证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120 个滚动回测样本  40 项自动化测试</w:t>
            </w:r>
          </w:p>
        </w:tc>
      </w:tr>
    </w:tbl>
    <w:p>
      <w:pPr>
        <w:spacing w:after="40"/>
      </w:pPr>
    </w:p>
    <w:p>
      <w:pPr>
        <w:pStyle w:val="Heading2"/>
      </w:pPr>
      <w:r>
        <w:t>可用于项目介绍的简短表述</w:t>
      </w:r>
    </w:p>
    <w:p>
      <w:r>
        <w:t>本项目以工商银行为研究样本，构建融合时间序列预测、新闻舆情与技术指标的智能研究辅助工具。系统能够生成带有分项依据和数据质量标记的分析报告，并通过滚动回测检验研究假设。我们优先展示真实数据、可解释结果和可复核的验证过程，逐步建立面向金融教学与研究团队的产品能力。</w:t>
      </w:r>
    </w:p>
    <w:p>
      <w:pPr>
        <w:spacing w:after="100"/>
      </w:pPr>
      <w:r>
        <w:rPr>
          <w:color w:val="555555"/>
          <w:sz w:val="18"/>
        </w:rPr>
        <w:t>展示重点：数据规模、研究报告的解释能力、真实交易日处理、失败回退与结果对照。当前成果属于原型验证阶段。</w:t>
      </w:r>
    </w:p>
    <w:p>
      <w:pPr>
        <w:pStyle w:val="Heading1"/>
        <w:pageBreakBefore/>
      </w:pPr>
      <w:r>
        <w:t>2 可用于展示的数据基础</w:t>
      </w:r>
    </w:p>
    <w:p>
      <w:r>
        <w:t>历史样本用于长期价格研究，近期数据用于验证持续更新与新闻分析。两组行情存在日期重叠，应分别展示，不能直接相加后作为独立样本总量。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872"/>
        <w:gridCol w:w="5616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21"/>
              </w:rPr>
              <w:t>数据组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规模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时间范围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历史 A 股行情 [S1]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4,584 条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2006年10月27日至2025年10月10日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历史舆情聚合 [S2]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75 个日期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2012年9月27日至2025年10月10日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最新验证行情 [S3]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1,636 条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2020年1月2日至2026年9月30日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近期舆情聚合 [S4]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28 个日期</w:t>
            </w:r>
          </w:p>
        </w:tc>
        <w:tc>
          <w:tcPr>
            <w:tcW w:type="dxa" w:w="56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2026年9月1日至2026年9月30日</w:t>
            </w:r>
          </w:p>
        </w:tc>
      </w:tr>
    </w:tbl>
    <w:p>
      <w:pPr>
        <w:spacing w:after="40"/>
      </w:pPr>
    </w:p>
    <w:p>
      <w:pPr>
        <w:pStyle w:val="Heading2"/>
      </w:pPr>
      <w:r>
        <w:t>新闻数量的准确表述</w:t>
      </w:r>
    </w:p>
    <w:p>
      <w:r>
        <w:t>历史舆情表的新闻量合计为 98，近期舆情表的新闻量合计为 92。近期结果可以表述为“近一个月形成 28 个日期的舆情聚合记录，新闻量合计 92 条”。这代表聚合表记录的有效新闻计数，不代表保存了 92 篇全文或 92 家媒体来源。</w:t>
      </w:r>
    </w:p>
    <w:p>
      <w:pPr>
        <w:pStyle w:val="Heading2"/>
      </w:pPr>
      <w:r>
        <w:t>数据质量的可验证成果</w:t>
      </w:r>
    </w:p>
    <w:p>
      <w:pPr>
        <w:pStyle w:val="ListBullet"/>
      </w:pPr>
      <w:r>
        <w:t>2026年10月3日的联网验证中，行情截至2026年9月30日，与最后已收盘交易日一致，请求区间缺失交易日为 0。[S5]</w:t>
      </w:r>
    </w:p>
    <w:p>
      <w:pPr>
        <w:pStyle w:val="ListBullet"/>
      </w:pPr>
      <w:r>
        <w:t>后续研究日期为2026年10月8日、10月9日和10月12日，已跳过国庆休市及周末。[S5]</w:t>
      </w:r>
    </w:p>
    <w:p>
      <w:pPr>
        <w:pStyle w:val="ListBullet"/>
      </w:pPr>
      <w:r>
        <w:t>报告区分生成时间与行情截至日期；过期或不完整的行情暂停生成买卖评级。</w:t>
      </w:r>
    </w:p>
    <w:p>
      <w:pPr>
        <w:pStyle w:val="Heading2"/>
      </w:pPr>
      <w:r>
        <w:t>可直接写入计划书的表述</w:t>
      </w:r>
    </w:p>
    <w:p>
      <w:r>
        <w:t>项目已具备覆盖长期历史价格与近期新闻情绪的数据基础。历史行情包含 4,584 条交易记录；近期联网验证获取 1,636 条行情，在指定研究区间内未发现交易日期缺失。系统同时形成近一个月的新闻情绪聚合结果，为价格、情绪与技术指标的联合研究提供数据支撑。</w:t>
      </w:r>
    </w:p>
    <w:p>
      <w:pPr>
        <w:spacing w:after="100"/>
      </w:pPr>
      <w:r>
        <w:rPr>
          <w:color w:val="555555"/>
          <w:sz w:val="18"/>
        </w:rPr>
        <w:t>数据口径：记录条数为清洗后 CSV 行数；新闻量为舆情聚合表 volume 字段求和。数据组之间不做简单累加。</w:t>
      </w:r>
    </w:p>
    <w:p>
      <w:pPr>
        <w:pStyle w:val="Heading1"/>
        <w:pageBreakBefore/>
      </w:pPr>
      <w:r>
        <w:t>3 产品能力与实际案例</w:t>
      </w:r>
    </w:p>
    <w:p>
      <w:pPr>
        <w:pStyle w:val="Heading2"/>
      </w:pPr>
      <w:r>
        <w:t>已实现的研究能力</w:t>
      </w:r>
    </w:p>
    <w:p>
      <w:pPr>
        <w:pStyle w:val="ListBullet"/>
      </w:pPr>
      <w:r>
        <w:t>联合观察价格趋势、新闻情绪与技术指标，将分散的研究信号组织到同一份报告。</w:t>
      </w:r>
    </w:p>
    <w:p>
      <w:pPr>
        <w:pStyle w:val="ListBullet"/>
      </w:pPr>
      <w:r>
        <w:t>展示综合分与各分项依据，便于解释不同信号为什么支持或反对同一结论。</w:t>
      </w:r>
    </w:p>
    <w:p>
      <w:pPr>
        <w:pStyle w:val="ListBullet"/>
      </w:pPr>
      <w:r>
        <w:t>检查舆情异常下降、均线与 RSI 风险条件，以及成交量与 MACD 联合信号。</w:t>
      </w:r>
    </w:p>
    <w:p>
      <w:pPr>
        <w:pStyle w:val="ListBullet"/>
      </w:pPr>
      <w:r>
        <w:t>标明数据新旧程度和缺失情况，在数据不足时暂停给出买卖评级。</w:t>
      </w:r>
    </w:p>
    <w:p>
      <w:pPr>
        <w:pStyle w:val="ListBullet"/>
      </w:pPr>
      <w:r>
        <w:t>通过相同样本和成本假设比较策略与买入持有，提供可复核的实验结果。</w:t>
      </w:r>
    </w:p>
    <w:p>
      <w:pPr>
        <w:pStyle w:val="Heading2"/>
      </w:pPr>
      <w:r>
        <w:t>工商银行 A 股报告案例</w:t>
      </w:r>
    </w:p>
    <w:p>
      <w:r>
        <w:t>以下为2026年10月3日生成、行情截至2026年9月30日的联网报告。此案例使用最后收盘价基准，展示的是研究流程与解释能力，不代表新一次 TimesFM 推理。[S5]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576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21"/>
              </w:rPr>
              <w:t>观察项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案例结果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展示意义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最近收盘价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8.28 元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明确当前样本的价格基准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舆情分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−0.449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近期新闻情绪偏负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技术分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+0.100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技术面信号略偏正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综合分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−0.092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综合信号强度不足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研究评级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观望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保留信号分歧而非强行给出方向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未来观测日期</w:t>
            </w:r>
          </w:p>
        </w:tc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10/8  10/9  10/12</w:t>
            </w:r>
          </w:p>
        </w:tc>
        <w:tc>
          <w:tcPr>
            <w:tcW w:type="dxa" w:w="57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按真实交易日组织后续研究</w:t>
            </w:r>
          </w:p>
        </w:tc>
      </w:tr>
    </w:tbl>
    <w:p>
      <w:pPr>
        <w:spacing w:after="40"/>
      </w:pPr>
    </w:p>
    <w:p>
      <w:pPr>
        <w:pStyle w:val="Heading2"/>
      </w:pPr>
      <w:r>
        <w:t>适合路演时讲解的价值</w:t>
      </w:r>
    </w:p>
    <w:p>
      <w:r>
        <w:t>案例中，新闻情绪与技术面方向并不一致，系统将两者分别呈现并生成“观望”结果。用户可以看到结论由哪些信号组成，而不是只接收一个无法解释的买卖标签。数据日期和交易日安排也随报告展示，便于检查分析是否仍然适用。</w:t>
      </w:r>
    </w:p>
    <w:p>
      <w:r>
        <w:t>报告中的条件检查在每次运行时评估；持续监控、图形界面和自动交易属于后续产品规划。</w:t>
      </w:r>
    </w:p>
    <w:p>
      <w:pPr>
        <w:pStyle w:val="Heading1"/>
        <w:pageBreakBefore/>
      </w:pPr>
      <w:r>
        <w:t>4 已验证的效果与研究结论</w:t>
      </w:r>
    </w:p>
    <w:p>
      <w:r>
        <w:t>滚动回测使用最后收盘价预测基准，预测未来 3 条交易观测的均价；不包含舆情回测。信号日期覆盖2025年4月9日至9月29日，收益观测截至10月9日；共120个样本，每边成本0.1%。[S6][S7]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744"/>
        <w:gridCol w:w="2880"/>
      </w:tblGrid>
      <w:tr>
        <w:trPr>
          <w:cantSplit/>
          <w:tblHeader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基准策略结果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买入持有对照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均价预测 MAE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0.0748 元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不适用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均价预测 RMSE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0.0964 元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不适用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均价预测 MAPE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1.02%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不适用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累计净收益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+0.34%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+10.37%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最大回撤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−4.28%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−9.23%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方向准确率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0%  共118个有效样本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不适用</w:t>
            </w:r>
          </w:p>
        </w:tc>
      </w:tr>
      <w:tr>
        <w:trPr>
          <w:cantSplit/>
        </w:trPr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持仓观测与仓位变化</w:t>
            </w:r>
          </w:p>
        </w:tc>
        <w:tc>
          <w:tcPr>
            <w:tcW w:type="dxa" w:w="374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16 个观测  10 次变化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区间持续持有</w:t>
            </w:r>
          </w:p>
        </w:tc>
      </w:tr>
    </w:tbl>
    <w:p>
      <w:pPr>
        <w:spacing w:after="40"/>
      </w:pPr>
    </w:p>
    <w:p>
      <w:r>
        <w:drawing>
          <wp:inline xmlns:a="http://schemas.openxmlformats.org/drawingml/2006/main" xmlns:pic="http://schemas.openxmlformats.org/drawingml/2006/picture">
            <wp:extent cx="6400800" cy="2247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cktes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47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结果解释：本样本中，基准策略收益较低，同时最大回撤幅度较小。策略与买入持有的回撤幅度相差约4.94个百分点，收益相差约10.03个百分点；尚不能据此证明策略更优或具有稳定超额收益。</w:t>
      </w:r>
    </w:p>
    <w:p>
      <w:pPr>
        <w:spacing w:after="100"/>
      </w:pPr>
      <w:r>
        <w:rPr>
          <w:color w:val="555555"/>
          <w:sz w:val="18"/>
        </w:rPr>
        <w:t>MAPE 1.02% 是价格相对误差，不能转换为“预测准确率98.98%”。naive 始终预测价格持平，方向准确率为0%不代表 TimesFM 的方向预测能力。</w:t>
      </w:r>
    </w:p>
    <w:p>
      <w:pPr>
        <w:pStyle w:val="Heading1"/>
        <w:pageBreakBefore/>
      </w:pPr>
      <w:r>
        <w:t>5 商业化场景与价值假设</w:t>
      </w:r>
    </w:p>
    <w:p>
      <w:r>
        <w:t>建议先面向教学和研究辅助场景验证需求，再评估机构服务。这些是商业化方案，不代表已获得客户、收入或机构合作。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3888"/>
        <w:gridCol w:w="3600"/>
      </w:tblGrid>
      <w:tr>
        <w:trPr>
          <w:cantSplit/>
          <w:tblHeader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</w:pPr>
            <w:r>
              <w:rPr>
                <w:b/>
                <w:color w:val="FFFFFF"/>
                <w:sz w:val="21"/>
              </w:rPr>
              <w:t>拟服务群体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可交付内容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294968"/>
          </w:tcPr>
          <w:p>
            <w:pPr>
              <w:spacing w:after="20" w:line="276" w:lineRule="auto"/>
              <w:jc w:val="center"/>
            </w:pPr>
            <w:r>
              <w:rPr>
                <w:b/>
                <w:color w:val="FFFFFF"/>
                <w:sz w:val="21"/>
              </w:rPr>
              <w:t>需验证的价值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高校金融课程与竞赛团队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案例数据  分析报告  策略对照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是否帮助学生理解研究方法与结果边界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小型研究团队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统一的信号报告与复核记录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1F5F8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是否减少重复整理并提高结果复核效率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</w:pPr>
            <w:r>
              <w:rPr>
                <w:b w:val="0"/>
                <w:color w:val="000000"/>
                <w:sz w:val="21"/>
              </w:rPr>
              <w:t>机构研究或培训部门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专题研究模块与内部研究样本</w:t>
            </w:r>
          </w:p>
        </w:tc>
        <w:tc>
          <w:tcPr>
            <w:tcW w:type="dxa" w:w="36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line="276" w:lineRule="auto"/>
              <w:jc w:val="center"/>
            </w:pPr>
            <w:r>
              <w:rPr>
                <w:b w:val="0"/>
                <w:color w:val="000000"/>
                <w:sz w:val="21"/>
              </w:rPr>
              <w:t>是否满足其数据范围和交付要求</w:t>
            </w:r>
          </w:p>
        </w:tc>
      </w:tr>
    </w:tbl>
    <w:p>
      <w:pPr>
        <w:spacing w:after="40"/>
      </w:pPr>
    </w:p>
    <w:p>
      <w:pPr>
        <w:pStyle w:val="Heading2"/>
      </w:pPr>
      <w:r>
        <w:t>可探索的收入模式</w:t>
      </w:r>
    </w:p>
    <w:p>
      <w:pPr>
        <w:pStyle w:val="ListBullet"/>
      </w:pPr>
      <w:r>
        <w:t>教学案例服务：提供课程案例包、研究实验素材和专题实践内容，按项目或课程交付。</w:t>
      </w:r>
    </w:p>
    <w:p>
      <w:pPr>
        <w:pStyle w:val="ListBullet"/>
      </w:pPr>
      <w:r>
        <w:t>研究辅助订阅：围绕标的覆盖、报告频次与团队协作提供分级服务，先验证使用频率与付费意愿。</w:t>
      </w:r>
    </w:p>
    <w:p>
      <w:pPr>
        <w:pStyle w:val="ListBullet"/>
      </w:pPr>
      <w:r>
        <w:t>机构定制服务：根据研究范围和报告要求交付定制模块，是否适合该模式需通过试点确认。</w:t>
      </w:r>
    </w:p>
    <w:p>
      <w:pPr>
        <w:pStyle w:val="Heading2"/>
      </w:pPr>
      <w:r>
        <w:t>差异化可以怎样表达</w:t>
      </w:r>
    </w:p>
    <w:p>
      <w:r>
        <w:t>项目的现有特点是将多类研究信号、数据质量判断与结果对照结合起来。可展示的差异集中在报告解释能力、信号分歧处理和研究过程可复核性。核心时序预测采用外部预训练模型；项目自身的贡献在数据处理、融合规则、报告组织和验证流程。</w:t>
      </w:r>
    </w:p>
    <w:p>
      <w:pPr>
        <w:pStyle w:val="Heading2"/>
      </w:pPr>
      <w:r>
        <w:t>商业价值的衡量方式</w:t>
      </w:r>
    </w:p>
    <w:p>
      <w:r>
        <w:t>后续试点应记录用户整理同一份研究报告的耗时、识别过期数据的能力、结果复核耗时、报告重复使用率和付费意愿。效率提升、用户满意度、客户转化率和收入规模均需通过实际试点形成证据。</w:t>
      </w:r>
    </w:p>
    <w:p>
      <w:r>
        <w:t>当前可以展示减少重复整理的潜力；效率提升、付费转化和收入数据需由实际试点补齐。</w:t>
      </w:r>
    </w:p>
    <w:p>
      <w:pPr>
        <w:pStyle w:val="Heading1"/>
        <w:pageBreakBefore/>
      </w:pPr>
      <w:r>
        <w:t>6 商业计划书可复用正文</w:t>
      </w:r>
    </w:p>
    <w:p>
      <w:pPr>
        <w:pStyle w:val="Heading2"/>
      </w:pPr>
      <w:r>
        <w:t>项目概述</w:t>
      </w:r>
    </w:p>
    <w:p>
      <w:r>
        <w:t>本项目面向金融教学与研究场景，以工商银行为初始样本，将价格预测、新闻情绪和技术指标融合为研究报告。报告展示分项依据和数据截至日期，支持结论复核，并通过滚动回测比较研究假设。</w:t>
      </w:r>
    </w:p>
    <w:p>
      <w:pPr>
        <w:pStyle w:val="Heading2"/>
      </w:pPr>
      <w:r>
        <w:t>问题与需求</w:t>
      </w:r>
    </w:p>
    <w:p>
      <w:r>
        <w:t>股票研究需要同时观察价格、新闻和技术指标，判断信息是否及时、信号是否一致。项目将这些观察组织到统一报告中，帮助用户识别分歧和数据缺失。后续试点将验证持续使用需求和重复整理耗时。</w:t>
      </w:r>
    </w:p>
    <w:p>
      <w:pPr>
        <w:pStyle w:val="Heading2"/>
      </w:pPr>
      <w:r>
        <w:t>产品与创新</w:t>
      </w:r>
    </w:p>
    <w:p>
      <w:r>
        <w:t>项目将预训练时间序列模型、新闻情绪分析和技术指标组织到同一研究流程，并加入交易日处理、数据质量判断和异常条件检查。现阶段创新体现为多信号研究流程整合、可解释输出与结果复核机制。</w:t>
      </w:r>
    </w:p>
    <w:p>
      <w:pPr>
        <w:pStyle w:val="Heading2"/>
      </w:pPr>
      <w:r>
        <w:t>数据与阶段成果</w:t>
      </w:r>
    </w:p>
    <w:p>
      <w:r>
        <w:t>项目拥有4,584条历史行情，并完成1,636条日线的近期联网验证。近一个月舆情覆盖28个日期，新闻量合计92条。原型已跑通数据接入、报告生成与滚动回测，40项自动化测试通过；真实TimesFM模型效果与多市场覆盖仍需验证。</w:t>
      </w:r>
    </w:p>
    <w:p>
      <w:pPr>
        <w:pStyle w:val="Heading2"/>
      </w:pPr>
      <w:r>
        <w:t>效果评估</w:t>
      </w:r>
    </w:p>
    <w:p>
      <w:r>
        <w:t>120个滚动样本中，非AI价格基准的均价预测MAE为0.0748元，MAPE为1.02%。含成本策略收益约0.34%，买入持有约10.37%；最大回撤幅度分别为4.28%和9.23%。项目将继续开展不同模型与市场阶段的对照实验。</w:t>
      </w:r>
    </w:p>
    <w:p>
      <w:pPr>
        <w:pStyle w:val="Heading2"/>
      </w:pPr>
      <w:r>
        <w:t>商业模式与发展</w:t>
      </w:r>
    </w:p>
    <w:p>
      <w:r>
        <w:t>商业化拟从教学案例和研究辅助服务切入，验证使用频率、报告复核价值和付费意愿，再探索订阅与定制服务。下一阶段将完成真实模型测评、扩展标的和新闻档案，通过用户试点评估商业价值。</w:t>
      </w:r>
    </w:p>
    <w:p>
      <w:pPr>
        <w:pStyle w:val="Heading1"/>
        <w:pageBreakBefore/>
      </w:pPr>
      <w:r>
        <w:t>7 参赛 PPT 建议展示内容</w:t>
      </w:r>
    </w:p>
    <w:p>
      <w:r>
        <w:t>建议采用10页主线，每页突出一个结论。数据页标明样本、模型模式和时间范围，商业规划页明确标注“拟开展”。</w:t>
      </w:r>
    </w:p>
    <w:p>
      <w:pPr>
        <w:keepLines/>
        <w:spacing w:after="140"/>
      </w:pPr>
      <w:r>
        <w:rPr>
          <w:b/>
        </w:rPr>
        <w:t>第1页 项目定位</w:t>
        <w:br/>
      </w:r>
      <w:r>
        <w:t>一句话介绍金融研究辅助工具；展示价格、舆情和技术面三类输入，以及可解释报告。</w:t>
      </w:r>
    </w:p>
    <w:p>
      <w:pPr>
        <w:keepLines/>
        <w:spacing w:after="140"/>
      </w:pPr>
      <w:r>
        <w:rPr>
          <w:b/>
        </w:rPr>
        <w:t>第2页 研究中的问题</w:t>
        <w:br/>
      </w:r>
      <w:r>
        <w:t>呈现信息分散、信号分歧、过期数据与效果难复核四类问题；用一个研究场景讲清需求。</w:t>
      </w:r>
    </w:p>
    <w:p>
      <w:pPr>
        <w:keepLines/>
        <w:spacing w:after="140"/>
      </w:pPr>
      <w:r>
        <w:rPr>
          <w:b/>
        </w:rPr>
        <w:t>第3页 产品解决方案</w:t>
        <w:br/>
      </w:r>
      <w:r>
        <w:t>用流程图展示联合分析、条件检查、数据质量标记和结果对照；说明用户得到什么。</w:t>
      </w:r>
    </w:p>
    <w:p>
      <w:pPr>
        <w:keepLines/>
        <w:spacing w:after="140"/>
      </w:pPr>
      <w:r>
        <w:rPr>
          <w:b/>
        </w:rPr>
        <w:t>第4页 数据基础</w:t>
        <w:br/>
      </w:r>
      <w:r>
        <w:t>展示4,584条历史行情、1,636条最新验证行情、28个舆情日期及92条新闻计数；注明两组行情重叠。</w:t>
      </w:r>
    </w:p>
    <w:p>
      <w:pPr>
        <w:keepLines/>
        <w:spacing w:after="140"/>
      </w:pPr>
      <w:r>
        <w:rPr>
          <w:b/>
        </w:rPr>
        <w:t>第5页 已实现的产品特点</w:t>
        <w:br/>
      </w:r>
      <w:r>
        <w:t>展示真实交易日、可解释分项、数据不足时暂停评级、40项测试通过；配报告局部示意。</w:t>
      </w:r>
    </w:p>
    <w:p>
      <w:pPr>
        <w:keepLines/>
        <w:spacing w:after="140"/>
      </w:pPr>
      <w:r>
        <w:rPr>
          <w:b/>
        </w:rPr>
        <w:t>第6页 实际研究案例</w:t>
        <w:br/>
      </w:r>
      <w:r>
        <w:t>使用2026年9月30日案例：舆情−0.449、技术+0.100、综合−0.092、结果观望；标注naive基准模式。</w:t>
      </w:r>
    </w:p>
    <w:p>
      <w:pPr>
        <w:keepLines/>
        <w:spacing w:after="140"/>
      </w:pPr>
      <w:r>
        <w:rPr>
          <w:b/>
        </w:rPr>
        <w:t>第7页 测评与效果</w:t>
        <w:br/>
      </w:r>
      <w:r>
        <w:t>展示120个样本、MAE0.0748元、MAPE1.02%，并并列展示收益和回撤对照，解释取舍。</w:t>
      </w:r>
    </w:p>
    <w:p>
      <w:pPr>
        <w:keepLines/>
        <w:spacing w:after="140"/>
      </w:pPr>
      <w:r>
        <w:rPr>
          <w:b/>
        </w:rPr>
        <w:t>第8页 商业化方案</w:t>
        <w:br/>
      </w:r>
      <w:r>
        <w:t>优先展示教学与研究团队场景，以及案例服务、订阅、定制三种候选模式；客户与收入需试点验证。</w:t>
      </w:r>
    </w:p>
    <w:p>
      <w:pPr>
        <w:keepLines/>
        <w:spacing w:after="140"/>
      </w:pPr>
      <w:r>
        <w:rPr>
          <w:b/>
        </w:rPr>
        <w:t>第9页 下一阶段目标</w:t>
        <w:br/>
      </w:r>
      <w:r>
        <w:t>展示真实TimesFM测评、多标的对照、新闻档案和用户试点的推进顺序；用可验收成果表达目标。</w:t>
      </w:r>
    </w:p>
    <w:p>
      <w:pPr>
        <w:keepLines/>
        <w:spacing w:after="140"/>
      </w:pPr>
      <w:r>
        <w:rPr>
          <w:b/>
        </w:rPr>
        <w:t>第10页 团队与资源需求</w:t>
        <w:br/>
      </w:r>
      <w:r>
        <w:t>填写真实团队分工与已有成果；说明需要的数据、试点场景及合作资源，避免填写未经确认的合作方。</w:t>
      </w:r>
    </w:p>
    <w:p>
      <w:pPr>
        <w:pStyle w:val="Heading1"/>
        <w:pageBreakBefore/>
      </w:pPr>
      <w:r>
        <w:t>8 下一阶段目标与答辩依据</w:t>
      </w:r>
    </w:p>
    <w:p>
      <w:pPr>
        <w:pStyle w:val="Heading2"/>
      </w:pPr>
      <w:r>
        <w:t>可验收的发展目标</w:t>
      </w:r>
    </w:p>
    <w:p>
      <w:pPr>
        <w:pStyle w:val="ListBullet"/>
      </w:pPr>
      <w:r>
        <w:t>模型验证：完成真实 TimesFM 与最后收盘价基准的同样本比较，并分别评估上涨、下跌与震荡阶段。</w:t>
      </w:r>
    </w:p>
    <w:p>
      <w:pPr>
        <w:pStyle w:val="ListBullet"/>
      </w:pPr>
      <w:r>
        <w:t>数据扩展：增加不同标的的历史样本；建立包含发布时间与采集时间的新闻记录，支持完整舆情回测。</w:t>
      </w:r>
    </w:p>
    <w:p>
      <w:pPr>
        <w:pStyle w:val="ListBullet"/>
      </w:pPr>
      <w:r>
        <w:t>用户试点：在真实教学或研究场景中记录使用频率、整理耗时、复核耗时及付费意愿，形成商业证据。</w:t>
      </w:r>
    </w:p>
    <w:p>
      <w:pPr>
        <w:pStyle w:val="Heading2"/>
      </w:pPr>
      <w:r>
        <w:t>评委可能追问的三个问题</w:t>
      </w:r>
    </w:p>
    <w:p>
      <w:r>
        <w:rPr>
          <w:b/>
        </w:rPr>
        <w:t xml:space="preserve">问题一  </w:t>
      </w:r>
      <w:r>
        <w:t>是否已经证明 AI 能稳定获利？</w:t>
      </w:r>
    </w:p>
    <w:p>
      <w:r>
        <w:t>当前证明的是研究流程和基准测评能力。真实 TimesFM 推理效果、跨市场稳定性与超额收益尚未验证。</w:t>
      </w:r>
    </w:p>
    <w:p>
      <w:r>
        <w:rPr>
          <w:b/>
        </w:rPr>
        <w:t xml:space="preserve">问题二  </w:t>
      </w:r>
      <w:r>
        <w:t>为什么收益低于买入持有？</w:t>
      </w:r>
    </w:p>
    <w:p>
      <w:r>
        <w:t>基准策略仅有16个持仓观测，在该样本中参与上涨的程度较低，同时回撤幅度较小；需要更多时期和模型对照判断取舍是否值得。</w:t>
      </w:r>
    </w:p>
    <w:p>
      <w:r>
        <w:rPr>
          <w:b/>
        </w:rPr>
        <w:t xml:space="preserve">问题三  </w:t>
      </w:r>
      <w:r>
        <w:t>商业价值如何证明？</w:t>
      </w:r>
    </w:p>
    <w:p>
      <w:r>
        <w:t>先验证教学与研究辅助价值，记录报告使用、整理与复核效率，再验证付费意愿；当前没有可引用的客户收入指标。</w:t>
      </w:r>
    </w:p>
    <w:p>
      <w:pPr>
        <w:pStyle w:val="Heading2"/>
      </w:pPr>
      <w:r>
        <w:t>数据和成果来源</w:t>
      </w:r>
    </w:p>
    <w:p>
      <w:pPr>
        <w:spacing w:after="100"/>
      </w:pPr>
      <w:r>
        <w:rPr>
          <w:color w:val="555555"/>
          <w:sz w:val="18"/>
        </w:rPr>
        <w:t>[S1] 历史行情  reports/ICBC_A_price.csv</w:t>
      </w:r>
    </w:p>
    <w:p>
      <w:pPr>
        <w:spacing w:after="100"/>
      </w:pPr>
      <w:r>
        <w:rPr>
          <w:color w:val="555555"/>
          <w:sz w:val="18"/>
        </w:rPr>
        <w:t>[S2] 历史舆情  reports/ICBC_A_sentiment.csv</w:t>
      </w:r>
    </w:p>
    <w:p>
      <w:pPr>
        <w:spacing w:after="100"/>
      </w:pPr>
      <w:r>
        <w:rPr>
          <w:color w:val="555555"/>
          <w:sz w:val="18"/>
        </w:rPr>
        <w:t>[S3] 最新行情  reports/validation/live/ICBC_A_price.csv</w:t>
      </w:r>
    </w:p>
    <w:p>
      <w:pPr>
        <w:spacing w:after="100"/>
      </w:pPr>
      <w:r>
        <w:rPr>
          <w:color w:val="555555"/>
          <w:sz w:val="18"/>
        </w:rPr>
        <w:t>[S4] 近期舆情  reports/validation/live/ICBC_A_sentiment.csv</w:t>
      </w:r>
    </w:p>
    <w:p>
      <w:pPr>
        <w:spacing w:after="100"/>
      </w:pPr>
      <w:r>
        <w:rPr>
          <w:color w:val="555555"/>
          <w:sz w:val="18"/>
        </w:rPr>
        <w:t>[S5] 最新案例  reports/validation/live/ICBC_A_naive_report.json</w:t>
      </w:r>
    </w:p>
    <w:p>
      <w:pPr>
        <w:spacing w:after="100"/>
      </w:pPr>
      <w:r>
        <w:rPr>
          <w:color w:val="555555"/>
          <w:sz w:val="18"/>
        </w:rPr>
        <w:t>[S6] 回测汇总  reports/validation/ICBC_A_price_naive_backtest.json</w:t>
      </w:r>
    </w:p>
    <w:p>
      <w:pPr>
        <w:spacing w:after="100"/>
      </w:pPr>
      <w:r>
        <w:rPr>
          <w:color w:val="555555"/>
          <w:sz w:val="18"/>
        </w:rPr>
        <w:t>[S7] 回测明细  reports/validation/ICBC_A_price_naive_backtest.csv</w:t>
      </w:r>
    </w:p>
    <w:p>
      <w:pPr>
        <w:spacing w:after="100"/>
      </w:pPr>
      <w:r>
        <w:rPr>
          <w:color w:val="555555"/>
          <w:sz w:val="18"/>
        </w:rPr>
        <w:t>[S8] 测试成果  tests/test_pipeline.py  2026年10月3日运行40项通过</w:t>
      </w:r>
    </w:p>
    <w:sectPr w:rsidR="00FC693F" w:rsidRPr="0006063C" w:rsidSect="00034616">
      <w:footerReference w:type="default" r:id="rId9"/>
      <w:pgSz w:w="12240" w:h="15840"/>
      <w:pgMar w:top="1008" w:right="1080" w:bottom="936" w:left="1080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工商银行智能研究项目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40"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6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b w:val="0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/>
      <w:contextualSpacing/>
    </w:pPr>
    <w:rPr>
      <w:rFonts w:ascii="Microsoft YaHei" w:hAnsi="Microsoft YaHei" w:eastAsia="Microsoft YaHei" w:cs="Microsoft YaHei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工商银行智能研究项目商业计划书与参赛展示素材</dc:title>
  <dc:subject>项目价值 数据成果 效果评估 商业化方案 参赛展示</dc:subject>
  <dc:creator>项目团队</dc:creator>
  <cp:keywords>工商银行 智能研究 商业计划书 参赛展示 回测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