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s"/>
      </w:pPr>
      <w:r>
        <w:t xml:space="preserve">Minimal</w:t>
      </w:r>
      <w:r>
        <w:t xml:space="preserve"> </w:t>
      </w:r>
      <w:r>
        <w:t xml:space="preserve">example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Pandoc.brew</w:t>
      </w:r>
    </w:p>
    <w:bookmarkStart w:id="introduction" w:name="introduction"/>
    <w:p>
      <w:pPr>
        <w:pStyle w:val="Heading1"/>
      </w:pPr>
      <w:r>
        <w:t xml:space="preserve">Introduction</w:t>
      </w:r>
    </w:p>
    <w:bookmarkEnd w:id="introduction"/>
    <w:p>
      <w:r>
        <w:t xml:space="preserve">We have two meta-information above:</w:t>
      </w:r>
    </w:p>
    <w:p>
      <w:pPr>
        <w:numPr>
          <w:numId w:val="2"/>
          <w:ilvl w:val="0"/>
        </w:numPr>
      </w:pPr>
      <w:r>
        <w:t xml:space="preserve">author</w:t>
      </w:r>
    </w:p>
    <w:p>
      <w:pPr>
        <w:numPr>
          <w:numId w:val="2"/>
          <w:ilvl w:val="0"/>
        </w:numPr>
      </w:pPr>
      <w:r>
        <w:t xml:space="preserve">title</w:t>
      </w:r>
    </w:p>
    <w:p>
      <w:r>
        <w:t xml:space="preserve">A third field could be there too: date. For details, please check out</w:t>
      </w:r>
      <w:r>
        <w:t xml:space="preserve"> </w:t>
      </w:r>
      <w:hyperlink r:id="link0">
        <w:r>
          <w:rPr>
            <w:rStyle w:val="Hyperlink"/>
          </w:rPr>
          <w:t xml:space="preserve">Pandoc's homepage</w:t>
        </w:r>
      </w:hyperlink>
      <w:r>
        <w:t xml:space="preserve"> </w:t>
      </w:r>
      <w:r>
        <w:t xml:space="preserve">or just use</w:t>
      </w:r>
      <w:r>
        <w:t xml:space="preserve"> </w:t>
      </w:r>
      <w:r>
        <w:rPr>
          <w:rStyle w:val="VerbatimChar"/>
        </w:rPr>
        <w:t xml:space="preserve">pandoc.title</w:t>
      </w:r>
      <w:r>
        <w:t xml:space="preserve"> </w:t>
      </w:r>
      <w:r>
        <w:t xml:space="preserve">function of this package.</w:t>
      </w:r>
    </w:p>
    <w:p>
      <w:r>
        <w:t xml:space="preserve">As you can see writing and formatting paragraphs cannot be easier :)</w:t>
      </w:r>
    </w:p>
    <w:p>
      <w:r>
        <w:t xml:space="preserve">But what about</w:t>
      </w:r>
      <w:r>
        <w:t xml:space="preserve"> </w:t>
      </w:r>
      <w:hyperlink r:id="link1">
        <w:r>
          <w:rPr>
            <w:rStyle w:val="Hyperlink"/>
          </w:rPr>
          <w:t xml:space="preserve">R</w:t>
        </w:r>
      </w:hyperlink>
      <w:r>
        <w:t xml:space="preserve">? Let us return pi:</w:t>
      </w:r>
      <w:r>
        <w:t xml:space="preserve"> </w:t>
      </w:r>
      <w:r>
        <w:rPr>
          <w:i/>
        </w:rPr>
        <w:t xml:space="preserve">3.14159265358979</w:t>
      </w:r>
    </w:p>
    <w:bookmarkStart w:id="r-objects" w:name="r-objects"/>
    <w:p>
      <w:pPr>
        <w:pStyle w:val="Heading1"/>
      </w:pPr>
      <w:r>
        <w:t xml:space="preserve">R objects</w:t>
      </w:r>
    </w:p>
    <w:bookmarkEnd w:id="r-objects"/>
    <w:p>
      <w:r>
        <w:rPr>
          <w:rStyle w:val="VerbatimChar"/>
        </w:rPr>
        <w:t xml:space="preserve">Pander.brew</w:t>
      </w:r>
      <w:r>
        <w:t xml:space="preserve"> </w:t>
      </w:r>
      <w:r>
        <w:t xml:space="preserve">would transform any returned R object to Pandoc's markdown in each code block.</w:t>
      </w:r>
    </w:p>
    <w:p>
      <w:r>
        <w:t xml:space="preserve">For example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's first 5 cases look like:</w:t>
      </w:r>
    </w:p>
    <w:tbl>
      <w:tblPr>
        <w:tblStyle w:val="TableNormal"/>
      </w:tblPr>
      <w:tblGrid>
        <w:gridCol w:w="1980"/>
        <w:gridCol w:w="660"/>
        <w:gridCol w:w="660"/>
        <w:gridCol w:w="770"/>
        <w:gridCol w:w="550"/>
        <w:gridCol w:w="770"/>
        <w:gridCol w:w="44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wt</w:t>
            </w:r>
          </w:p>
        </w:tc>
      </w:tr>
      <w:tr>
        <w:tc>
          <w:p>
            <w:pPr>
              <w:jc w:val="left"/>
            </w:pPr>
            <w:r>
              <w:t xml:space="preserve">Mazda RX4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2.6</w:t>
            </w:r>
          </w:p>
        </w:tc>
      </w:tr>
      <w:tr>
        <w:tc>
          <w:p>
            <w:pPr>
              <w:jc w:val="left"/>
            </w:pPr>
            <w: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2.9</w:t>
            </w:r>
          </w:p>
        </w:tc>
      </w:tr>
      <w:tr>
        <w:tc>
          <w:p>
            <w:pPr>
              <w:jc w:val="left"/>
            </w:pPr>
            <w:r>
              <w:t xml:space="preserve">Datsun 710</w:t>
            </w:r>
          </w:p>
        </w:tc>
        <w:tc>
          <w:p>
            <w:pPr>
              <w:jc w:val="left"/>
            </w:pPr>
            <w:r>
              <w:t xml:space="preserve">23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108</w:t>
            </w:r>
          </w:p>
        </w:tc>
        <w:tc>
          <w:p>
            <w:pPr>
              <w:jc w:val="left"/>
            </w:pPr>
            <w:r>
              <w:t xml:space="preserve">93</w:t>
            </w:r>
          </w:p>
        </w:tc>
        <w:tc>
          <w:p>
            <w:pPr>
              <w:jc w:val="left"/>
            </w:pPr>
            <w:r>
              <w:t xml:space="preserve">3.9</w:t>
            </w:r>
          </w:p>
        </w:tc>
        <w:tc>
          <w:p>
            <w:pPr>
              <w:jc w:val="left"/>
            </w:pPr>
            <w:r>
              <w:t xml:space="preserve">2.3</w:t>
            </w:r>
          </w:p>
        </w:tc>
      </w:tr>
      <w:tr>
        <w:tc>
          <w:p>
            <w:pPr>
              <w:jc w:val="left"/>
            </w:pPr>
            <w: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258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3.2</w:t>
            </w:r>
          </w:p>
        </w:tc>
      </w:tr>
      <w:tr>
        <w:tc>
          <w:p>
            <w:pPr>
              <w:jc w:val="left"/>
            </w:pPr>
            <w: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360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3.1</w:t>
            </w:r>
          </w:p>
        </w:tc>
        <w:tc>
          <w:p>
            <w:pPr>
              <w:jc w:val="left"/>
            </w:pPr>
            <w:r>
              <w:t xml:space="preserve">3.4</w:t>
            </w:r>
          </w:p>
        </w:tc>
      </w:tr>
    </w:tbl>
    <w:tbl>
      <w:tblPr>
        <w:tblStyle w:val="TableNormal"/>
      </w:tblPr>
      <w:tblGrid>
        <w:gridCol w:w="1980"/>
        <w:gridCol w:w="770"/>
        <w:gridCol w:w="550"/>
        <w:gridCol w:w="55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carb</w:t>
            </w:r>
          </w:p>
        </w:tc>
      </w:tr>
      <w:tr>
        <w:tc>
          <w:p>
            <w:pPr>
              <w:jc w:val="left"/>
            </w:pPr>
            <w:r>
              <w:t xml:space="preserve">Mazda RX4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t xml:space="preserve">Datsun 710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p>
      <w:r>
        <w:t xml:space="preserve">As you can see some formatting was added to the returned table and was also split up as the original table would have been too wide.</w:t>
      </w:r>
    </w:p>
    <w:p>
      <w:r>
        <w:t xml:space="preserve">We could try other R objects too, for example</w:t>
      </w:r>
      <w:r>
        <w:t xml:space="preserve"> </w:t>
      </w:r>
      <w:r>
        <w:rPr>
          <w:rStyle w:val="VerbatimChar"/>
        </w:rPr>
        <w:t xml:space="preserve">prcomp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iris</w:t>
      </w:r>
      <w:r>
        <w:t xml:space="preserve">:</w:t>
      </w:r>
    </w:p>
    <w:tbl>
      <w:tblPr>
        <w:tblStyle w:val="TableNormal"/>
        <w:tblCaption w:val="Principal Components Analysis"/>
      </w:tblPr>
      <w:tblGrid>
        <w:gridCol w:w="143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PC4</w:t>
            </w:r>
          </w:p>
        </w:tc>
      </w:tr>
      <w:tr>
        <w:tc>
          <w:p>
            <w:pPr>
              <w:jc w:val="left"/>
            </w:pPr>
            <w:r>
              <w:t xml:space="preserve">Sepal.Length</w:t>
            </w:r>
          </w:p>
        </w:tc>
        <w:tc>
          <w:p>
            <w:pPr>
              <w:jc w:val="left"/>
            </w:pPr>
            <w:r>
              <w:t xml:space="preserve">0.361</w:t>
            </w:r>
          </w:p>
        </w:tc>
        <w:tc>
          <w:p>
            <w:pPr>
              <w:jc w:val="left"/>
            </w:pPr>
            <w:r>
              <w:t xml:space="preserve">-0.657</w:t>
            </w:r>
          </w:p>
        </w:tc>
        <w:tc>
          <w:p>
            <w:pPr>
              <w:jc w:val="left"/>
            </w:pPr>
            <w:r>
              <w:t xml:space="preserve">0.582</w:t>
            </w:r>
          </w:p>
        </w:tc>
        <w:tc>
          <w:p>
            <w:pPr>
              <w:jc w:val="left"/>
            </w:pPr>
            <w:r>
              <w:t xml:space="preserve">0.315</w:t>
            </w:r>
          </w:p>
        </w:tc>
      </w:tr>
      <w:tr>
        <w:tc>
          <w:p>
            <w:pPr>
              <w:jc w:val="left"/>
            </w:pPr>
            <w:r>
              <w:t xml:space="preserve">Sepal.Width</w:t>
            </w:r>
          </w:p>
        </w:tc>
        <w:tc>
          <w:p>
            <w:pPr>
              <w:jc w:val="left"/>
            </w:pPr>
            <w:r>
              <w:t xml:space="preserve">-0.085</w:t>
            </w:r>
          </w:p>
        </w:tc>
        <w:tc>
          <w:p>
            <w:pPr>
              <w:jc w:val="left"/>
            </w:pPr>
            <w:r>
              <w:t xml:space="preserve">-0.730</w:t>
            </w:r>
          </w:p>
        </w:tc>
        <w:tc>
          <w:p>
            <w:pPr>
              <w:jc w:val="left"/>
            </w:pPr>
            <w:r>
              <w:t xml:space="preserve">-0.598</w:t>
            </w:r>
          </w:p>
        </w:tc>
        <w:tc>
          <w:p>
            <w:pPr>
              <w:jc w:val="left"/>
            </w:pPr>
            <w:r>
              <w:t xml:space="preserve">-0.320</w:t>
            </w:r>
          </w:p>
        </w:tc>
      </w:tr>
      <w:tr>
        <w:tc>
          <w:p>
            <w:pPr>
              <w:jc w:val="left"/>
            </w:pPr>
            <w:r>
              <w:t xml:space="preserve">Petal.Length</w:t>
            </w:r>
          </w:p>
        </w:tc>
        <w:tc>
          <w:p>
            <w:pPr>
              <w:jc w:val="left"/>
            </w:pPr>
            <w:r>
              <w:t xml:space="preserve">0.857</w:t>
            </w:r>
          </w:p>
        </w:tc>
        <w:tc>
          <w:p>
            <w:pPr>
              <w:jc w:val="left"/>
            </w:pPr>
            <w:r>
              <w:t xml:space="preserve">0.173</w:t>
            </w:r>
          </w:p>
        </w:tc>
        <w:tc>
          <w:p>
            <w:pPr>
              <w:jc w:val="left"/>
            </w:pPr>
            <w:r>
              <w:t xml:space="preserve">-0.076</w:t>
            </w:r>
          </w:p>
        </w:tc>
        <w:tc>
          <w:p>
            <w:pPr>
              <w:jc w:val="left"/>
            </w:pPr>
            <w:r>
              <w:t xml:space="preserve">-0.480</w:t>
            </w:r>
          </w:p>
        </w:tc>
      </w:tr>
      <w:tr>
        <w:tc>
          <w:p>
            <w:pPr>
              <w:jc w:val="left"/>
            </w:pPr>
            <w:r>
              <w:t xml:space="preserve">Petal.Width</w:t>
            </w:r>
          </w:p>
        </w:tc>
        <w:tc>
          <w:p>
            <w:pPr>
              <w:jc w:val="left"/>
            </w:pPr>
            <w:r>
              <w:t xml:space="preserve">0.358</w:t>
            </w:r>
          </w:p>
        </w:tc>
        <w:tc>
          <w:p>
            <w:pPr>
              <w:jc w:val="left"/>
            </w:pPr>
            <w:r>
              <w:t xml:space="preserve">0.075</w:t>
            </w:r>
          </w:p>
        </w:tc>
        <w:tc>
          <w:p>
            <w:pPr>
              <w:jc w:val="left"/>
            </w:pPr>
            <w:r>
              <w:t xml:space="preserve">-0.546</w:t>
            </w:r>
          </w:p>
        </w:tc>
        <w:tc>
          <w:p>
            <w:pPr>
              <w:jc w:val="left"/>
            </w:pPr>
            <w:r>
              <w:t xml:space="preserve">0.754</w:t>
            </w:r>
          </w:p>
        </w:tc>
      </w:tr>
    </w:tbl>
    <w:p>
      <w:pPr>
        <w:pStyle w:val="TableCaption"/>
      </w:pPr>
      <w:r>
        <w:t xml:space="preserve">Principal Components Analysis</w:t>
      </w:r>
    </w:p>
    <w:tbl>
      <w:tblPr>
        <w:tblStyle w:val="TableNormal"/>
      </w:tblPr>
      <w:tblGrid>
        <w:gridCol w:w="253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PC4</w:t>
            </w:r>
          </w:p>
        </w:tc>
      </w:tr>
      <w:tr>
        <w:tc>
          <w:p>
            <w:pPr>
              <w:jc w:val="left"/>
            </w:pPr>
            <w:r>
              <w:t xml:space="preserve">Standard deviation</w:t>
            </w:r>
          </w:p>
        </w:tc>
        <w:tc>
          <w:p>
            <w:pPr>
              <w:jc w:val="left"/>
            </w:pPr>
            <w:r>
              <w:t xml:space="preserve">2.0563</w:t>
            </w:r>
          </w:p>
        </w:tc>
        <w:tc>
          <w:p>
            <w:pPr>
              <w:jc w:val="left"/>
            </w:pPr>
            <w:r>
              <w:t xml:space="preserve">0.4926</w:t>
            </w:r>
          </w:p>
        </w:tc>
        <w:tc>
          <w:p>
            <w:pPr>
              <w:jc w:val="left"/>
            </w:pPr>
            <w:r>
              <w:t xml:space="preserve">0.2797</w:t>
            </w:r>
          </w:p>
        </w:tc>
        <w:tc>
          <w:p>
            <w:pPr>
              <w:jc w:val="left"/>
            </w:pPr>
            <w:r>
              <w:t xml:space="preserve">0.1544</w:t>
            </w:r>
          </w:p>
        </w:tc>
      </w:tr>
      <w:tr>
        <w:tc>
          <w:p>
            <w:pPr>
              <w:jc w:val="left"/>
            </w:pPr>
            <w:r>
              <w:t xml:space="preserve">Proportion of Variance</w:t>
            </w:r>
          </w:p>
        </w:tc>
        <w:tc>
          <w:p>
            <w:pPr>
              <w:jc w:val="left"/>
            </w:pPr>
            <w:r>
              <w:t xml:space="preserve">0.9246</w:t>
            </w:r>
          </w:p>
        </w:tc>
        <w:tc>
          <w:p>
            <w:pPr>
              <w:jc w:val="left"/>
            </w:pPr>
            <w:r>
              <w:t xml:space="preserve">0.0531</w:t>
            </w:r>
          </w:p>
        </w:tc>
        <w:tc>
          <w:p>
            <w:pPr>
              <w:jc w:val="left"/>
            </w:pPr>
            <w:r>
              <w:t xml:space="preserve">0.0171</w:t>
            </w:r>
          </w:p>
        </w:tc>
        <w:tc>
          <w:p>
            <w:pPr>
              <w:jc w:val="left"/>
            </w:pPr>
            <w:r>
              <w:t xml:space="preserve">0.0052</w:t>
            </w:r>
          </w:p>
        </w:tc>
      </w:tr>
      <w:tr>
        <w:tc>
          <w:p>
            <w:pPr>
              <w:jc w:val="left"/>
            </w:pPr>
            <w:r>
              <w:t xml:space="preserve">Cumulative Proportion</w:t>
            </w:r>
          </w:p>
        </w:tc>
        <w:tc>
          <w:p>
            <w:pPr>
              <w:jc w:val="left"/>
            </w:pPr>
            <w:r>
              <w:t xml:space="preserve">0.9246</w:t>
            </w:r>
          </w:p>
        </w:tc>
        <w:tc>
          <w:p>
            <w:pPr>
              <w:jc w:val="left"/>
            </w:pPr>
            <w:r>
              <w:t xml:space="preserve">0.9777</w:t>
            </w:r>
          </w:p>
        </w:tc>
        <w:tc>
          <w:p>
            <w:pPr>
              <w:jc w:val="left"/>
            </w:pPr>
            <w:r>
              <w:t xml:space="preserve">0.9948</w:t>
            </w:r>
          </w:p>
        </w:tc>
        <w:tc>
          <w:p>
            <w:pPr>
              <w:jc w:val="left"/>
            </w:pPr>
            <w:r>
              <w:t xml:space="preserve">1.0000</w:t>
            </w:r>
          </w:p>
        </w:tc>
      </w:tr>
    </w:tbl>
    <w:bookmarkStart w:id="returning-plot" w:name="returning-plot"/>
    <w:p>
      <w:pPr>
        <w:pStyle w:val="Heading2"/>
      </w:pPr>
      <w:r>
        <w:t xml:space="preserve">Returning plot</w:t>
      </w:r>
    </w:p>
    <w:bookmarkEnd w:id="returning-plot"/>
    <w:p>
      <w:r>
        <w:t xml:space="preserve">Plots are automatically grabbed between</w:t>
      </w:r>
      <w:r>
        <w:t xml:space="preserve"> </w:t>
      </w:r>
      <w:r>
        <w:rPr>
          <w:rStyle w:val="VerbatimChar"/>
        </w:rPr>
        <w:t xml:space="preserve">brew</w:t>
      </w:r>
      <w:r>
        <w:t xml:space="preserve"> </w:t>
      </w:r>
      <w:r>
        <w:t xml:space="preserve">tags:</w:t>
      </w:r>
    </w:p>
    <w:p>
      <w:r>
        <w:drawing>
          <wp:inline>
            <wp:extent cx="6172200" cy="617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omleny/Documents/eclipse/pandoc.pages/plots/7ca3032837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1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(2.15.0) and</w:t>
      </w:r>
      <w:r>
        <w:t xml:space="preserve"> </w:t>
      </w:r>
      <w:hyperlink r:id="link2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(0.1) in 1.577 sec on x86_64-unknown-linux-gnu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http://johnmacfarlane.net/pandoc/README.html#title-block" TargetMode="External" /><Relationship Type="http://schemas.openxmlformats.org/officeDocument/2006/relationships/hyperlink" Id="link1" Target="http://www.r-project.org/" TargetMode="External" /><Relationship Type="http://schemas.openxmlformats.org/officeDocument/2006/relationships/hyperlink" Id="link2" Target="https://github.com/daroczig/pan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terms:created xsi:type="dcterms:W3CDTF"/>
  <dcterms:modified xsi:type="dcterms:W3CDTF"/>
  <dc:creator>Minimal example for Pandoc.brew</dc:creator>
</cp:coreProperties>
</file>