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five5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90" w:lineRule="auto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my </w:t>
      </w:r>
      <w:r w:rsidDel="00000000" w:rsidR="00000000" w:rsidRPr="00000000">
        <w:rPr>
          <w:rFonts w:ascii="Geo" w:cs="Geo" w:eastAsia="Geo" w:hAnsi="Geo"/>
          <w:i w:val="0"/>
          <w:sz w:val="24"/>
          <w:szCs w:val="24"/>
          <w:rtl w:val="0"/>
        </w:rPr>
        <w:t xml:space="preserve">friends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, how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you </w:t>
      </w:r>
      <w:hyperlink r:id="rId6">
        <w:r w:rsidDel="00000000" w:rsidR="00000000" w:rsidRPr="00000000">
          <w:rPr>
            <w:rFonts w:ascii="Arial" w:cs="Arial" w:eastAsia="Arial" w:hAnsi="Arial"/>
            <w:i w:val="0"/>
            <w:color w:val="0000ee"/>
            <w:sz w:val="24"/>
            <w:szCs w:val="24"/>
            <w:u w:val="single"/>
            <w:rtl w:val="0"/>
          </w:rPr>
          <w:t xml:space="preserve">doing</w:t>
        </w:r>
      </w:hyperlink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today?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ello all is well that ends well here is a </w:t>
      </w:r>
      <w:r w:rsidDel="00000000" w:rsidR="00000000" w:rsidRPr="00000000">
        <w:rPr>
          <w:sz w:val="24"/>
          <w:szCs w:val="24"/>
          <w:rtl w:val="0"/>
        </w:rPr>
        <w:t xml:space="preserve">change to get things going...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90" w:lineRule="auto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</w:rPr>
        <w:drawing>
          <wp:inline distB="19050" distT="19050" distL="19050" distR="19050">
            <wp:extent cx="19050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ind w:left="600" w:hanging="360"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one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ind w:left="1200" w:hanging="360"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two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ind w:left="1200" w:hanging="360"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three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ind w:left="600" w:hanging="360"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four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5" w:line="390" w:lineRule="auto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drag card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1.9999885559082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two2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90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</w:rPr>
        <w:drawing>
          <wp:inline distB="19050" distT="19050" distL="19050" distR="19050">
            <wp:extent cx="4067175" cy="6096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90" w:lineRule="auto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sample note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1.9999885559082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four4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1.9999885559082" w:lineRule="auto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one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="390" w:lineRule="auto"/>
        <w:rPr>
          <w:rFonts w:ascii="Arial" w:cs="Arial" w:eastAsia="Arial" w:hAnsi="Arial"/>
          <w:i w:val="0"/>
          <w:sz w:val="24"/>
          <w:szCs w:val="24"/>
          <w:vertAlign w:val="superscript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sample note with citation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ind w:left="600" w:hanging="360"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My citation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s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