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3.0" w:type="dxa"/>
        <w:jc w:val="center"/>
        <w:tblLayout w:type="fixed"/>
        <w:tblLook w:val="0400"/>
      </w:tblPr>
      <w:tblGrid>
        <w:gridCol w:w="9003"/>
        <w:tblGridChange w:id="0">
          <w:tblGrid>
            <w:gridCol w:w="90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  <w:drawing>
                <wp:inline distB="0" distT="0" distL="0" distR="0">
                  <wp:extent cx="5716905" cy="1542415"/>
                  <wp:effectExtent b="0" l="0" r="0" t="0"/>
                  <wp:docPr descr="cid:image001.jpg@01D9F785.70B65990" id="1" name="image1.jpg"/>
                  <a:graphic>
                    <a:graphicData uri="http://schemas.openxmlformats.org/drawingml/2006/picture">
                      <pic:pic>
                        <pic:nvPicPr>
                          <pic:cNvPr descr="cid:image001.jpg@01D9F785.70B65990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905" cy="1542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Dear Customer,</w:t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Thank you for choosing Airtel for your connectivity needs! We are thrilled to have an opportunity to serve you. </w:t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Please find the quotation based on your requirements below:</w:t>
            </w:r>
          </w:p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Total Amount -  ₹</w:t>
            </w:r>
            <w:r w:rsidDel="00000000" w:rsidR="00000000" w:rsidRPr="00000000">
              <w:rPr>
                <w:b w:val="1"/>
                <w:rtl w:val="0"/>
              </w:rPr>
              <w:t xml:space="preserve">{{TotalAmount}}</w:t>
            </w:r>
          </w:p>
          <w:p w:rsidR="00000000" w:rsidDel="00000000" w:rsidP="00000000" w:rsidRDefault="00000000" w:rsidRPr="00000000" w14:paraId="0000000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98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05"/>
              <w:gridCol w:w="1065"/>
              <w:gridCol w:w="1155"/>
              <w:gridCol w:w="1275"/>
              <w:gridCol w:w="1410"/>
              <w:gridCol w:w="1110"/>
              <w:gridCol w:w="1170"/>
              <w:gridCol w:w="1395"/>
              <w:tblGridChange w:id="0">
                <w:tblGrid>
                  <w:gridCol w:w="405"/>
                  <w:gridCol w:w="1065"/>
                  <w:gridCol w:w="1155"/>
                  <w:gridCol w:w="1275"/>
                  <w:gridCol w:w="1410"/>
                  <w:gridCol w:w="1110"/>
                  <w:gridCol w:w="1170"/>
                  <w:gridCol w:w="1395"/>
                </w:tblGrid>
              </w:tblGridChange>
            </w:tblGrid>
            <w:tr>
              <w:trPr>
                <w:cantSplit w:val="0"/>
                <w:trHeight w:val="775.6640625" w:hRule="atLeast"/>
                <w:tblHeader w:val="1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Sr. No.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Site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Offer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0F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Link Type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Service Type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Bandwidth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12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One Time Charge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ARC</w:t>
                  </w:r>
                </w:p>
              </w:tc>
            </w:tr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4">
                  <w:pPr>
                    <w:spacing w:line="354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{{#QuoteMember}}{{#QuoteLineItemRoot}}{{SlNo}}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15">
                  <w:pPr>
                    <w:spacing w:line="354" w:lineRule="auto"/>
                    <w:jc w:val="center"/>
                    <w:rPr>
                      <w:rFonts w:ascii="Arial" w:cs="Arial" w:eastAsia="Arial" w:hAnsi="Arial"/>
                      <w:b w:val="1"/>
                      <w:color w:val="1155c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155cc"/>
                      <w:sz w:val="20"/>
                      <w:szCs w:val="20"/>
                      <w:rtl w:val="0"/>
                    </w:rPr>
                    <w:t xml:space="preserve">{{MemberName}}</w:t>
                  </w:r>
                </w:p>
                <w:p w:rsidR="00000000" w:rsidDel="00000000" w:rsidP="00000000" w:rsidRDefault="00000000" w:rsidRPr="00000000" w14:paraId="00000016">
                  <w:pPr>
                    <w:spacing w:line="354" w:lineRule="auto"/>
                    <w:jc w:val="center"/>
                    <w:rPr>
                      <w:rFonts w:ascii="Arial" w:cs="Arial" w:eastAsia="Arial" w:hAnsi="Arial"/>
                      <w:color w:val="1155c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{{OfferName}}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{{ProductName}}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9">
                  <w:pPr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{{ServiceType}}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{{Bandwidth}}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₹{{OneTimeTotal}}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D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₹{{AnnualRecurringCharge}}{{/QuoteLineItemRoot}}{{/QuoteMember}}</w:t>
                  </w:r>
                </w:p>
                <w:p w:rsidR="00000000" w:rsidDel="00000000" w:rsidP="00000000" w:rsidRDefault="00000000" w:rsidRPr="00000000" w14:paraId="0000001E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spacing w:line="354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*Please take note of the 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Terms and Conditions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(T&amp;Cs) that apply.</w:t>
            </w:r>
          </w:p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case of any queries regarding your order, please feel free to contact your Account Manager.</w:t>
            </w:r>
          </w:p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We value your association with us and look forward to serving you in the future.</w:t>
            </w:r>
          </w:p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Airtel Business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384152" w:val="clear"/>
            <w:tcMar>
              <w:top w:w="375.0" w:type="dxa"/>
              <w:left w:w="0.0" w:type="dxa"/>
              <w:bottom w:w="375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250.0" w:type="dxa"/>
              <w:jc w:val="center"/>
              <w:tblLayout w:type="fixed"/>
              <w:tblLook w:val="0400"/>
            </w:tblPr>
            <w:tblGrid>
              <w:gridCol w:w="8250"/>
              <w:tblGridChange w:id="0">
                <w:tblGrid>
                  <w:gridCol w:w="82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1">
                  <w:pPr>
                    <w:rPr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Disclaimer: This is an auto-generated mail. Please do not reply to this.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airtel.in/business/b2b/acquisition/t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