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D23E71">
      <w:pPr>
        <w:tabs>
          <w:tab w:val="left" w:pos="3982"/>
        </w:tabs>
      </w:pPr>
    </w:p>
    <w:p w14:paraId="36B2514A">
      <w:pPr>
        <w:tabs>
          <w:tab w:val="left" w:pos="3982"/>
        </w:tabs>
      </w:pPr>
    </w:p>
    <w:p w14:paraId="71E54E5C">
      <w:pPr>
        <w:jc w:val="center"/>
        <w:rPr>
          <w:rFonts w:eastAsia="黑体"/>
          <w:sz w:val="72"/>
        </w:rPr>
      </w:pPr>
      <w:r>
        <w:rPr>
          <w:rFonts w:eastAsia="黑体"/>
          <w:sz w:val="72"/>
        </w:rPr>
        <w:drawing>
          <wp:inline distT="0" distB="0" distL="114300" distR="114300">
            <wp:extent cx="4373245" cy="1012190"/>
            <wp:effectExtent l="0" t="0" r="9525" b="254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pic:cNvPicPr>
                  </pic:nvPicPr>
                  <pic:blipFill>
                    <a:blip r:embed="rId22"/>
                    <a:stretch>
                      <a:fillRect/>
                    </a:stretch>
                  </pic:blipFill>
                  <pic:spPr>
                    <a:xfrm>
                      <a:off x="0" y="0"/>
                      <a:ext cx="4373245" cy="1012190"/>
                    </a:xfrm>
                    <a:prstGeom prst="rect">
                      <a:avLst/>
                    </a:prstGeom>
                    <a:noFill/>
                    <a:ln>
                      <a:noFill/>
                    </a:ln>
                  </pic:spPr>
                </pic:pic>
              </a:graphicData>
            </a:graphic>
          </wp:inline>
        </w:drawing>
      </w:r>
    </w:p>
    <w:p w14:paraId="04FC0E65">
      <w:pPr>
        <w:jc w:val="center"/>
        <w:rPr>
          <w:rFonts w:hint="eastAsia" w:ascii="华文细黑" w:hAnsi="华文细黑" w:eastAsia="华文细黑"/>
          <w:b/>
          <w:sz w:val="72"/>
          <w:szCs w:val="72"/>
        </w:rPr>
      </w:pPr>
      <w:r>
        <w:rPr>
          <w:rFonts w:hint="eastAsia" w:ascii="华文细黑" w:hAnsi="华文细黑" w:eastAsia="华文细黑"/>
          <w:b/>
          <w:sz w:val="72"/>
          <w:szCs w:val="72"/>
        </w:rPr>
        <w:t>本科毕业论文（设计）</w:t>
      </w:r>
    </w:p>
    <w:p w14:paraId="54C0EC9E"/>
    <w:p w14:paraId="08423E85">
      <w:pPr>
        <w:jc w:val="center"/>
        <w:rPr>
          <w:rFonts w:hint="eastAsia" w:ascii="黑体" w:hAnsi="黑体" w:eastAsia="黑体"/>
          <w:b/>
          <w:sz w:val="44"/>
          <w:szCs w:val="44"/>
        </w:rPr>
      </w:pPr>
      <w:r>
        <w:rPr>
          <w:rFonts w:hint="eastAsia" w:ascii="华文细黑" w:hAnsi="华文细黑" w:eastAsia="华文细黑"/>
          <w:b/>
          <w:sz w:val="44"/>
          <w:szCs w:val="44"/>
          <w:lang w:bidi="en-US"/>
        </w:rPr>
        <w:t>题目：</w:t>
      </w:r>
      <w:r>
        <w:rPr>
          <w:rFonts w:hint="eastAsia"/>
          <w:sz w:val="30"/>
          <w:szCs w:val="30"/>
          <w:u w:val="single"/>
        </w:rPr>
        <w:t xml:space="preserve"> 基于高斯泼溅的三维重建系统设计与实现</w:t>
      </w:r>
    </w:p>
    <w:p w14:paraId="706534FA">
      <w:r>
        <w:rPr>
          <w:rFonts w:hint="eastAsia"/>
        </w:rPr>
        <w:t xml:space="preserve"> </w:t>
      </w:r>
    </w:p>
    <w:p w14:paraId="75AE51A7"/>
    <w:p w14:paraId="3B7F772B"/>
    <w:p w14:paraId="240B7E12">
      <w:pPr>
        <w:spacing w:line="360" w:lineRule="auto"/>
        <w:ind w:firstLine="2100" w:firstLineChars="700"/>
        <w:rPr>
          <w:sz w:val="30"/>
          <w:szCs w:val="30"/>
          <w:u w:val="single"/>
        </w:rPr>
      </w:pPr>
      <w:r>
        <w:rPr>
          <w:rFonts w:hint="eastAsia"/>
          <w:sz w:val="30"/>
          <w:szCs w:val="30"/>
        </w:rPr>
        <w:t>学       院：</w:t>
      </w:r>
      <w:r>
        <w:rPr>
          <w:rFonts w:hint="eastAsia"/>
          <w:sz w:val="30"/>
          <w:szCs w:val="30"/>
          <w:u w:val="single"/>
        </w:rPr>
        <w:t xml:space="preserve">   信息科学与工程学院      </w:t>
      </w:r>
    </w:p>
    <w:p w14:paraId="67F03D05">
      <w:pPr>
        <w:spacing w:line="360" w:lineRule="auto"/>
        <w:ind w:firstLine="2100" w:firstLineChars="700"/>
        <w:rPr>
          <w:sz w:val="30"/>
          <w:szCs w:val="30"/>
          <w:u w:val="single"/>
        </w:rPr>
      </w:pPr>
      <w:r>
        <w:rPr>
          <w:rFonts w:hint="eastAsia"/>
          <w:sz w:val="30"/>
          <w:szCs w:val="30"/>
        </w:rPr>
        <w:t>专       业：</w:t>
      </w:r>
      <w:r>
        <w:rPr>
          <w:rFonts w:hint="eastAsia"/>
          <w:sz w:val="30"/>
          <w:szCs w:val="30"/>
          <w:u w:val="single"/>
        </w:rPr>
        <w:t xml:space="preserve">       人工智能            </w:t>
      </w:r>
    </w:p>
    <w:p w14:paraId="0661E9C6">
      <w:pPr>
        <w:spacing w:line="360" w:lineRule="auto"/>
        <w:ind w:firstLine="2100" w:firstLineChars="700"/>
        <w:rPr>
          <w:sz w:val="30"/>
          <w:szCs w:val="30"/>
          <w:u w:val="single"/>
        </w:rPr>
      </w:pPr>
      <w:r>
        <w:rPr>
          <w:rFonts w:hint="eastAsia"/>
          <w:sz w:val="30"/>
          <w:szCs w:val="30"/>
        </w:rPr>
        <w:t>学 生 姓 名：</w:t>
      </w:r>
      <w:r>
        <w:rPr>
          <w:rFonts w:hint="eastAsia"/>
          <w:sz w:val="30"/>
          <w:szCs w:val="30"/>
          <w:u w:val="single"/>
        </w:rPr>
        <w:t xml:space="preserve">        刘杨               </w:t>
      </w:r>
    </w:p>
    <w:p w14:paraId="7551F531">
      <w:pPr>
        <w:spacing w:line="360" w:lineRule="auto"/>
        <w:ind w:firstLine="2100" w:firstLineChars="700"/>
        <w:rPr>
          <w:sz w:val="30"/>
          <w:szCs w:val="30"/>
          <w:u w:val="single"/>
        </w:rPr>
      </w:pPr>
      <w:r>
        <w:rPr>
          <w:rFonts w:hint="eastAsia"/>
          <w:sz w:val="30"/>
          <w:szCs w:val="30"/>
        </w:rPr>
        <w:t>学       号：</w:t>
      </w:r>
      <w:r>
        <w:rPr>
          <w:rFonts w:hint="eastAsia"/>
          <w:sz w:val="30"/>
          <w:szCs w:val="30"/>
          <w:u w:val="single"/>
        </w:rPr>
        <w:t xml:space="preserve">     632102090923          </w:t>
      </w:r>
    </w:p>
    <w:p w14:paraId="643855B4">
      <w:pPr>
        <w:spacing w:line="360" w:lineRule="auto"/>
        <w:ind w:firstLine="2100" w:firstLineChars="700"/>
        <w:rPr>
          <w:sz w:val="30"/>
          <w:szCs w:val="30"/>
          <w:u w:val="single"/>
        </w:rPr>
      </w:pPr>
      <w:r>
        <w:rPr>
          <w:rFonts w:hint="eastAsia"/>
          <w:sz w:val="30"/>
          <w:szCs w:val="30"/>
        </w:rPr>
        <w:t>指 导 教 师：</w:t>
      </w:r>
      <w:r>
        <w:rPr>
          <w:rFonts w:hint="eastAsia"/>
          <w:sz w:val="30"/>
          <w:szCs w:val="30"/>
          <w:u w:val="single"/>
        </w:rPr>
        <w:t xml:space="preserve">        杨庆               </w:t>
      </w:r>
    </w:p>
    <w:p w14:paraId="603CD2CC">
      <w:pPr>
        <w:spacing w:line="360" w:lineRule="auto"/>
        <w:ind w:firstLine="2100" w:firstLineChars="700"/>
        <w:rPr>
          <w:sz w:val="30"/>
          <w:szCs w:val="30"/>
          <w:u w:val="single"/>
        </w:rPr>
      </w:pPr>
      <w:r>
        <w:rPr>
          <w:rFonts w:hint="eastAsia"/>
          <w:sz w:val="30"/>
          <w:szCs w:val="30"/>
        </w:rPr>
        <w:t>评 阅 教 师：</w:t>
      </w:r>
      <w:r>
        <w:rPr>
          <w:rFonts w:hint="eastAsia"/>
          <w:sz w:val="30"/>
          <w:szCs w:val="30"/>
          <w:u w:val="single"/>
        </w:rPr>
        <w:t xml:space="preserve">                           </w:t>
      </w:r>
    </w:p>
    <w:p w14:paraId="186FD858">
      <w:pPr>
        <w:spacing w:line="360" w:lineRule="auto"/>
        <w:ind w:firstLine="2100" w:firstLineChars="700"/>
        <w:rPr>
          <w:sz w:val="30"/>
          <w:szCs w:val="30"/>
          <w:u w:val="single"/>
        </w:rPr>
      </w:pPr>
      <w:r>
        <w:rPr>
          <w:rFonts w:hint="eastAsia"/>
          <w:sz w:val="30"/>
          <w:szCs w:val="30"/>
        </w:rPr>
        <w:t>完 成 时 间：</w:t>
      </w:r>
      <w:r>
        <w:rPr>
          <w:rFonts w:hint="eastAsia"/>
          <w:sz w:val="30"/>
          <w:szCs w:val="30"/>
          <w:u w:val="single"/>
        </w:rPr>
        <w:t xml:space="preserve">                           </w:t>
      </w:r>
    </w:p>
    <w:p w14:paraId="15CB6197">
      <w:pPr>
        <w:ind w:firstLine="3240" w:firstLineChars="900"/>
        <w:rPr>
          <w:rFonts w:ascii="华文行楷" w:eastAsia="华文行楷"/>
          <w:sz w:val="36"/>
          <w:szCs w:val="36"/>
        </w:rPr>
      </w:pPr>
    </w:p>
    <w:p w14:paraId="366BAB7B">
      <w:pPr>
        <w:ind w:firstLine="3420" w:firstLineChars="950"/>
        <w:rPr>
          <w:rFonts w:ascii="华文行楷" w:eastAsia="华文行楷"/>
          <w:sz w:val="36"/>
          <w:szCs w:val="36"/>
        </w:rPr>
      </w:pPr>
      <w:r>
        <w:rPr>
          <w:rFonts w:hint="eastAsia" w:ascii="华文行楷" w:eastAsia="华文行楷"/>
          <w:sz w:val="36"/>
          <w:szCs w:val="36"/>
        </w:rPr>
        <w:t>重庆交通大学</w:t>
      </w:r>
    </w:p>
    <w:p w14:paraId="5B9E6E6A">
      <w:pPr>
        <w:jc w:val="center"/>
        <w:rPr>
          <w:sz w:val="21"/>
          <w:szCs w:val="21"/>
        </w:rPr>
      </w:pPr>
      <w:r>
        <w:rPr>
          <w:rFonts w:hint="eastAsia"/>
          <w:sz w:val="21"/>
          <w:szCs w:val="21"/>
        </w:rPr>
        <w:t>CHONGQING JIAOTONG UNIVERSITY</w:t>
      </w:r>
    </w:p>
    <w:p w14:paraId="67FEC574">
      <w:pPr>
        <w:spacing w:line="360" w:lineRule="auto"/>
        <w:jc w:val="center"/>
        <w:sectPr>
          <w:headerReference r:id="rId7" w:type="default"/>
          <w:headerReference r:id="rId8" w:type="even"/>
          <w:pgSz w:w="11906" w:h="16838"/>
          <w:pgMar w:top="1985" w:right="1418" w:bottom="1418" w:left="1418" w:header="1418" w:footer="1134" w:gutter="0"/>
          <w:cols w:space="720" w:num="1"/>
          <w:docGrid w:linePitch="326" w:charSpace="-2048"/>
        </w:sectPr>
      </w:pPr>
    </w:p>
    <w:p w14:paraId="33E9D107">
      <w:pPr>
        <w:spacing w:before="264" w:beforeLines="110" w:line="360" w:lineRule="auto"/>
        <w:jc w:val="center"/>
        <w:rPr>
          <w:rFonts w:hint="eastAsia" w:ascii="黑体" w:hAnsi="黑体" w:eastAsia="黑体"/>
          <w:b/>
          <w:sz w:val="30"/>
          <w:szCs w:val="30"/>
        </w:rPr>
      </w:pPr>
      <w:bookmarkStart w:id="0" w:name="_Toc105579304"/>
      <w:r>
        <w:rPr>
          <w:rFonts w:hint="eastAsia" w:ascii="黑体" w:hAnsi="黑体" w:eastAsia="黑体"/>
          <w:b/>
          <w:sz w:val="30"/>
          <w:szCs w:val="30"/>
        </w:rPr>
        <w:t>本科毕业论文（设计）原创性声明</w:t>
      </w:r>
    </w:p>
    <w:p w14:paraId="2C04C3E0">
      <w:pPr>
        <w:spacing w:line="360" w:lineRule="auto"/>
        <w:ind w:firstLine="480" w:firstLineChars="200"/>
        <w:rPr>
          <w:rFonts w:hint="eastAsia" w:ascii="宋体" w:hAnsi="宋体"/>
        </w:rPr>
      </w:pPr>
      <w:r>
        <w:rPr>
          <w:rFonts w:hint="eastAsia" w:ascii="宋体" w:hAnsi="宋体"/>
        </w:rPr>
        <w:t>本人郑重声明：所提交的毕业论文（设计），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4DDB230B">
      <w:pPr>
        <w:spacing w:line="360" w:lineRule="auto"/>
        <w:ind w:firstLine="480" w:firstLineChars="200"/>
        <w:rPr>
          <w:rFonts w:hint="eastAsia" w:ascii="宋体" w:hAnsi="宋体"/>
        </w:rPr>
      </w:pPr>
      <w:r>
        <w:rPr>
          <w:rFonts w:hint="eastAsia" w:ascii="宋体" w:hAnsi="宋体"/>
        </w:rPr>
        <w:t>本人完全意识到本声明的法律后果由本人承担。</w:t>
      </w:r>
    </w:p>
    <w:p w14:paraId="6ADC3F73">
      <w:pPr>
        <w:spacing w:line="360" w:lineRule="auto"/>
        <w:ind w:firstLine="560" w:firstLineChars="200"/>
        <w:rPr>
          <w:rFonts w:ascii="楷体_GB2312" w:eastAsia="楷体_GB2312"/>
          <w:sz w:val="28"/>
          <w:szCs w:val="28"/>
        </w:rPr>
      </w:pPr>
      <w:r>
        <w:rPr>
          <w:rFonts w:hint="eastAsia" w:ascii="楷体_GB2312" w:eastAsia="楷体_GB2312"/>
          <w:sz w:val="28"/>
          <w:szCs w:val="28"/>
        </w:rPr>
        <w:t>作者签名（亲笔）：                    年     月     日</w:t>
      </w:r>
    </w:p>
    <w:p w14:paraId="1E7B128B">
      <w:pPr>
        <w:rPr>
          <w:sz w:val="28"/>
        </w:rPr>
      </w:pPr>
      <w:r>
        <w:rPr>
          <w:rFonts w:hint="eastAsia"/>
          <w:sz w:val="28"/>
        </w:rPr>
        <w:t>------------------------------------------------------------------------------------------------</w:t>
      </w:r>
    </w:p>
    <w:p w14:paraId="72832A65">
      <w:pPr>
        <w:spacing w:before="264" w:beforeLines="110" w:line="360" w:lineRule="auto"/>
        <w:jc w:val="center"/>
        <w:rPr>
          <w:rFonts w:hint="eastAsia" w:ascii="黑体" w:hAnsi="黑体" w:eastAsia="黑体"/>
          <w:b/>
          <w:sz w:val="30"/>
          <w:szCs w:val="30"/>
        </w:rPr>
      </w:pPr>
      <w:r>
        <w:rPr>
          <w:rFonts w:hint="eastAsia" w:ascii="黑体" w:hAnsi="黑体" w:eastAsia="黑体"/>
          <w:b/>
          <w:sz w:val="30"/>
          <w:szCs w:val="30"/>
        </w:rPr>
        <w:t>本科毕业论文（设计）版权使用授权书</w:t>
      </w:r>
    </w:p>
    <w:p w14:paraId="2CFE64F8">
      <w:pPr>
        <w:spacing w:line="360" w:lineRule="auto"/>
        <w:ind w:firstLine="480" w:firstLineChars="200"/>
        <w:rPr>
          <w:rFonts w:hint="eastAsia" w:ascii="宋体" w:hAnsi="宋体"/>
        </w:rPr>
      </w:pPr>
      <w:r>
        <w:rPr>
          <w:rFonts w:hint="eastAsia" w:ascii="宋体" w:hAnsi="宋体"/>
        </w:rPr>
        <w:t>本毕业论文（设计）作者完全了解学校有关保留、使用学位论文的规定，本科生在校攻读期间毕业论文（设计）工作的知识产权单位属重庆交通大学，同意学校保留并向国家有关部门或机构送交论文的复印件和电子版，允许论文被查阅和借阅；本人授权重庆交通大学可以将毕业论文（设计）的全部或部分内容编入有关数据库进行检索，可以采用影印、缩印或扫描等复制手段保存、汇编毕业设计（论文）。</w:t>
      </w:r>
    </w:p>
    <w:p w14:paraId="367456BC">
      <w:pPr>
        <w:spacing w:line="360" w:lineRule="auto"/>
        <w:rPr>
          <w:rFonts w:ascii="楷体_GB2312" w:eastAsia="楷体_GB2312"/>
          <w:sz w:val="28"/>
          <w:szCs w:val="28"/>
        </w:rPr>
      </w:pPr>
      <w:r>
        <w:rPr>
          <w:rFonts w:hint="eastAsia" w:ascii="楷体_GB2312" w:eastAsia="楷体_GB2312"/>
          <w:sz w:val="28"/>
          <w:szCs w:val="28"/>
        </w:rPr>
        <w:t xml:space="preserve">    作者签名（亲笔）：                    年     月     日</w:t>
      </w:r>
    </w:p>
    <w:p w14:paraId="28303F91">
      <w:pPr>
        <w:spacing w:line="360" w:lineRule="auto"/>
        <w:ind w:firstLine="560" w:firstLineChars="200"/>
        <w:rPr>
          <w:rFonts w:ascii="楷体_GB2312" w:eastAsia="楷体_GB2312"/>
          <w:sz w:val="28"/>
          <w:szCs w:val="28"/>
        </w:rPr>
      </w:pPr>
      <w:r>
        <w:rPr>
          <w:rFonts w:hint="eastAsia" w:ascii="楷体_GB2312" w:eastAsia="楷体_GB2312"/>
          <w:sz w:val="28"/>
          <w:szCs w:val="28"/>
        </w:rPr>
        <w:t>导师签名（亲笔）：                    年     月     日</w:t>
      </w:r>
    </w:p>
    <w:p w14:paraId="5E036C46"/>
    <w:p w14:paraId="445DA806"/>
    <w:p w14:paraId="5803CBEA"/>
    <w:p w14:paraId="24B2B2C4"/>
    <w:p w14:paraId="7680CC1C"/>
    <w:p w14:paraId="4623563E"/>
    <w:p w14:paraId="54B05CF7"/>
    <w:p w14:paraId="0CEB64C6"/>
    <w:p w14:paraId="3D85A8C4"/>
    <w:p w14:paraId="4BA840D1"/>
    <w:p w14:paraId="10CB750F"/>
    <w:p w14:paraId="68567FD6"/>
    <w:p w14:paraId="59732835">
      <w:pPr>
        <w:pStyle w:val="2"/>
      </w:pPr>
      <w:bookmarkStart w:id="1" w:name="_Toc6965"/>
      <w:r>
        <w:rPr>
          <w:rFonts w:hint="eastAsia"/>
        </w:rPr>
        <w:t>摘   要</w:t>
      </w:r>
      <w:bookmarkEnd w:id="0"/>
      <w:bookmarkEnd w:id="1"/>
    </w:p>
    <w:p w14:paraId="72469394">
      <w:pPr>
        <w:pStyle w:val="48"/>
        <w:bidi w:val="0"/>
      </w:pPr>
      <w:r>
        <w:t>随着计算机视觉和三维重建技术的不断</w:t>
      </w:r>
      <w:r>
        <w:rPr>
          <w:rFonts w:hint="eastAsia"/>
          <w:lang w:val="en-US" w:eastAsia="zh-CN"/>
        </w:rPr>
        <w:t>发展</w:t>
      </w:r>
      <w:r>
        <w:t>，从多视图图像中自动恢复高精度三维场景已经成为了研究领域的一个前沿课题。传统的三维重建方法通常依赖于图像特征的精确匹配，并通过构建稠密点云来推断场景的几何结构。然而，这些技术在复杂光照或高反射性材质等非朗伯表面条件下的表现</w:t>
      </w:r>
      <w:r>
        <w:rPr>
          <w:rFonts w:hint="eastAsia"/>
          <w:lang w:val="en-US" w:eastAsia="zh-CN"/>
        </w:rPr>
        <w:t>较差</w:t>
      </w:r>
      <w:r>
        <w:t>，且在自由视角渲染时难以获得真实感效果。此外，基于神经网络的重建方法面临着长时间的训练和高渲染消耗等问题，限制了其</w:t>
      </w:r>
      <w:r>
        <w:rPr>
          <w:rFonts w:hint="eastAsia"/>
          <w:lang w:val="en-US" w:eastAsia="zh-CN"/>
        </w:rPr>
        <w:t>落地的可能性</w:t>
      </w:r>
      <w:r>
        <w:t>。2023年，Kerbl等人提出了三维高斯泼溅方法（3DGS），该方法有效地弥补了NeRF在效率方面的不足，为三维场景建模与实时渲染提供了新的解决方案。</w:t>
      </w:r>
    </w:p>
    <w:p w14:paraId="4F3AA764">
      <w:pPr>
        <w:pStyle w:val="48"/>
        <w:bidi w:val="0"/>
      </w:pPr>
      <w:r>
        <w:t>本文主要讨论了稀疏点云的构建与优化，并进一步深入研究了基于高斯泼溅的高质量三维重建方法，旨在设计出一个高效、真实感强且具备可微分优化特性的三维场景重建框架。通过采用COLMAP算法及开源工具，本文完成了图像数据的预处理工作，包括特征提取、特征匹配优化以及点云结构一致性与空间分布的增强，最终生成了稀疏点云数据。在此基础上，构建了高斯点云表示，并利用点的空间位置、各向异性尺度、透明度和色彩等参数进行了详细建模。</w:t>
      </w:r>
    </w:p>
    <w:p w14:paraId="0E8E23C8">
      <w:pPr>
        <w:pStyle w:val="48"/>
        <w:bidi w:val="0"/>
      </w:pPr>
      <w:r>
        <w:t>本文还探讨基于3DGS的可微分渲染方法，采用球谐函数对点的反射属性进行编码，从而实现了方向感知的高精度光照建模。此方法不仅具有出色的可视化效果，而且能够通过反向传播机制在训练过程中优化高斯点的相关参数。最后，本文还探讨了高斯点初始化策略、训练流程设计、以及优化，旨在实现轻量化、高精度和高效的三维重建。这为游戏开发、数字孪生和虚拟现实等领域的应用提供了新的技术路径。</w:t>
      </w:r>
    </w:p>
    <w:p w14:paraId="20515E55">
      <w:pPr>
        <w:pStyle w:val="48"/>
        <w:bidi w:val="0"/>
        <w:sectPr>
          <w:headerReference r:id="rId11" w:type="first"/>
          <w:footerReference r:id="rId14" w:type="first"/>
          <w:headerReference r:id="rId9" w:type="default"/>
          <w:footerReference r:id="rId12" w:type="default"/>
          <w:headerReference r:id="rId10" w:type="even"/>
          <w:footerReference r:id="rId13" w:type="even"/>
          <w:pgSz w:w="11906" w:h="16838"/>
          <w:pgMar w:top="1418" w:right="1191" w:bottom="1191" w:left="1191" w:header="1418" w:footer="1134" w:gutter="567"/>
          <w:pgNumType w:fmt="upperRoman" w:start="1"/>
          <w:cols w:space="720" w:num="1"/>
          <w:docGrid w:linePitch="326" w:charSpace="-2048"/>
        </w:sectPr>
      </w:pPr>
      <w:r>
        <w:t>关键词：三维重建、多视图几何、稀疏点云、高斯泼溅、可微分渲染</w:t>
      </w:r>
    </w:p>
    <w:p w14:paraId="50BF1605">
      <w:pPr>
        <w:jc w:val="both"/>
        <w:rPr>
          <w:rFonts w:ascii="黑体" w:eastAsia="黑体"/>
          <w:sz w:val="30"/>
          <w:szCs w:val="30"/>
        </w:rPr>
      </w:pPr>
    </w:p>
    <w:p w14:paraId="4DBC9D0D">
      <w:pPr>
        <w:pStyle w:val="2"/>
        <w:rPr>
          <w:rFonts w:ascii="Times New Roman"/>
        </w:rPr>
      </w:pPr>
      <w:bookmarkStart w:id="2" w:name="_Toc18651"/>
      <w:r>
        <w:rPr>
          <w:rFonts w:ascii="Times New Roman"/>
        </w:rPr>
        <w:t>Abstract</w:t>
      </w:r>
      <w:bookmarkEnd w:id="2"/>
      <w:r>
        <w:rPr>
          <w:rFonts w:ascii="Times New Roman"/>
        </w:rPr>
        <w:t xml:space="preserve"> </w:t>
      </w:r>
    </w:p>
    <w:p w14:paraId="3E58B5BA">
      <w:pPr>
        <w:pStyle w:val="48"/>
        <w:bidi w:val="0"/>
        <w:rPr/>
      </w:pPr>
      <w:r>
        <w:rPr>
          <w:rFonts w:hint="default"/>
          <w:lang w:val="en-US" w:eastAsia="zh-CN"/>
        </w:rPr>
        <w:t>With the continuous development of computer vision and 3D reconstruction technologies, automatically recovering high-precision 3D scenes from multi-view images has become a cutting-edge topic in the research field. Traditional 3D reconstruction methods typically rely on precise matching of image features and infer the geometric structure of the scene by constructing dense point clouds. However, these techniques perform unsatisfactorily under complex lighting conditions or on non-Lambertian surfaces with high reflectivity, and they struggle to achieve realistic effects during free-viewpoint rendering. Moreover, neural network-based reconstruction methods face challenges such as long training times and high rendering costs, which limit their practical applicability. In 2023, Kerbl et al. proposed the 3D Gaussian Splashing (3DGS) method, which effectively addressed the efficiency shortcomings of NeRF and provided a new solution for 3D scene modeling and real-time rendering.</w:t>
      </w:r>
    </w:p>
    <w:p w14:paraId="2E01223E">
      <w:pPr>
        <w:pStyle w:val="48"/>
        <w:bidi w:val="0"/>
        <w:rPr>
          <w:rFonts w:hint="default"/>
        </w:rPr>
      </w:pPr>
      <w:r>
        <w:rPr>
          <w:rFonts w:hint="default"/>
          <w:lang w:val="en-US" w:eastAsia="zh-CN"/>
        </w:rPr>
        <w:t>This paper mainly discusses the construction and optimization of sparse point clouds and further investigates high-quality 3D reconstruction methods based on Gaussian splashing, aiming to design an efficient, realistic, and differentiable optimization-based 3D scene reconstruction framework. By employing the COLMAP algorithm and open-source tools, this paper completes the preprocessing of image data, including feature extraction, feature matching optimization, and enhancement of the structural consistency and spatial distribution of point clouds, ultimately generating sparse point cloud data. Based on this, a Gaussian point cloud representation is constructed, and detailed modeling is performed using parameters such as the spatial position, anisotropic scale, transparency, and color of the points.</w:t>
      </w:r>
    </w:p>
    <w:p w14:paraId="5F66651E">
      <w:pPr>
        <w:pStyle w:val="48"/>
        <w:bidi w:val="0"/>
        <w:rPr>
          <w:rFonts w:hint="default"/>
        </w:rPr>
      </w:pPr>
      <w:r>
        <w:rPr>
          <w:rFonts w:hint="default"/>
          <w:lang w:val="en-US" w:eastAsia="zh-CN"/>
        </w:rPr>
        <w:t>This paper also explores the differentiable rendering method based on 3DGS, encoding the reflection attributes of points with spherical harmonics to achieve direction-aware, high-precision lighting modeling. This method not only provides excellent visualization results but also optimizes the parameters of Gaussian points through the backpropagation mechanism during training. Finally, this paper discusses the initialization strategies of Gaussian points, the design of the training process, and optimization, aiming to achieve lightweight, high-precision, and efficient 3D reconstruction. This provides a new technological pathway for applications in game development, digital twins, and virtual reality.</w:t>
      </w:r>
    </w:p>
    <w:p w14:paraId="445511D5">
      <w:pPr>
        <w:pStyle w:val="48"/>
        <w:bidi w:val="0"/>
        <w:rPr>
          <w:rFonts w:hint="default"/>
        </w:rPr>
      </w:pPr>
      <w:r>
        <w:rPr>
          <w:rFonts w:hint="default"/>
          <w:lang w:val="en-US" w:eastAsia="zh-CN"/>
        </w:rPr>
        <w:t>Keywords: 3D Reconstruction, Multi-View Geometry, Sparse Point Cloud, Gaussian Splashing, Differentiable Rendering</w:t>
      </w:r>
    </w:p>
    <w:p w14:paraId="60769677">
      <w:pPr>
        <w:jc w:val="both"/>
      </w:pPr>
    </w:p>
    <w:p w14:paraId="40774F16"/>
    <w:p w14:paraId="3C21E27F">
      <w:pPr>
        <w:tabs>
          <w:tab w:val="left" w:pos="6225"/>
          <w:tab w:val="clear" w:pos="377"/>
        </w:tabs>
      </w:pPr>
      <w:r>
        <w:tab/>
      </w:r>
    </w:p>
    <w:p w14:paraId="7AFB045D">
      <w:pPr>
        <w:tabs>
          <w:tab w:val="left" w:pos="6225"/>
          <w:tab w:val="clear" w:pos="377"/>
        </w:tabs>
        <w:sectPr>
          <w:headerReference r:id="rId15" w:type="default"/>
          <w:footerReference r:id="rId16" w:type="default"/>
          <w:pgSz w:w="11906" w:h="16838"/>
          <w:pgMar w:top="1418" w:right="1191" w:bottom="1191" w:left="1191" w:header="1418" w:footer="1134" w:gutter="567"/>
          <w:pgNumType w:fmt="upperRoman"/>
          <w:cols w:space="720" w:num="1"/>
          <w:docGrid w:linePitch="326" w:charSpace="-2048"/>
        </w:sectPr>
      </w:pPr>
    </w:p>
    <w:p w14:paraId="0AE36903">
      <w:pPr>
        <w:jc w:val="center"/>
        <w:rPr>
          <w:rFonts w:ascii="黑体" w:eastAsia="黑体"/>
          <w:sz w:val="30"/>
          <w:szCs w:val="30"/>
        </w:rPr>
      </w:pPr>
      <w:r>
        <w:rPr>
          <w:rFonts w:hint="eastAsia" w:ascii="黑体" w:eastAsia="黑体"/>
          <w:sz w:val="30"/>
          <w:szCs w:val="30"/>
        </w:rPr>
        <w:t>目    录</w:t>
      </w:r>
    </w:p>
    <w:p w14:paraId="51404A11">
      <w:pPr>
        <w:pStyle w:val="16"/>
        <w:tabs>
          <w:tab w:val="right" w:leader="dot" w:pos="8957"/>
        </w:tabs>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"_Toc6965" </w:instrText>
      </w:r>
      <w:r>
        <w:fldChar w:fldCharType="separate"/>
      </w:r>
      <w:r>
        <w:rPr>
          <w:rFonts w:hint="eastAsia"/>
        </w:rPr>
        <w:t>摘    要</w:t>
      </w:r>
      <w:r>
        <w:tab/>
      </w:r>
      <w:r>
        <w:fldChar w:fldCharType="begin"/>
      </w:r>
      <w:r>
        <w:instrText xml:space="preserve"> PAGEREF _Toc6965 \h </w:instrText>
      </w:r>
      <w:r>
        <w:fldChar w:fldCharType="separate"/>
      </w:r>
      <w:r>
        <w:t>II</w:t>
      </w:r>
      <w:r>
        <w:fldChar w:fldCharType="end"/>
      </w:r>
      <w:r>
        <w:fldChar w:fldCharType="end"/>
      </w:r>
    </w:p>
    <w:p w14:paraId="2A664DF0">
      <w:pPr>
        <w:pStyle w:val="16"/>
        <w:tabs>
          <w:tab w:val="right" w:leader="dot" w:pos="8957"/>
        </w:tabs>
      </w:pPr>
      <w:r>
        <w:fldChar w:fldCharType="begin"/>
      </w:r>
      <w:r>
        <w:instrText xml:space="preserve"> HYPERLINK \l "_Toc18651" </w:instrText>
      </w:r>
      <w:r>
        <w:fldChar w:fldCharType="separate"/>
      </w:r>
      <w:r>
        <w:t>Abstract</w:t>
      </w:r>
      <w:r>
        <w:tab/>
      </w:r>
      <w:r>
        <w:fldChar w:fldCharType="begin"/>
      </w:r>
      <w:r>
        <w:instrText xml:space="preserve"> PAGEREF _Toc18651 \h </w:instrText>
      </w:r>
      <w:r>
        <w:fldChar w:fldCharType="separate"/>
      </w:r>
      <w:r>
        <w:t>III</w:t>
      </w:r>
      <w:r>
        <w:fldChar w:fldCharType="end"/>
      </w:r>
      <w:r>
        <w:fldChar w:fldCharType="end"/>
      </w:r>
    </w:p>
    <w:p w14:paraId="31C8A8E9">
      <w:pPr>
        <w:pStyle w:val="16"/>
        <w:tabs>
          <w:tab w:val="right" w:leader="dot" w:pos="8957"/>
        </w:tabs>
      </w:pPr>
      <w:r>
        <w:fldChar w:fldCharType="begin"/>
      </w:r>
      <w:r>
        <w:instrText xml:space="preserve"> HYPERLINK \l "_Toc3011" </w:instrText>
      </w:r>
      <w:r>
        <w:fldChar w:fldCharType="separate"/>
      </w:r>
      <w:r>
        <w:rPr>
          <w:rFonts w:hint="eastAsia"/>
        </w:rPr>
        <w:t>1  绪论</w:t>
      </w:r>
      <w:r>
        <w:tab/>
      </w:r>
      <w:r>
        <w:fldChar w:fldCharType="begin"/>
      </w:r>
      <w:r>
        <w:instrText xml:space="preserve"> PAGEREF _Toc3011 \h </w:instrText>
      </w:r>
      <w:r>
        <w:fldChar w:fldCharType="separate"/>
      </w:r>
      <w:r>
        <w:t>1</w:t>
      </w:r>
      <w:r>
        <w:fldChar w:fldCharType="end"/>
      </w:r>
      <w:r>
        <w:fldChar w:fldCharType="end"/>
      </w:r>
    </w:p>
    <w:p w14:paraId="7A04B960">
      <w:pPr>
        <w:pStyle w:val="18"/>
        <w:tabs>
          <w:tab w:val="right" w:leader="dot" w:pos="8957"/>
        </w:tabs>
        <w:ind w:left="480"/>
      </w:pPr>
      <w:r>
        <w:fldChar w:fldCharType="begin"/>
      </w:r>
      <w:r>
        <w:instrText xml:space="preserve"> HYPERLINK \l "_Toc28335" </w:instrText>
      </w:r>
      <w:r>
        <w:fldChar w:fldCharType="separate"/>
      </w:r>
      <w:r>
        <w:rPr>
          <w:rFonts w:hint="eastAsia"/>
        </w:rPr>
        <w:t>1.1  研究背景与意义</w:t>
      </w:r>
      <w:r>
        <w:tab/>
      </w:r>
      <w:r>
        <w:fldChar w:fldCharType="begin"/>
      </w:r>
      <w:r>
        <w:instrText xml:space="preserve"> PAGEREF _Toc28335 \h </w:instrText>
      </w:r>
      <w:r>
        <w:fldChar w:fldCharType="separate"/>
      </w:r>
      <w:r>
        <w:t>1</w:t>
      </w:r>
      <w:r>
        <w:fldChar w:fldCharType="end"/>
      </w:r>
      <w:r>
        <w:fldChar w:fldCharType="end"/>
      </w:r>
    </w:p>
    <w:p w14:paraId="224883B3">
      <w:pPr>
        <w:pStyle w:val="18"/>
        <w:tabs>
          <w:tab w:val="right" w:leader="dot" w:pos="8957"/>
        </w:tabs>
        <w:ind w:left="480"/>
      </w:pPr>
      <w:r>
        <w:fldChar w:fldCharType="begin"/>
      </w:r>
      <w:r>
        <w:instrText xml:space="preserve"> HYPERLINK \l "_Toc21878" </w:instrText>
      </w:r>
      <w:r>
        <w:fldChar w:fldCharType="separate"/>
      </w:r>
      <w:r>
        <w:rPr>
          <w:rFonts w:hint="eastAsia"/>
        </w:rPr>
        <w:t>1.2  国内外研究现状</w:t>
      </w:r>
      <w:r>
        <w:tab/>
      </w:r>
      <w:r>
        <w:fldChar w:fldCharType="begin"/>
      </w:r>
      <w:r>
        <w:instrText xml:space="preserve"> PAGEREF _Toc21878 \h </w:instrText>
      </w:r>
      <w:r>
        <w:fldChar w:fldCharType="separate"/>
      </w:r>
      <w:r>
        <w:t>2</w:t>
      </w:r>
      <w:r>
        <w:fldChar w:fldCharType="end"/>
      </w:r>
      <w:r>
        <w:fldChar w:fldCharType="end"/>
      </w:r>
    </w:p>
    <w:p w14:paraId="52F12C30">
      <w:pPr>
        <w:pStyle w:val="11"/>
        <w:tabs>
          <w:tab w:val="right" w:leader="dot" w:pos="8957"/>
        </w:tabs>
        <w:ind w:left="960"/>
      </w:pPr>
      <w:r>
        <w:fldChar w:fldCharType="begin"/>
      </w:r>
      <w:r>
        <w:instrText xml:space="preserve"> HYPERLINK \l "_Toc31536" </w:instrText>
      </w:r>
      <w:r>
        <w:fldChar w:fldCharType="separate"/>
      </w:r>
      <w:r>
        <w:rPr>
          <w:rFonts w:hint="eastAsia"/>
        </w:rPr>
        <w:t>1.2.1 三维重建技术研究现状</w:t>
      </w:r>
      <w:r>
        <w:tab/>
      </w:r>
      <w:r>
        <w:fldChar w:fldCharType="begin"/>
      </w:r>
      <w:r>
        <w:instrText xml:space="preserve"> PAGEREF _Toc31536 \h </w:instrText>
      </w:r>
      <w:r>
        <w:fldChar w:fldCharType="separate"/>
      </w:r>
      <w:r>
        <w:t>2</w:t>
      </w:r>
      <w:r>
        <w:fldChar w:fldCharType="end"/>
      </w:r>
      <w:r>
        <w:fldChar w:fldCharType="end"/>
      </w:r>
    </w:p>
    <w:p w14:paraId="09391631">
      <w:pPr>
        <w:pStyle w:val="11"/>
        <w:tabs>
          <w:tab w:val="right" w:leader="dot" w:pos="8957"/>
        </w:tabs>
        <w:ind w:left="960"/>
      </w:pPr>
      <w:r>
        <w:fldChar w:fldCharType="begin"/>
      </w:r>
      <w:r>
        <w:instrText xml:space="preserve"> HYPERLINK \l "_Toc8639" </w:instrText>
      </w:r>
      <w:r>
        <w:fldChar w:fldCharType="separate"/>
      </w:r>
      <w:r>
        <w:rPr>
          <w:rFonts w:hint="eastAsia"/>
        </w:rPr>
        <w:t>1.2.2 3DGS研究现状</w:t>
      </w:r>
      <w:r>
        <w:tab/>
      </w:r>
      <w:r>
        <w:fldChar w:fldCharType="begin"/>
      </w:r>
      <w:r>
        <w:instrText xml:space="preserve"> PAGEREF _Toc8639 \h </w:instrText>
      </w:r>
      <w:r>
        <w:fldChar w:fldCharType="separate"/>
      </w:r>
      <w:r>
        <w:t>2</w:t>
      </w:r>
      <w:r>
        <w:fldChar w:fldCharType="end"/>
      </w:r>
      <w:r>
        <w:fldChar w:fldCharType="end"/>
      </w:r>
    </w:p>
    <w:p w14:paraId="6E1506BA">
      <w:pPr>
        <w:pStyle w:val="18"/>
        <w:tabs>
          <w:tab w:val="right" w:leader="dot" w:pos="8957"/>
        </w:tabs>
        <w:ind w:left="480"/>
      </w:pPr>
      <w:r>
        <w:fldChar w:fldCharType="begin"/>
      </w:r>
      <w:r>
        <w:instrText xml:space="preserve"> HYPERLINK \l "_Toc13578" </w:instrText>
      </w:r>
      <w:r>
        <w:fldChar w:fldCharType="separate"/>
      </w:r>
      <w:r>
        <w:rPr>
          <w:rFonts w:hint="eastAsia"/>
          <w:bCs/>
        </w:rPr>
        <w:t>1.3 研究目标与内容</w:t>
      </w:r>
      <w:r>
        <w:tab/>
      </w:r>
      <w:r>
        <w:fldChar w:fldCharType="begin"/>
      </w:r>
      <w:r>
        <w:instrText xml:space="preserve"> PAGEREF _Toc13578 \h </w:instrText>
      </w:r>
      <w:r>
        <w:fldChar w:fldCharType="separate"/>
      </w:r>
      <w:r>
        <w:t>3</w:t>
      </w:r>
      <w:r>
        <w:fldChar w:fldCharType="end"/>
      </w:r>
      <w:r>
        <w:fldChar w:fldCharType="end"/>
      </w:r>
    </w:p>
    <w:p w14:paraId="37AFFEDD">
      <w:pPr>
        <w:pStyle w:val="18"/>
        <w:tabs>
          <w:tab w:val="right" w:leader="dot" w:pos="8957"/>
        </w:tabs>
        <w:ind w:left="480"/>
      </w:pPr>
      <w:r>
        <w:fldChar w:fldCharType="begin"/>
      </w:r>
      <w:r>
        <w:instrText xml:space="preserve"> HYPERLINK \l "_Toc15286" </w:instrText>
      </w:r>
      <w:r>
        <w:fldChar w:fldCharType="separate"/>
      </w:r>
      <w:r>
        <w:rPr>
          <w:rFonts w:hint="eastAsia"/>
        </w:rPr>
        <w:t>1.4  章节安排</w:t>
      </w:r>
      <w:r>
        <w:tab/>
      </w:r>
      <w:r>
        <w:fldChar w:fldCharType="begin"/>
      </w:r>
      <w:r>
        <w:instrText xml:space="preserve"> PAGEREF _Toc15286 \h </w:instrText>
      </w:r>
      <w:r>
        <w:fldChar w:fldCharType="separate"/>
      </w:r>
      <w:r>
        <w:t>4</w:t>
      </w:r>
      <w:r>
        <w:fldChar w:fldCharType="end"/>
      </w:r>
      <w:r>
        <w:fldChar w:fldCharType="end"/>
      </w:r>
    </w:p>
    <w:p w14:paraId="75D13056">
      <w:pPr>
        <w:pStyle w:val="16"/>
        <w:tabs>
          <w:tab w:val="right" w:leader="dot" w:pos="8957"/>
        </w:tabs>
      </w:pPr>
      <w:r>
        <w:fldChar w:fldCharType="begin"/>
      </w:r>
      <w:r>
        <w:instrText xml:space="preserve"> HYPERLINK \l "_Toc9660" </w:instrText>
      </w:r>
      <w:r>
        <w:fldChar w:fldCharType="separate"/>
      </w:r>
      <w:r>
        <w:rPr>
          <w:rFonts w:hint="eastAsia"/>
        </w:rPr>
        <w:t>2  三维重建相关技术综述</w:t>
      </w:r>
      <w:r>
        <w:tab/>
      </w:r>
      <w:r>
        <w:fldChar w:fldCharType="begin"/>
      </w:r>
      <w:r>
        <w:instrText xml:space="preserve"> PAGEREF _Toc9660 \h </w:instrText>
      </w:r>
      <w:r>
        <w:fldChar w:fldCharType="separate"/>
      </w:r>
      <w:r>
        <w:t>5</w:t>
      </w:r>
      <w:r>
        <w:fldChar w:fldCharType="end"/>
      </w:r>
      <w:r>
        <w:fldChar w:fldCharType="end"/>
      </w:r>
    </w:p>
    <w:p w14:paraId="75383B17">
      <w:pPr>
        <w:pStyle w:val="18"/>
        <w:tabs>
          <w:tab w:val="right" w:leader="dot" w:pos="8957"/>
        </w:tabs>
        <w:ind w:left="480"/>
      </w:pPr>
      <w:r>
        <w:fldChar w:fldCharType="begin"/>
      </w:r>
      <w:r>
        <w:instrText xml:space="preserve"> HYPERLINK \l "_Toc28281" </w:instrText>
      </w:r>
      <w:r>
        <w:fldChar w:fldCharType="separate"/>
      </w:r>
      <w:r>
        <w:rPr>
          <w:rFonts w:hint="eastAsia"/>
        </w:rPr>
        <w:t>2.1  三维重建基础理论</w:t>
      </w:r>
      <w:r>
        <w:tab/>
      </w:r>
      <w:r>
        <w:fldChar w:fldCharType="begin"/>
      </w:r>
      <w:r>
        <w:instrText xml:space="preserve"> PAGEREF _Toc28281 \h </w:instrText>
      </w:r>
      <w:r>
        <w:fldChar w:fldCharType="separate"/>
      </w:r>
      <w:r>
        <w:t>5</w:t>
      </w:r>
      <w:r>
        <w:fldChar w:fldCharType="end"/>
      </w:r>
      <w:r>
        <w:fldChar w:fldCharType="end"/>
      </w:r>
    </w:p>
    <w:p w14:paraId="093FD845">
      <w:pPr>
        <w:pStyle w:val="11"/>
        <w:tabs>
          <w:tab w:val="right" w:leader="dot" w:pos="8957"/>
        </w:tabs>
        <w:ind w:left="960"/>
      </w:pPr>
      <w:r>
        <w:fldChar w:fldCharType="begin"/>
      </w:r>
      <w:r>
        <w:instrText xml:space="preserve"> HYPERLINK \l "_Toc15624" </w:instrText>
      </w:r>
      <w:r>
        <w:fldChar w:fldCharType="separate"/>
      </w:r>
      <w:r>
        <w:rPr>
          <w:rFonts w:hint="eastAsia"/>
        </w:rPr>
        <w:t>2.1.1 多视图几何</w:t>
      </w:r>
      <w:r>
        <w:tab/>
      </w:r>
      <w:r>
        <w:fldChar w:fldCharType="begin"/>
      </w:r>
      <w:r>
        <w:instrText xml:space="preserve"> PAGEREF _Toc15624 \h </w:instrText>
      </w:r>
      <w:r>
        <w:fldChar w:fldCharType="separate"/>
      </w:r>
      <w:r>
        <w:t>5</w:t>
      </w:r>
      <w:r>
        <w:fldChar w:fldCharType="end"/>
      </w:r>
      <w:r>
        <w:fldChar w:fldCharType="end"/>
      </w:r>
    </w:p>
    <w:p w14:paraId="71588CBB">
      <w:pPr>
        <w:pStyle w:val="11"/>
        <w:tabs>
          <w:tab w:val="right" w:leader="dot" w:pos="8957"/>
        </w:tabs>
        <w:ind w:left="960"/>
      </w:pPr>
      <w:r>
        <w:fldChar w:fldCharType="begin"/>
      </w:r>
      <w:r>
        <w:instrText xml:space="preserve"> HYPERLINK \l "_Toc24437" </w:instrText>
      </w:r>
      <w:r>
        <w:fldChar w:fldCharType="separate"/>
      </w:r>
      <w:r>
        <w:rPr>
          <w:rFonts w:hint="eastAsia"/>
        </w:rPr>
        <w:t>2.1.2 相机模型与标定</w:t>
      </w:r>
      <w:r>
        <w:tab/>
      </w:r>
      <w:r>
        <w:fldChar w:fldCharType="begin"/>
      </w:r>
      <w:r>
        <w:instrText xml:space="preserve"> PAGEREF _Toc24437 \h </w:instrText>
      </w:r>
      <w:r>
        <w:fldChar w:fldCharType="separate"/>
      </w:r>
      <w:r>
        <w:t>7</w:t>
      </w:r>
      <w:r>
        <w:fldChar w:fldCharType="end"/>
      </w:r>
      <w:r>
        <w:fldChar w:fldCharType="end"/>
      </w:r>
    </w:p>
    <w:p w14:paraId="6D1BCE94">
      <w:pPr>
        <w:pStyle w:val="11"/>
        <w:tabs>
          <w:tab w:val="right" w:leader="dot" w:pos="8957"/>
        </w:tabs>
        <w:ind w:left="960"/>
      </w:pPr>
      <w:r>
        <w:fldChar w:fldCharType="begin"/>
      </w:r>
      <w:r>
        <w:instrText xml:space="preserve"> HYPERLINK \l "_Toc29841" </w:instrText>
      </w:r>
      <w:r>
        <w:fldChar w:fldCharType="separate"/>
      </w:r>
      <w:r>
        <w:rPr>
          <w:rFonts w:hint="eastAsia"/>
        </w:rPr>
        <w:t>2.1.3 常见的三维重建表达方式</w:t>
      </w:r>
      <w:r>
        <w:tab/>
      </w:r>
      <w:r>
        <w:fldChar w:fldCharType="begin"/>
      </w:r>
      <w:r>
        <w:instrText xml:space="preserve"> PAGEREF _Toc29841 \h </w:instrText>
      </w:r>
      <w:r>
        <w:fldChar w:fldCharType="separate"/>
      </w:r>
      <w:r>
        <w:t>9</w:t>
      </w:r>
      <w:r>
        <w:fldChar w:fldCharType="end"/>
      </w:r>
      <w:r>
        <w:fldChar w:fldCharType="end"/>
      </w:r>
    </w:p>
    <w:p w14:paraId="5ED0EC4A">
      <w:pPr>
        <w:pStyle w:val="18"/>
        <w:tabs>
          <w:tab w:val="right" w:leader="dot" w:pos="8957"/>
        </w:tabs>
        <w:ind w:left="480"/>
      </w:pPr>
      <w:r>
        <w:fldChar w:fldCharType="begin"/>
      </w:r>
      <w:r>
        <w:instrText xml:space="preserve"> HYPERLINK \l "_Toc3079" </w:instrText>
      </w:r>
      <w:r>
        <w:fldChar w:fldCharType="separate"/>
      </w:r>
      <w:r>
        <w:rPr>
          <w:rFonts w:hint="eastAsia"/>
        </w:rPr>
        <w:t>2.2基于神经辐射场的体素渲染</w:t>
      </w:r>
      <w:r>
        <w:tab/>
      </w:r>
      <w:r>
        <w:fldChar w:fldCharType="begin"/>
      </w:r>
      <w:r>
        <w:instrText xml:space="preserve"> PAGEREF _Toc3079 \h </w:instrText>
      </w:r>
      <w:r>
        <w:fldChar w:fldCharType="separate"/>
      </w:r>
      <w:r>
        <w:t>10</w:t>
      </w:r>
      <w:r>
        <w:fldChar w:fldCharType="end"/>
      </w:r>
      <w:r>
        <w:fldChar w:fldCharType="end"/>
      </w:r>
    </w:p>
    <w:p w14:paraId="1005BBB6">
      <w:pPr>
        <w:pStyle w:val="11"/>
        <w:tabs>
          <w:tab w:val="right" w:leader="dot" w:pos="8957"/>
        </w:tabs>
        <w:ind w:left="960"/>
      </w:pPr>
      <w:r>
        <w:fldChar w:fldCharType="begin"/>
      </w:r>
      <w:r>
        <w:instrText xml:space="preserve"> HYPERLINK \l "_Toc7544" </w:instrText>
      </w:r>
      <w:r>
        <w:fldChar w:fldCharType="separate"/>
      </w:r>
      <w:r>
        <w:rPr>
          <w:rFonts w:hint="eastAsia"/>
        </w:rPr>
        <w:t>2.2.1.核心思想与数学原理</w:t>
      </w:r>
      <w:r>
        <w:tab/>
      </w:r>
      <w:r>
        <w:fldChar w:fldCharType="begin"/>
      </w:r>
      <w:r>
        <w:instrText xml:space="preserve"> PAGEREF _Toc7544 \h </w:instrText>
      </w:r>
      <w:r>
        <w:fldChar w:fldCharType="separate"/>
      </w:r>
      <w:r>
        <w:t>10</w:t>
      </w:r>
      <w:r>
        <w:fldChar w:fldCharType="end"/>
      </w:r>
      <w:r>
        <w:fldChar w:fldCharType="end"/>
      </w:r>
    </w:p>
    <w:p w14:paraId="46FEED03">
      <w:pPr>
        <w:pStyle w:val="11"/>
        <w:tabs>
          <w:tab w:val="right" w:leader="dot" w:pos="8957"/>
        </w:tabs>
        <w:ind w:left="960"/>
      </w:pPr>
      <w:r>
        <w:fldChar w:fldCharType="begin"/>
      </w:r>
      <w:r>
        <w:instrText xml:space="preserve"> HYPERLINK \l "_Toc3352" </w:instrText>
      </w:r>
      <w:r>
        <w:fldChar w:fldCharType="separate"/>
      </w:r>
      <w:r>
        <w:rPr>
          <w:rFonts w:hint="eastAsia"/>
        </w:rPr>
        <w:t>2.2.2.NeRF的训练过程：</w:t>
      </w:r>
      <w:r>
        <w:tab/>
      </w:r>
      <w:r>
        <w:fldChar w:fldCharType="begin"/>
      </w:r>
      <w:r>
        <w:instrText xml:space="preserve"> PAGEREF _Toc3352 \h </w:instrText>
      </w:r>
      <w:r>
        <w:fldChar w:fldCharType="separate"/>
      </w:r>
      <w:r>
        <w:t>12</w:t>
      </w:r>
      <w:r>
        <w:fldChar w:fldCharType="end"/>
      </w:r>
      <w:r>
        <w:fldChar w:fldCharType="end"/>
      </w:r>
    </w:p>
    <w:p w14:paraId="3CD77943">
      <w:pPr>
        <w:pStyle w:val="11"/>
        <w:tabs>
          <w:tab w:val="right" w:leader="dot" w:pos="8957"/>
        </w:tabs>
        <w:ind w:left="960"/>
      </w:pPr>
      <w:r>
        <w:fldChar w:fldCharType="begin"/>
      </w:r>
      <w:r>
        <w:instrText xml:space="preserve"> HYPERLINK \l "_Toc4109" </w:instrText>
      </w:r>
      <w:r>
        <w:fldChar w:fldCharType="separate"/>
      </w:r>
      <w:r>
        <w:rPr>
          <w:rFonts w:hint="eastAsia"/>
        </w:rPr>
        <w:t>2.2.3.</w:t>
      </w:r>
      <w:r>
        <w:t>NeRF 的优缺点</w:t>
      </w:r>
      <w:r>
        <w:tab/>
      </w:r>
      <w:r>
        <w:fldChar w:fldCharType="begin"/>
      </w:r>
      <w:r>
        <w:instrText xml:space="preserve"> PAGEREF _Toc4109 \h </w:instrText>
      </w:r>
      <w:r>
        <w:fldChar w:fldCharType="separate"/>
      </w:r>
      <w:r>
        <w:t>12</w:t>
      </w:r>
      <w:r>
        <w:fldChar w:fldCharType="end"/>
      </w:r>
      <w:r>
        <w:fldChar w:fldCharType="end"/>
      </w:r>
    </w:p>
    <w:p w14:paraId="3153CBC5">
      <w:pPr>
        <w:pStyle w:val="16"/>
        <w:tabs>
          <w:tab w:val="right" w:leader="dot" w:pos="8957"/>
        </w:tabs>
      </w:pPr>
      <w:r>
        <w:fldChar w:fldCharType="begin"/>
      </w:r>
      <w:r>
        <w:instrText xml:space="preserve"> HYPERLINK \l "_Toc6304" </w:instrText>
      </w:r>
      <w:r>
        <w:fldChar w:fldCharType="separate"/>
      </w:r>
      <w:r>
        <w:rPr>
          <w:rFonts w:hint="eastAsia"/>
        </w:rPr>
        <w:t>3 图像数据预处理与稀疏点云重建</w:t>
      </w:r>
      <w:r>
        <w:tab/>
      </w:r>
      <w:r>
        <w:fldChar w:fldCharType="begin"/>
      </w:r>
      <w:r>
        <w:instrText xml:space="preserve"> PAGEREF _Toc6304 \h </w:instrText>
      </w:r>
      <w:r>
        <w:fldChar w:fldCharType="separate"/>
      </w:r>
      <w:r>
        <w:t>13</w:t>
      </w:r>
      <w:r>
        <w:fldChar w:fldCharType="end"/>
      </w:r>
      <w:r>
        <w:fldChar w:fldCharType="end"/>
      </w:r>
    </w:p>
    <w:p w14:paraId="76BD0287">
      <w:pPr>
        <w:pStyle w:val="18"/>
        <w:tabs>
          <w:tab w:val="right" w:leader="dot" w:pos="8957"/>
        </w:tabs>
        <w:ind w:left="480"/>
      </w:pPr>
      <w:r>
        <w:fldChar w:fldCharType="begin"/>
      </w:r>
      <w:r>
        <w:instrText xml:space="preserve"> HYPERLINK \l "_Toc30148" </w:instrText>
      </w:r>
      <w:r>
        <w:fldChar w:fldCharType="separate"/>
      </w:r>
      <w:r>
        <w:rPr>
          <w:rFonts w:hint="eastAsia"/>
        </w:rPr>
        <w:t>3.1 基于COLMAP的相机位姿估计</w:t>
      </w:r>
      <w:r>
        <w:tab/>
      </w:r>
      <w:r>
        <w:fldChar w:fldCharType="begin"/>
      </w:r>
      <w:r>
        <w:instrText xml:space="preserve"> PAGEREF _Toc30148 \h </w:instrText>
      </w:r>
      <w:r>
        <w:fldChar w:fldCharType="separate"/>
      </w:r>
      <w:r>
        <w:t>13</w:t>
      </w:r>
      <w:r>
        <w:fldChar w:fldCharType="end"/>
      </w:r>
      <w:r>
        <w:fldChar w:fldCharType="end"/>
      </w:r>
    </w:p>
    <w:p w14:paraId="4C16FD90">
      <w:pPr>
        <w:pStyle w:val="11"/>
        <w:tabs>
          <w:tab w:val="right" w:leader="dot" w:pos="8957"/>
        </w:tabs>
        <w:ind w:left="960"/>
      </w:pPr>
      <w:r>
        <w:fldChar w:fldCharType="begin"/>
      </w:r>
      <w:r>
        <w:instrText xml:space="preserve"> HYPERLINK \l "_Toc14385" </w:instrText>
      </w:r>
      <w:r>
        <w:fldChar w:fldCharType="separate"/>
      </w:r>
      <w:r>
        <w:t>3.1.1 相机模型与投影几何</w:t>
      </w:r>
      <w:r>
        <w:tab/>
      </w:r>
      <w:r>
        <w:fldChar w:fldCharType="begin"/>
      </w:r>
      <w:r>
        <w:instrText xml:space="preserve"> PAGEREF _Toc14385 \h </w:instrText>
      </w:r>
      <w:r>
        <w:fldChar w:fldCharType="separate"/>
      </w:r>
      <w:r>
        <w:t>13</w:t>
      </w:r>
      <w:r>
        <w:fldChar w:fldCharType="end"/>
      </w:r>
      <w:r>
        <w:fldChar w:fldCharType="end"/>
      </w:r>
    </w:p>
    <w:p w14:paraId="290A555B">
      <w:pPr>
        <w:pStyle w:val="11"/>
        <w:tabs>
          <w:tab w:val="right" w:leader="dot" w:pos="8957"/>
        </w:tabs>
        <w:ind w:left="960"/>
      </w:pPr>
      <w:r>
        <w:fldChar w:fldCharType="begin"/>
      </w:r>
      <w:r>
        <w:instrText xml:space="preserve"> HYPERLINK \l "_Toc26636" </w:instrText>
      </w:r>
      <w:r>
        <w:fldChar w:fldCharType="separate"/>
      </w:r>
      <w:r>
        <w:t>3.1.2 特征提取与匹配</w:t>
      </w:r>
      <w:r>
        <w:tab/>
      </w:r>
      <w:r>
        <w:fldChar w:fldCharType="begin"/>
      </w:r>
      <w:r>
        <w:instrText xml:space="preserve"> PAGEREF _Toc26636 \h </w:instrText>
      </w:r>
      <w:r>
        <w:fldChar w:fldCharType="separate"/>
      </w:r>
      <w:r>
        <w:t>13</w:t>
      </w:r>
      <w:r>
        <w:fldChar w:fldCharType="end"/>
      </w:r>
      <w:r>
        <w:fldChar w:fldCharType="end"/>
      </w:r>
    </w:p>
    <w:p w14:paraId="0C7947F2">
      <w:pPr>
        <w:pStyle w:val="11"/>
        <w:tabs>
          <w:tab w:val="right" w:leader="dot" w:pos="8957"/>
        </w:tabs>
        <w:ind w:left="960"/>
      </w:pPr>
      <w:r>
        <w:fldChar w:fldCharType="begin"/>
      </w:r>
      <w:r>
        <w:instrText xml:space="preserve"> HYPERLINK \l "_Toc9472" </w:instrText>
      </w:r>
      <w:r>
        <w:fldChar w:fldCharType="separate"/>
      </w:r>
      <w:r>
        <w:t>3.1.3 增量式 SfM 重建流程</w:t>
      </w:r>
      <w:r>
        <w:tab/>
      </w:r>
      <w:r>
        <w:fldChar w:fldCharType="begin"/>
      </w:r>
      <w:r>
        <w:instrText xml:space="preserve"> PAGEREF _Toc9472 \h </w:instrText>
      </w:r>
      <w:r>
        <w:fldChar w:fldCharType="separate"/>
      </w:r>
      <w:r>
        <w:t>14</w:t>
      </w:r>
      <w:r>
        <w:fldChar w:fldCharType="end"/>
      </w:r>
      <w:r>
        <w:fldChar w:fldCharType="end"/>
      </w:r>
    </w:p>
    <w:p w14:paraId="23C9D81F">
      <w:pPr>
        <w:pStyle w:val="11"/>
        <w:tabs>
          <w:tab w:val="right" w:leader="dot" w:pos="8957"/>
        </w:tabs>
        <w:ind w:left="960"/>
      </w:pPr>
      <w:r>
        <w:fldChar w:fldCharType="begin"/>
      </w:r>
      <w:r>
        <w:instrText xml:space="preserve"> HYPERLINK \l "_Toc12998" </w:instrText>
      </w:r>
      <w:r>
        <w:fldChar w:fldCharType="separate"/>
      </w:r>
      <w:r>
        <w:t>3.1.4 输出格式与可视化</w:t>
      </w:r>
      <w:r>
        <w:tab/>
      </w:r>
      <w:r>
        <w:fldChar w:fldCharType="begin"/>
      </w:r>
      <w:r>
        <w:instrText xml:space="preserve"> PAGEREF _Toc12998 \h </w:instrText>
      </w:r>
      <w:r>
        <w:fldChar w:fldCharType="separate"/>
      </w:r>
      <w:r>
        <w:t>14</w:t>
      </w:r>
      <w:r>
        <w:fldChar w:fldCharType="end"/>
      </w:r>
      <w:r>
        <w:fldChar w:fldCharType="end"/>
      </w:r>
    </w:p>
    <w:p w14:paraId="1174E280">
      <w:pPr>
        <w:pStyle w:val="18"/>
        <w:tabs>
          <w:tab w:val="right" w:leader="dot" w:pos="8957"/>
        </w:tabs>
        <w:ind w:left="480"/>
      </w:pPr>
      <w:r>
        <w:fldChar w:fldCharType="begin"/>
      </w:r>
      <w:r>
        <w:instrText xml:space="preserve"> HYPERLINK \l "_Toc32001" </w:instrText>
      </w:r>
      <w:r>
        <w:fldChar w:fldCharType="separate"/>
      </w:r>
      <w:r>
        <w:rPr>
          <w:rFonts w:hint="eastAsia"/>
        </w:rPr>
        <w:t>3.2  稀疏点云生成</w:t>
      </w:r>
      <w:r>
        <w:tab/>
      </w:r>
      <w:r>
        <w:fldChar w:fldCharType="begin"/>
      </w:r>
      <w:r>
        <w:instrText xml:space="preserve"> PAGEREF _Toc32001 \h </w:instrText>
      </w:r>
      <w:r>
        <w:fldChar w:fldCharType="separate"/>
      </w:r>
      <w:r>
        <w:t>14</w:t>
      </w:r>
      <w:r>
        <w:fldChar w:fldCharType="end"/>
      </w:r>
      <w:r>
        <w:fldChar w:fldCharType="end"/>
      </w:r>
    </w:p>
    <w:p w14:paraId="4C21F5AE">
      <w:pPr>
        <w:pStyle w:val="11"/>
        <w:tabs>
          <w:tab w:val="right" w:leader="dot" w:pos="8957"/>
        </w:tabs>
        <w:ind w:left="960"/>
      </w:pPr>
      <w:r>
        <w:fldChar w:fldCharType="begin"/>
      </w:r>
      <w:r>
        <w:instrText xml:space="preserve"> HYPERLINK \l "_Toc16221" </w:instrText>
      </w:r>
      <w:r>
        <w:fldChar w:fldCharType="separate"/>
      </w:r>
      <w:r>
        <w:rPr>
          <w:rFonts w:hint="eastAsia"/>
        </w:rPr>
        <w:t>3.2.1 三角测量与深度恢复</w:t>
      </w:r>
      <w:r>
        <w:tab/>
      </w:r>
      <w:r>
        <w:fldChar w:fldCharType="begin"/>
      </w:r>
      <w:r>
        <w:instrText xml:space="preserve"> PAGEREF _Toc16221 \h </w:instrText>
      </w:r>
      <w:r>
        <w:fldChar w:fldCharType="separate"/>
      </w:r>
      <w:r>
        <w:t>14</w:t>
      </w:r>
      <w:r>
        <w:fldChar w:fldCharType="end"/>
      </w:r>
      <w:r>
        <w:fldChar w:fldCharType="end"/>
      </w:r>
    </w:p>
    <w:p w14:paraId="4DDB025B">
      <w:pPr>
        <w:pStyle w:val="11"/>
        <w:tabs>
          <w:tab w:val="right" w:leader="dot" w:pos="8957"/>
        </w:tabs>
        <w:ind w:left="960"/>
      </w:pPr>
      <w:r>
        <w:fldChar w:fldCharType="begin"/>
      </w:r>
      <w:r>
        <w:instrText xml:space="preserve"> HYPERLINK \l "_Toc25102" </w:instrText>
      </w:r>
      <w:r>
        <w:fldChar w:fldCharType="separate"/>
      </w:r>
      <w:r>
        <w:rPr>
          <w:rFonts w:hint="eastAsia"/>
        </w:rPr>
        <w:t>3.2.2 稀疏点云的特性与局限性</w:t>
      </w:r>
      <w:r>
        <w:tab/>
      </w:r>
      <w:r>
        <w:fldChar w:fldCharType="begin"/>
      </w:r>
      <w:r>
        <w:instrText xml:space="preserve"> PAGEREF _Toc25102 \h </w:instrText>
      </w:r>
      <w:r>
        <w:fldChar w:fldCharType="separate"/>
      </w:r>
      <w:r>
        <w:t>14</w:t>
      </w:r>
      <w:r>
        <w:fldChar w:fldCharType="end"/>
      </w:r>
      <w:r>
        <w:fldChar w:fldCharType="end"/>
      </w:r>
    </w:p>
    <w:p w14:paraId="65F63758">
      <w:pPr>
        <w:pStyle w:val="18"/>
        <w:tabs>
          <w:tab w:val="right" w:leader="dot" w:pos="8957"/>
        </w:tabs>
        <w:ind w:left="480"/>
      </w:pPr>
      <w:r>
        <w:fldChar w:fldCharType="begin"/>
      </w:r>
      <w:r>
        <w:instrText xml:space="preserve"> HYPERLINK \l "_Toc5596" </w:instrText>
      </w:r>
      <w:r>
        <w:fldChar w:fldCharType="separate"/>
      </w:r>
      <w:r>
        <w:rPr>
          <w:rFonts w:hint="eastAsia"/>
        </w:rPr>
        <w:t>3.3 基于点云神经网络的系数点云优化</w:t>
      </w:r>
      <w:r>
        <w:tab/>
      </w:r>
      <w:r>
        <w:fldChar w:fldCharType="begin"/>
      </w:r>
      <w:r>
        <w:instrText xml:space="preserve"> PAGEREF _Toc5596 \h </w:instrText>
      </w:r>
      <w:r>
        <w:fldChar w:fldCharType="separate"/>
      </w:r>
      <w:r>
        <w:t>15</w:t>
      </w:r>
      <w:r>
        <w:fldChar w:fldCharType="end"/>
      </w:r>
      <w:r>
        <w:fldChar w:fldCharType="end"/>
      </w:r>
    </w:p>
    <w:p w14:paraId="31B62674">
      <w:pPr>
        <w:pStyle w:val="11"/>
        <w:tabs>
          <w:tab w:val="right" w:leader="dot" w:pos="8957"/>
        </w:tabs>
        <w:ind w:left="960"/>
      </w:pPr>
      <w:r>
        <w:fldChar w:fldCharType="begin"/>
      </w:r>
      <w:r>
        <w:instrText xml:space="preserve"> HYPERLINK \l "_Toc23356" </w:instrText>
      </w:r>
      <w:r>
        <w:fldChar w:fldCharType="separate"/>
      </w:r>
      <w:r>
        <w:t>3.3.1 点云处理挑战</w:t>
      </w:r>
      <w:r>
        <w:tab/>
      </w:r>
      <w:r>
        <w:fldChar w:fldCharType="begin"/>
      </w:r>
      <w:r>
        <w:instrText xml:space="preserve"> PAGEREF _Toc23356 \h </w:instrText>
      </w:r>
      <w:r>
        <w:fldChar w:fldCharType="separate"/>
      </w:r>
      <w:r>
        <w:t>15</w:t>
      </w:r>
      <w:r>
        <w:fldChar w:fldCharType="end"/>
      </w:r>
      <w:r>
        <w:fldChar w:fldCharType="end"/>
      </w:r>
    </w:p>
    <w:p w14:paraId="33EDF0CE">
      <w:pPr>
        <w:pStyle w:val="11"/>
        <w:tabs>
          <w:tab w:val="right" w:leader="dot" w:pos="8957"/>
        </w:tabs>
        <w:ind w:left="960"/>
      </w:pPr>
      <w:r>
        <w:fldChar w:fldCharType="begin"/>
      </w:r>
      <w:r>
        <w:instrText xml:space="preserve"> HYPERLINK \l "_Toc2931" </w:instrText>
      </w:r>
      <w:r>
        <w:fldChar w:fldCharType="separate"/>
      </w:r>
      <w:r>
        <w:t>3.3.2 PointNet架构原理</w:t>
      </w:r>
      <w:r>
        <w:tab/>
      </w:r>
      <w:r>
        <w:fldChar w:fldCharType="begin"/>
      </w:r>
      <w:r>
        <w:instrText xml:space="preserve"> PAGEREF _Toc2931 \h </w:instrText>
      </w:r>
      <w:r>
        <w:fldChar w:fldCharType="separate"/>
      </w:r>
      <w:r>
        <w:t>15</w:t>
      </w:r>
      <w:r>
        <w:fldChar w:fldCharType="end"/>
      </w:r>
      <w:r>
        <w:fldChar w:fldCharType="end"/>
      </w:r>
    </w:p>
    <w:p w14:paraId="4A3BDF4F">
      <w:pPr>
        <w:pStyle w:val="11"/>
        <w:tabs>
          <w:tab w:val="right" w:leader="dot" w:pos="8957"/>
        </w:tabs>
        <w:ind w:left="960"/>
      </w:pPr>
      <w:r>
        <w:fldChar w:fldCharType="begin"/>
      </w:r>
      <w:r>
        <w:instrText xml:space="preserve"> HYPERLINK \l "_Toc20925" </w:instrText>
      </w:r>
      <w:r>
        <w:fldChar w:fldCharType="separate"/>
      </w:r>
      <w:r>
        <w:t>3.3.3 在稀疏重建中的应用</w:t>
      </w:r>
      <w:r>
        <w:tab/>
      </w:r>
      <w:r>
        <w:fldChar w:fldCharType="begin"/>
      </w:r>
      <w:r>
        <w:instrText xml:space="preserve"> PAGEREF _Toc20925 \h </w:instrText>
      </w:r>
      <w:r>
        <w:fldChar w:fldCharType="separate"/>
      </w:r>
      <w:r>
        <w:t>15</w:t>
      </w:r>
      <w:r>
        <w:fldChar w:fldCharType="end"/>
      </w:r>
      <w:r>
        <w:fldChar w:fldCharType="end"/>
      </w:r>
    </w:p>
    <w:p w14:paraId="75F2B6AF">
      <w:pPr>
        <w:pStyle w:val="11"/>
        <w:tabs>
          <w:tab w:val="right" w:leader="dot" w:pos="8957"/>
        </w:tabs>
        <w:ind w:left="960"/>
      </w:pPr>
      <w:r>
        <w:fldChar w:fldCharType="begin"/>
      </w:r>
      <w:r>
        <w:instrText xml:space="preserve"> HYPERLINK \l "_Toc12863" </w:instrText>
      </w:r>
      <w:r>
        <w:fldChar w:fldCharType="separate"/>
      </w:r>
      <w:r>
        <w:t>3.3.4 训练与部署流程</w:t>
      </w:r>
      <w:r>
        <w:tab/>
      </w:r>
      <w:r>
        <w:fldChar w:fldCharType="begin"/>
      </w:r>
      <w:r>
        <w:instrText xml:space="preserve"> PAGEREF _Toc12863 \h </w:instrText>
      </w:r>
      <w:r>
        <w:fldChar w:fldCharType="separate"/>
      </w:r>
      <w:r>
        <w:t>16</w:t>
      </w:r>
      <w:r>
        <w:fldChar w:fldCharType="end"/>
      </w:r>
      <w:r>
        <w:fldChar w:fldCharType="end"/>
      </w:r>
    </w:p>
    <w:p w14:paraId="7B57415F">
      <w:pPr>
        <w:pStyle w:val="16"/>
        <w:tabs>
          <w:tab w:val="right" w:leader="dot" w:pos="8957"/>
        </w:tabs>
      </w:pPr>
      <w:r>
        <w:fldChar w:fldCharType="begin"/>
      </w:r>
      <w:r>
        <w:instrText xml:space="preserve"> HYPERLINK \l "_Toc3595" </w:instrText>
      </w:r>
      <w:r>
        <w:fldChar w:fldCharType="separate"/>
      </w:r>
      <w:r>
        <w:rPr>
          <w:rFonts w:hint="eastAsia"/>
        </w:rPr>
        <w:t>4  基于高斯泼溅的三维重建方法</w:t>
      </w:r>
      <w:r>
        <w:tab/>
      </w:r>
      <w:r>
        <w:fldChar w:fldCharType="begin"/>
      </w:r>
      <w:r>
        <w:instrText xml:space="preserve"> PAGEREF _Toc3595 \h </w:instrText>
      </w:r>
      <w:r>
        <w:fldChar w:fldCharType="separate"/>
      </w:r>
      <w:r>
        <w:t>17</w:t>
      </w:r>
      <w:r>
        <w:fldChar w:fldCharType="end"/>
      </w:r>
      <w:r>
        <w:fldChar w:fldCharType="end"/>
      </w:r>
    </w:p>
    <w:p w14:paraId="5D73C5A2">
      <w:pPr>
        <w:pStyle w:val="16"/>
        <w:tabs>
          <w:tab w:val="right" w:leader="dot" w:pos="8957"/>
        </w:tabs>
        <w:ind w:firstLine="480" w:firstLineChars="200"/>
      </w:pPr>
      <w:r>
        <w:fldChar w:fldCharType="begin"/>
      </w:r>
      <w:r>
        <w:instrText xml:space="preserve"> HYPERLINK \l "_Toc31837" </w:instrText>
      </w:r>
      <w:r>
        <w:fldChar w:fldCharType="separate"/>
      </w:r>
      <w:r>
        <w:t>4.1 高斯泼溅表示</w:t>
      </w:r>
      <w:r>
        <w:tab/>
      </w:r>
      <w:r>
        <w:fldChar w:fldCharType="begin"/>
      </w:r>
      <w:r>
        <w:instrText xml:space="preserve"> PAGEREF _Toc31837 \h </w:instrText>
      </w:r>
      <w:r>
        <w:fldChar w:fldCharType="separate"/>
      </w:r>
      <w:r>
        <w:t>17</w:t>
      </w:r>
      <w:r>
        <w:fldChar w:fldCharType="end"/>
      </w:r>
      <w:r>
        <w:fldChar w:fldCharType="end"/>
      </w:r>
    </w:p>
    <w:p w14:paraId="3D71B5E3">
      <w:pPr>
        <w:pStyle w:val="11"/>
        <w:tabs>
          <w:tab w:val="right" w:leader="dot" w:pos="8957"/>
        </w:tabs>
        <w:ind w:left="960"/>
      </w:pPr>
      <w:r>
        <w:fldChar w:fldCharType="begin"/>
      </w:r>
      <w:r>
        <w:instrText xml:space="preserve"> HYPERLINK \l "_Toc32560" </w:instrText>
      </w:r>
      <w:r>
        <w:fldChar w:fldCharType="separate"/>
      </w:r>
      <w:r>
        <w:t>4.1.1 高斯分布的数学模型</w:t>
      </w:r>
      <w:r>
        <w:tab/>
      </w:r>
      <w:r>
        <w:fldChar w:fldCharType="begin"/>
      </w:r>
      <w:r>
        <w:instrText xml:space="preserve"> PAGEREF _Toc32560 \h </w:instrText>
      </w:r>
      <w:r>
        <w:fldChar w:fldCharType="separate"/>
      </w:r>
      <w:r>
        <w:t>17</w:t>
      </w:r>
      <w:r>
        <w:fldChar w:fldCharType="end"/>
      </w:r>
      <w:r>
        <w:fldChar w:fldCharType="end"/>
      </w:r>
    </w:p>
    <w:p w14:paraId="4E5B9DBB">
      <w:pPr>
        <w:pStyle w:val="11"/>
        <w:tabs>
          <w:tab w:val="right" w:leader="dot" w:pos="8957"/>
        </w:tabs>
        <w:ind w:left="960"/>
      </w:pPr>
      <w:r>
        <w:fldChar w:fldCharType="begin"/>
      </w:r>
      <w:r>
        <w:instrText xml:space="preserve"> HYPERLINK \l "_Toc21648" </w:instrText>
      </w:r>
      <w:r>
        <w:fldChar w:fldCharType="separate"/>
      </w:r>
      <w:r>
        <w:t>4.1.2 向量化与效率优化</w:t>
      </w:r>
      <w:r>
        <w:tab/>
      </w:r>
      <w:r>
        <w:fldChar w:fldCharType="begin"/>
      </w:r>
      <w:r>
        <w:instrText xml:space="preserve"> PAGEREF _Toc21648 \h </w:instrText>
      </w:r>
      <w:r>
        <w:fldChar w:fldCharType="separate"/>
      </w:r>
      <w:r>
        <w:t>17</w:t>
      </w:r>
      <w:r>
        <w:fldChar w:fldCharType="end"/>
      </w:r>
      <w:r>
        <w:fldChar w:fldCharType="end"/>
      </w:r>
    </w:p>
    <w:p w14:paraId="2BBEE7BA">
      <w:pPr>
        <w:pStyle w:val="18"/>
        <w:tabs>
          <w:tab w:val="right" w:leader="dot" w:pos="8957"/>
        </w:tabs>
        <w:ind w:left="480"/>
      </w:pPr>
      <w:r>
        <w:fldChar w:fldCharType="begin"/>
      </w:r>
      <w:r>
        <w:instrText xml:space="preserve"> HYPERLINK \l "_Toc9559" </w:instrText>
      </w:r>
      <w:r>
        <w:fldChar w:fldCharType="separate"/>
      </w:r>
      <w:r>
        <w:t>4.</w:t>
      </w:r>
      <w:r>
        <w:rPr>
          <w:rFonts w:hint="eastAsia"/>
        </w:rPr>
        <w:t>2</w:t>
      </w:r>
      <w:r>
        <w:t xml:space="preserve"> 可微渲染过程</w:t>
      </w:r>
      <w:r>
        <w:tab/>
      </w:r>
      <w:r>
        <w:fldChar w:fldCharType="begin"/>
      </w:r>
      <w:r>
        <w:instrText xml:space="preserve"> PAGEREF _Toc9559 \h </w:instrText>
      </w:r>
      <w:r>
        <w:fldChar w:fldCharType="separate"/>
      </w:r>
      <w:r>
        <w:t>18</w:t>
      </w:r>
      <w:r>
        <w:fldChar w:fldCharType="end"/>
      </w:r>
      <w:r>
        <w:fldChar w:fldCharType="end"/>
      </w:r>
    </w:p>
    <w:p w14:paraId="55CC8769">
      <w:pPr>
        <w:pStyle w:val="11"/>
        <w:tabs>
          <w:tab w:val="right" w:leader="dot" w:pos="8957"/>
        </w:tabs>
        <w:ind w:left="960"/>
      </w:pPr>
      <w:r>
        <w:fldChar w:fldCharType="begin"/>
      </w:r>
      <w:r>
        <w:instrText xml:space="preserve"> HYPERLINK \l "_Toc16633" </w:instrText>
      </w:r>
      <w:r>
        <w:fldChar w:fldCharType="separate"/>
      </w:r>
      <w:r>
        <w:t>4.</w:t>
      </w:r>
      <w:r>
        <w:rPr>
          <w:rFonts w:hint="eastAsia"/>
        </w:rPr>
        <w:t>2</w:t>
      </w:r>
      <w:r>
        <w:t>.1 渲染原理</w:t>
      </w:r>
      <w:r>
        <w:tab/>
      </w:r>
      <w:r>
        <w:fldChar w:fldCharType="begin"/>
      </w:r>
      <w:r>
        <w:instrText xml:space="preserve"> PAGEREF _Toc16633 \h </w:instrText>
      </w:r>
      <w:r>
        <w:fldChar w:fldCharType="separate"/>
      </w:r>
      <w:r>
        <w:t>18</w:t>
      </w:r>
      <w:r>
        <w:fldChar w:fldCharType="end"/>
      </w:r>
      <w:r>
        <w:fldChar w:fldCharType="end"/>
      </w:r>
    </w:p>
    <w:p w14:paraId="2273B3DE">
      <w:pPr>
        <w:pStyle w:val="11"/>
        <w:tabs>
          <w:tab w:val="right" w:leader="dot" w:pos="8957"/>
        </w:tabs>
        <w:ind w:left="960"/>
      </w:pPr>
      <w:r>
        <w:fldChar w:fldCharType="begin"/>
      </w:r>
      <w:r>
        <w:instrText xml:space="preserve"> HYPERLINK \l "_Toc545" </w:instrText>
      </w:r>
      <w:r>
        <w:fldChar w:fldCharType="separate"/>
      </w:r>
      <w:r>
        <w:rPr>
          <w:rFonts w:hint="eastAsia"/>
        </w:rPr>
        <w:t>4.2.2 可微渲染计算与梯度传播</w:t>
      </w:r>
      <w:r>
        <w:tab/>
      </w:r>
      <w:r>
        <w:fldChar w:fldCharType="begin"/>
      </w:r>
      <w:r>
        <w:instrText xml:space="preserve"> PAGEREF _Toc545 \h </w:instrText>
      </w:r>
      <w:r>
        <w:fldChar w:fldCharType="separate"/>
      </w:r>
      <w:r>
        <w:t>19</w:t>
      </w:r>
      <w:r>
        <w:fldChar w:fldCharType="end"/>
      </w:r>
      <w:r>
        <w:fldChar w:fldCharType="end"/>
      </w:r>
    </w:p>
    <w:p w14:paraId="4BC814A1">
      <w:pPr>
        <w:pStyle w:val="11"/>
        <w:tabs>
          <w:tab w:val="right" w:leader="dot" w:pos="8957"/>
        </w:tabs>
        <w:ind w:left="960"/>
      </w:pPr>
      <w:r>
        <w:fldChar w:fldCharType="begin"/>
      </w:r>
      <w:r>
        <w:instrText xml:space="preserve"> HYPERLINK \l "_Toc2228" </w:instrText>
      </w:r>
      <w:r>
        <w:fldChar w:fldCharType="separate"/>
      </w:r>
      <w:r>
        <w:rPr>
          <w:rFonts w:hint="eastAsia"/>
        </w:rPr>
        <w:t>4.2.3 引入球谐函数进行光照建模</w:t>
      </w:r>
      <w:r>
        <w:tab/>
      </w:r>
      <w:r>
        <w:fldChar w:fldCharType="begin"/>
      </w:r>
      <w:r>
        <w:instrText xml:space="preserve"> PAGEREF _Toc2228 \h </w:instrText>
      </w:r>
      <w:r>
        <w:fldChar w:fldCharType="separate"/>
      </w:r>
      <w:r>
        <w:t>19</w:t>
      </w:r>
      <w:r>
        <w:fldChar w:fldCharType="end"/>
      </w:r>
      <w:r>
        <w:fldChar w:fldCharType="end"/>
      </w:r>
    </w:p>
    <w:p w14:paraId="55CC3B2E">
      <w:pPr>
        <w:pStyle w:val="18"/>
        <w:tabs>
          <w:tab w:val="right" w:leader="dot" w:pos="8957"/>
        </w:tabs>
        <w:ind w:left="480"/>
      </w:pPr>
      <w:r>
        <w:fldChar w:fldCharType="begin"/>
      </w:r>
      <w:r>
        <w:instrText xml:space="preserve"> HYPERLINK \l "_Toc17477" </w:instrText>
      </w:r>
      <w:r>
        <w:fldChar w:fldCharType="separate"/>
      </w:r>
      <w:r>
        <w:t>4.</w:t>
      </w:r>
      <w:r>
        <w:rPr>
          <w:rFonts w:hint="eastAsia"/>
        </w:rPr>
        <w:t>3</w:t>
      </w:r>
      <w:r>
        <w:t xml:space="preserve"> 参数初始化与训练策略</w:t>
      </w:r>
      <w:r>
        <w:tab/>
      </w:r>
      <w:r>
        <w:fldChar w:fldCharType="begin"/>
      </w:r>
      <w:r>
        <w:instrText xml:space="preserve"> PAGEREF _Toc17477 \h </w:instrText>
      </w:r>
      <w:r>
        <w:fldChar w:fldCharType="separate"/>
      </w:r>
      <w:r>
        <w:t>21</w:t>
      </w:r>
      <w:r>
        <w:fldChar w:fldCharType="end"/>
      </w:r>
      <w:r>
        <w:fldChar w:fldCharType="end"/>
      </w:r>
    </w:p>
    <w:p w14:paraId="1707339F">
      <w:pPr>
        <w:pStyle w:val="11"/>
        <w:tabs>
          <w:tab w:val="right" w:leader="dot" w:pos="8957"/>
        </w:tabs>
        <w:ind w:left="960"/>
      </w:pPr>
      <w:r>
        <w:fldChar w:fldCharType="begin"/>
      </w:r>
      <w:r>
        <w:instrText xml:space="preserve"> HYPERLINK \l "_Toc23396" </w:instrText>
      </w:r>
      <w:r>
        <w:fldChar w:fldCharType="separate"/>
      </w:r>
      <w:r>
        <w:t>4.</w:t>
      </w:r>
      <w:r>
        <w:rPr>
          <w:rFonts w:hint="eastAsia"/>
        </w:rPr>
        <w:t>3</w:t>
      </w:r>
      <w:r>
        <w:t>.1 初始化策略</w:t>
      </w:r>
      <w:r>
        <w:tab/>
      </w:r>
      <w:r>
        <w:fldChar w:fldCharType="begin"/>
      </w:r>
      <w:r>
        <w:instrText xml:space="preserve"> PAGEREF _Toc23396 \h </w:instrText>
      </w:r>
      <w:r>
        <w:fldChar w:fldCharType="separate"/>
      </w:r>
      <w:r>
        <w:t>22</w:t>
      </w:r>
      <w:r>
        <w:fldChar w:fldCharType="end"/>
      </w:r>
      <w:r>
        <w:fldChar w:fldCharType="end"/>
      </w:r>
    </w:p>
    <w:p w14:paraId="0A54216C">
      <w:pPr>
        <w:pStyle w:val="11"/>
        <w:tabs>
          <w:tab w:val="right" w:leader="dot" w:pos="8957"/>
        </w:tabs>
        <w:ind w:left="960"/>
      </w:pPr>
      <w:r>
        <w:fldChar w:fldCharType="begin"/>
      </w:r>
      <w:r>
        <w:instrText xml:space="preserve"> HYPERLINK \l "_Toc20867" </w:instrText>
      </w:r>
      <w:r>
        <w:fldChar w:fldCharType="separate"/>
      </w:r>
      <w:r>
        <w:t>4.</w:t>
      </w:r>
      <w:r>
        <w:rPr>
          <w:rFonts w:hint="eastAsia"/>
        </w:rPr>
        <w:t>3</w:t>
      </w:r>
      <w:r>
        <w:t>.2 训练损失与优化目标</w:t>
      </w:r>
      <w:r>
        <w:tab/>
      </w:r>
      <w:r>
        <w:fldChar w:fldCharType="begin"/>
      </w:r>
      <w:r>
        <w:instrText xml:space="preserve"> PAGEREF _Toc20867 \h </w:instrText>
      </w:r>
      <w:r>
        <w:fldChar w:fldCharType="separate"/>
      </w:r>
      <w:r>
        <w:t>22</w:t>
      </w:r>
      <w:r>
        <w:fldChar w:fldCharType="end"/>
      </w:r>
      <w:r>
        <w:fldChar w:fldCharType="end"/>
      </w:r>
    </w:p>
    <w:p w14:paraId="5892EAB9">
      <w:pPr>
        <w:pStyle w:val="11"/>
        <w:tabs>
          <w:tab w:val="right" w:leader="dot" w:pos="8957"/>
        </w:tabs>
        <w:ind w:left="960"/>
      </w:pPr>
      <w:r>
        <w:fldChar w:fldCharType="begin"/>
      </w:r>
      <w:r>
        <w:instrText xml:space="preserve"> HYPERLINK \l "_Toc12770" </w:instrText>
      </w:r>
      <w:r>
        <w:fldChar w:fldCharType="separate"/>
      </w:r>
      <w:r>
        <w:t>4.</w:t>
      </w:r>
      <w:r>
        <w:rPr>
          <w:rFonts w:hint="eastAsia"/>
        </w:rPr>
        <w:t>3</w:t>
      </w:r>
      <w:r>
        <w:t>.3 多阶段训练策略</w:t>
      </w:r>
      <w:r>
        <w:tab/>
      </w:r>
      <w:r>
        <w:fldChar w:fldCharType="begin"/>
      </w:r>
      <w:r>
        <w:instrText xml:space="preserve"> PAGEREF _Toc12770 \h </w:instrText>
      </w:r>
      <w:r>
        <w:fldChar w:fldCharType="separate"/>
      </w:r>
      <w:r>
        <w:t>23</w:t>
      </w:r>
      <w:r>
        <w:fldChar w:fldCharType="end"/>
      </w:r>
      <w:r>
        <w:fldChar w:fldCharType="end"/>
      </w:r>
    </w:p>
    <w:p w14:paraId="1743A7C8">
      <w:pPr>
        <w:pStyle w:val="18"/>
        <w:tabs>
          <w:tab w:val="right" w:leader="dot" w:pos="8957"/>
        </w:tabs>
        <w:ind w:left="480"/>
      </w:pPr>
      <w:r>
        <w:fldChar w:fldCharType="begin"/>
      </w:r>
      <w:r>
        <w:instrText xml:space="preserve"> HYPERLINK \l "_Toc10493" </w:instrText>
      </w:r>
      <w:r>
        <w:fldChar w:fldCharType="separate"/>
      </w:r>
      <w:r>
        <w:t>4.</w:t>
      </w:r>
      <w:r>
        <w:rPr>
          <w:rFonts w:hint="eastAsia"/>
        </w:rPr>
        <w:t>4</w:t>
      </w:r>
      <w:r>
        <w:t xml:space="preserve"> 优化与高斯压缩策略</w:t>
      </w:r>
      <w:r>
        <w:tab/>
      </w:r>
      <w:r>
        <w:fldChar w:fldCharType="begin"/>
      </w:r>
      <w:r>
        <w:instrText xml:space="preserve"> PAGEREF _Toc10493 \h </w:instrText>
      </w:r>
      <w:r>
        <w:fldChar w:fldCharType="separate"/>
      </w:r>
      <w:r>
        <w:t>23</w:t>
      </w:r>
      <w:r>
        <w:fldChar w:fldCharType="end"/>
      </w:r>
      <w:r>
        <w:fldChar w:fldCharType="end"/>
      </w:r>
    </w:p>
    <w:p w14:paraId="19885EB4">
      <w:pPr>
        <w:pStyle w:val="11"/>
        <w:tabs>
          <w:tab w:val="right" w:leader="dot" w:pos="8957"/>
        </w:tabs>
        <w:ind w:left="960"/>
      </w:pPr>
      <w:r>
        <w:fldChar w:fldCharType="begin"/>
      </w:r>
      <w:r>
        <w:instrText xml:space="preserve"> HYPERLINK \l "_Toc6580" </w:instrText>
      </w:r>
      <w:r>
        <w:fldChar w:fldCharType="separate"/>
      </w:r>
      <w:r>
        <w:t>4.</w:t>
      </w:r>
      <w:r>
        <w:rPr>
          <w:rFonts w:hint="eastAsia"/>
        </w:rPr>
        <w:t>4</w:t>
      </w:r>
      <w:r>
        <w:t>.1 点密度增长策略（Density-Guided Splitting）</w:t>
      </w:r>
      <w:r>
        <w:tab/>
      </w:r>
      <w:r>
        <w:fldChar w:fldCharType="begin"/>
      </w:r>
      <w:r>
        <w:instrText xml:space="preserve"> PAGEREF _Toc6580 \h </w:instrText>
      </w:r>
      <w:r>
        <w:fldChar w:fldCharType="separate"/>
      </w:r>
      <w:r>
        <w:t>23</w:t>
      </w:r>
      <w:r>
        <w:fldChar w:fldCharType="end"/>
      </w:r>
      <w:r>
        <w:fldChar w:fldCharType="end"/>
      </w:r>
    </w:p>
    <w:p w14:paraId="1FA5D7F7">
      <w:pPr>
        <w:pStyle w:val="11"/>
        <w:tabs>
          <w:tab w:val="right" w:leader="dot" w:pos="8957"/>
        </w:tabs>
        <w:ind w:left="960"/>
      </w:pPr>
      <w:r>
        <w:fldChar w:fldCharType="begin"/>
      </w:r>
      <w:r>
        <w:instrText xml:space="preserve"> HYPERLINK \l "_Toc10598" </w:instrText>
      </w:r>
      <w:r>
        <w:fldChar w:fldCharType="separate"/>
      </w:r>
      <w:r>
        <w:t>4.</w:t>
      </w:r>
      <w:r>
        <w:rPr>
          <w:rFonts w:hint="eastAsia"/>
        </w:rPr>
        <w:t>4</w:t>
      </w:r>
      <w:r>
        <w:t>.2 点合并与压缩策略（Gaussian Pruning）</w:t>
      </w:r>
      <w:r>
        <w:tab/>
      </w:r>
      <w:r>
        <w:fldChar w:fldCharType="begin"/>
      </w:r>
      <w:r>
        <w:instrText xml:space="preserve"> PAGEREF _Toc10598 \h </w:instrText>
      </w:r>
      <w:r>
        <w:fldChar w:fldCharType="separate"/>
      </w:r>
      <w:r>
        <w:t>24</w:t>
      </w:r>
      <w:r>
        <w:fldChar w:fldCharType="end"/>
      </w:r>
      <w:r>
        <w:fldChar w:fldCharType="end"/>
      </w:r>
    </w:p>
    <w:p w14:paraId="385AD787">
      <w:pPr>
        <w:pStyle w:val="11"/>
        <w:tabs>
          <w:tab w:val="right" w:leader="dot" w:pos="8957"/>
        </w:tabs>
        <w:ind w:left="960"/>
      </w:pPr>
      <w:r>
        <w:fldChar w:fldCharType="begin"/>
      </w:r>
      <w:r>
        <w:instrText xml:space="preserve"> HYPERLINK \l "_Toc26874" </w:instrText>
      </w:r>
      <w:r>
        <w:fldChar w:fldCharType="separate"/>
      </w:r>
      <w:r>
        <w:t>4.</w:t>
      </w:r>
      <w:r>
        <w:rPr>
          <w:rFonts w:hint="eastAsia"/>
        </w:rPr>
        <w:t>4</w:t>
      </w:r>
      <w:r>
        <w:t>.3 性能优化与加速策略</w:t>
      </w:r>
      <w:r>
        <w:tab/>
      </w:r>
      <w:r>
        <w:fldChar w:fldCharType="begin"/>
      </w:r>
      <w:r>
        <w:instrText xml:space="preserve"> PAGEREF _Toc26874 \h </w:instrText>
      </w:r>
      <w:r>
        <w:fldChar w:fldCharType="separate"/>
      </w:r>
      <w:r>
        <w:t>24</w:t>
      </w:r>
      <w:r>
        <w:fldChar w:fldCharType="end"/>
      </w:r>
      <w:r>
        <w:fldChar w:fldCharType="end"/>
      </w:r>
    </w:p>
    <w:p w14:paraId="100B23BF">
      <w:pPr>
        <w:pStyle w:val="11"/>
        <w:tabs>
          <w:tab w:val="right" w:leader="dot" w:pos="8957"/>
        </w:tabs>
        <w:ind w:left="960"/>
      </w:pPr>
      <w:r>
        <w:fldChar w:fldCharType="begin"/>
      </w:r>
      <w:r>
        <w:instrText xml:space="preserve"> HYPERLINK \l "_Toc25008" </w:instrText>
      </w:r>
      <w:r>
        <w:fldChar w:fldCharType="separate"/>
      </w:r>
      <w:r>
        <w:t>4.</w:t>
      </w:r>
      <w:r>
        <w:rPr>
          <w:rFonts w:hint="eastAsia"/>
        </w:rPr>
        <w:t>4</w:t>
      </w:r>
      <w:r>
        <w:t>.4 压缩率与质量的权衡</w:t>
      </w:r>
      <w:r>
        <w:tab/>
      </w:r>
      <w:r>
        <w:fldChar w:fldCharType="begin"/>
      </w:r>
      <w:r>
        <w:instrText xml:space="preserve"> PAGEREF _Toc25008 \h </w:instrText>
      </w:r>
      <w:r>
        <w:fldChar w:fldCharType="separate"/>
      </w:r>
      <w:r>
        <w:t>24</w:t>
      </w:r>
      <w:r>
        <w:fldChar w:fldCharType="end"/>
      </w:r>
      <w:r>
        <w:fldChar w:fldCharType="end"/>
      </w:r>
    </w:p>
    <w:p w14:paraId="166717BA">
      <w:pPr>
        <w:pStyle w:val="16"/>
        <w:tabs>
          <w:tab w:val="right" w:leader="dot" w:pos="8957"/>
        </w:tabs>
      </w:pPr>
      <w:r>
        <w:fldChar w:fldCharType="begin"/>
      </w:r>
      <w:r>
        <w:instrText xml:space="preserve"> HYPERLINK \l "_Toc1770" </w:instrText>
      </w:r>
      <w:r>
        <w:fldChar w:fldCharType="separate"/>
      </w:r>
      <w:r>
        <w:rPr>
          <w:rFonts w:hint="eastAsia"/>
        </w:rPr>
        <w:t>5  总结与展望</w:t>
      </w:r>
      <w:r>
        <w:tab/>
      </w:r>
      <w:r>
        <w:fldChar w:fldCharType="begin"/>
      </w:r>
      <w:r>
        <w:instrText xml:space="preserve"> PAGEREF _Toc1770 \h </w:instrText>
      </w:r>
      <w:r>
        <w:fldChar w:fldCharType="separate"/>
      </w:r>
      <w:r>
        <w:t>25</w:t>
      </w:r>
      <w:r>
        <w:fldChar w:fldCharType="end"/>
      </w:r>
      <w:r>
        <w:fldChar w:fldCharType="end"/>
      </w:r>
    </w:p>
    <w:p w14:paraId="0C05FD09">
      <w:pPr>
        <w:pStyle w:val="18"/>
        <w:tabs>
          <w:tab w:val="right" w:leader="dot" w:pos="8957"/>
        </w:tabs>
        <w:ind w:left="480"/>
      </w:pPr>
      <w:r>
        <w:fldChar w:fldCharType="begin"/>
      </w:r>
      <w:r>
        <w:instrText xml:space="preserve"> HYPERLINK \l "_Toc2076" </w:instrText>
      </w:r>
      <w:r>
        <w:fldChar w:fldCharType="separate"/>
      </w:r>
      <w:r>
        <w:rPr>
          <w:rFonts w:hint="eastAsia"/>
        </w:rPr>
        <w:t>5.1 全文总结</w:t>
      </w:r>
      <w:r>
        <w:tab/>
      </w:r>
      <w:r>
        <w:fldChar w:fldCharType="begin"/>
      </w:r>
      <w:r>
        <w:instrText xml:space="preserve"> PAGEREF _Toc2076 \h </w:instrText>
      </w:r>
      <w:r>
        <w:fldChar w:fldCharType="separate"/>
      </w:r>
      <w:r>
        <w:t>25</w:t>
      </w:r>
      <w:r>
        <w:fldChar w:fldCharType="end"/>
      </w:r>
      <w:r>
        <w:fldChar w:fldCharType="end"/>
      </w:r>
    </w:p>
    <w:p w14:paraId="5CC8FA2A">
      <w:pPr>
        <w:pStyle w:val="18"/>
        <w:tabs>
          <w:tab w:val="right" w:leader="dot" w:pos="8957"/>
        </w:tabs>
        <w:ind w:left="480"/>
      </w:pPr>
      <w:r>
        <w:fldChar w:fldCharType="begin"/>
      </w:r>
      <w:r>
        <w:instrText xml:space="preserve"> HYPERLINK \l "_Toc5401" </w:instrText>
      </w:r>
      <w:r>
        <w:fldChar w:fldCharType="separate"/>
      </w:r>
      <w:r>
        <w:rPr>
          <w:rFonts w:hint="eastAsia"/>
        </w:rPr>
        <w:t>5.2  展望</w:t>
      </w:r>
      <w:r>
        <w:tab/>
      </w:r>
      <w:r>
        <w:fldChar w:fldCharType="begin"/>
      </w:r>
      <w:r>
        <w:instrText xml:space="preserve"> PAGEREF _Toc5401 \h </w:instrText>
      </w:r>
      <w:r>
        <w:fldChar w:fldCharType="separate"/>
      </w:r>
      <w:r>
        <w:t>26</w:t>
      </w:r>
      <w:r>
        <w:fldChar w:fldCharType="end"/>
      </w:r>
      <w:r>
        <w:fldChar w:fldCharType="end"/>
      </w:r>
    </w:p>
    <w:p w14:paraId="25320A6E">
      <w:pPr>
        <w:pStyle w:val="16"/>
        <w:tabs>
          <w:tab w:val="right" w:leader="dot" w:pos="8957"/>
        </w:tabs>
      </w:pPr>
      <w:r>
        <w:fldChar w:fldCharType="begin"/>
      </w:r>
      <w:r>
        <w:instrText xml:space="preserve"> HYPERLINK \l "_Toc21209" </w:instrText>
      </w:r>
      <w:r>
        <w:fldChar w:fldCharType="separate"/>
      </w:r>
      <w:r>
        <w:rPr>
          <w:rFonts w:hint="eastAsia"/>
        </w:rPr>
        <w:t>致    谢</w:t>
      </w:r>
      <w:r>
        <w:tab/>
      </w:r>
      <w:r>
        <w:fldChar w:fldCharType="begin"/>
      </w:r>
      <w:r>
        <w:instrText xml:space="preserve"> PAGEREF _Toc21209 \h </w:instrText>
      </w:r>
      <w:r>
        <w:fldChar w:fldCharType="separate"/>
      </w:r>
      <w:r>
        <w:t>27</w:t>
      </w:r>
      <w:r>
        <w:fldChar w:fldCharType="end"/>
      </w:r>
      <w:r>
        <w:fldChar w:fldCharType="end"/>
      </w:r>
    </w:p>
    <w:p w14:paraId="0BC6EA64">
      <w:pPr>
        <w:pStyle w:val="16"/>
        <w:tabs>
          <w:tab w:val="right" w:leader="dot" w:pos="8957"/>
        </w:tabs>
      </w:pPr>
      <w:r>
        <w:fldChar w:fldCharType="begin"/>
      </w:r>
      <w:r>
        <w:instrText xml:space="preserve"> HYPERLINK \l "_Toc26658" </w:instrText>
      </w:r>
      <w:r>
        <w:fldChar w:fldCharType="separate"/>
      </w:r>
      <w:r>
        <w:rPr>
          <w:rFonts w:hint="eastAsia"/>
        </w:rPr>
        <w:t>参 考 文 献</w:t>
      </w:r>
      <w:r>
        <w:tab/>
      </w:r>
      <w:r>
        <w:fldChar w:fldCharType="begin"/>
      </w:r>
      <w:r>
        <w:instrText xml:space="preserve"> PAGEREF _Toc26658 \h </w:instrText>
      </w:r>
      <w:r>
        <w:fldChar w:fldCharType="separate"/>
      </w:r>
      <w:r>
        <w:t>28</w:t>
      </w:r>
      <w:r>
        <w:fldChar w:fldCharType="end"/>
      </w:r>
      <w:r>
        <w:fldChar w:fldCharType="end"/>
      </w:r>
    </w:p>
    <w:p w14:paraId="691ABC4B">
      <w:pPr>
        <w:pStyle w:val="16"/>
        <w:tabs>
          <w:tab w:val="right" w:leader="dot" w:pos="9060"/>
        </w:tabs>
      </w:pPr>
      <w:r>
        <w:fldChar w:fldCharType="end"/>
      </w:r>
    </w:p>
    <w:p w14:paraId="41B66B67">
      <w:pPr>
        <w:sectPr>
          <w:pgSz w:w="11906" w:h="16838"/>
          <w:pgMar w:top="1418" w:right="1191" w:bottom="1191" w:left="1191" w:header="1418" w:footer="1134" w:gutter="567"/>
          <w:pgNumType w:fmt="upperRoman"/>
          <w:cols w:space="720" w:num="1"/>
          <w:docGrid w:linePitch="326" w:charSpace="-2048"/>
        </w:sectPr>
      </w:pPr>
      <w:r>
        <w:rPr>
          <w:rFonts w:hint="eastAsia"/>
        </w:rPr>
        <w:t xml:space="preserve"> </w:t>
      </w:r>
      <w:r>
        <w:rPr>
          <w:rFonts w:hint="eastAsia"/>
        </w:rPr>
        <w:tab/>
      </w:r>
    </w:p>
    <w:p w14:paraId="0E432650">
      <w:pPr>
        <w:pStyle w:val="2"/>
      </w:pPr>
      <w:bookmarkStart w:id="3" w:name="_Toc3011"/>
      <w:r>
        <w:rPr>
          <w:rFonts w:hint="eastAsia"/>
        </w:rPr>
        <w:t>1  绪论</w:t>
      </w:r>
      <w:bookmarkEnd w:id="3"/>
    </w:p>
    <w:p w14:paraId="41218103">
      <w:pPr>
        <w:pStyle w:val="3"/>
        <w:spacing w:before="120"/>
      </w:pPr>
      <w:bookmarkStart w:id="4" w:name="_Toc105563300"/>
      <w:bookmarkStart w:id="5" w:name="_Toc28335"/>
      <w:r>
        <w:rPr>
          <w:rFonts w:hint="eastAsia"/>
        </w:rPr>
        <w:t xml:space="preserve">1.1  </w:t>
      </w:r>
      <w:bookmarkEnd w:id="4"/>
      <w:r>
        <w:rPr>
          <w:rFonts w:hint="eastAsia"/>
        </w:rPr>
        <w:t>研究背景与意义</w:t>
      </w:r>
      <w:bookmarkEnd w:id="5"/>
    </w:p>
    <w:p w14:paraId="3D5F218A">
      <w:pPr>
        <w:pStyle w:val="48"/>
        <w:ind w:firstLine="480"/>
      </w:pPr>
      <w:bookmarkStart w:id="6" w:name="_Toc105563301"/>
      <w:bookmarkStart w:id="7" w:name="_Toc21878"/>
      <w:r>
        <w:rPr>
          <w:rFonts w:hint="eastAsia"/>
        </w:rPr>
        <w:t>三维重建技术在计算机视觉以及图形学领域属于核心的研究方向，主要的任务就是从二维图像或者传感器数据当中把三维场景的几何结构以及外观信息给恢复出来。传统的一些方法呢，主要是运用显式几何表示的方式，像是点云、网格、体素这些，或者也会采用隐式神经表示，就比如神经辐射场NeRF，但各自存在显著局限性</w:t>
      </w:r>
      <w:r>
        <w:rPr>
          <w:rStyle w:val="51"/>
          <w:rFonts w:hint="eastAsia"/>
        </w:rPr>
        <w:t>[1-6]</w:t>
      </w:r>
      <w:r>
        <w:rPr>
          <w:rFonts w:hint="eastAsia"/>
        </w:rPr>
        <w:t>。</w:t>
      </w:r>
    </w:p>
    <w:p w14:paraId="05966F9F">
      <w:pPr>
        <w:pStyle w:val="48"/>
        <w:ind w:firstLine="480"/>
      </w:pPr>
      <w:r>
        <w:rPr>
          <w:rFonts w:hint="eastAsia"/>
        </w:rPr>
        <w:t>显式几何表示固然可以对场景结构予以直接表达，在针对复杂材质以及光照变化展开建模工作的时候，它是存在着诸多不足之处的。它还对多视图间的精确配准有着高度的依赖性，就使得整体的流程变得颇为复杂，计算效率也呈现出低下的状况。而隐式神经表示是借助多层感知机来对辐射场实施隐式编码的，通过这样的方式能够生成高保真的渲染效果。但它的训练过程是极为耗时的，渲染速度也相当缓慢，还难以对场景编辑以及实时交互提供有力的支持，这一系列的情况也就限制了它在工业场景当中的实际应用程度。</w:t>
      </w:r>
    </w:p>
    <w:p w14:paraId="7744DAFC">
      <w:pPr>
        <w:pStyle w:val="48"/>
        <w:ind w:firstLine="480"/>
      </w:pPr>
      <w:r>
        <w:rPr>
          <w:rFonts w:hint="eastAsia"/>
        </w:rPr>
        <w:t>在这背景之下，3DGS技术被提出来，这已然成为了可微渲染领域当中极为重要的一个突破点。3DGS它是利用显式高斯点云的方式来针对场景展开建模工作的，并且还和可微分光栅化管线相互结合起来。它有能与NeRF相媲美的渲染质量，而且还把训练时间大幅缩减，缩减到了分钟这样的级别，与此同时，其渲染帧率也得到了极大提升，能够提升至数百FPS，这样计算效率以及场景可控性都有了明显的提高。靠着快速渲染以及轻量化这两大优势，该技术已经快速地在多个领域当中得到了应用，有力地推动了像移动增强现实（AR、VR）、数字文化遗产等这些实际应用不断向前发展。</w:t>
      </w:r>
    </w:p>
    <w:p w14:paraId="2791E68A">
      <w:pPr>
        <w:pStyle w:val="48"/>
        <w:ind w:firstLine="480"/>
      </w:pPr>
      <w:r>
        <w:rPr>
          <w:rFonts w:hint="eastAsia"/>
        </w:rPr>
        <w:t>随着元宇宙、数字孪生以及智能机器人这些前沿领域不断快速发展，实时高保真三维重建的需求正变得日益迫切起来。就比如说，工厂场景的三维重建工作得在秒级时间内完成，并且还要能够支持交互式编辑操作；在医疗领域当中，为了能够还原器官的解剖结构，就要求达到亚毫米级的重建精度；而对于移动应用而言，则需要那种具备低功耗特点的轻量化算法，像3D Moment App就已经实现了用户级别的三维内容创作。</w:t>
      </w:r>
    </w:p>
    <w:p w14:paraId="234612AD">
      <w:pPr>
        <w:pStyle w:val="48"/>
        <w:ind w:firstLine="480"/>
      </w:pPr>
      <w:r>
        <w:rPr>
          <w:rFonts w:hint="eastAsia"/>
        </w:rPr>
        <w:t>3DGS所构建的三维重建系统，一方面有着重要的理论层面的研究价值，另一方面也实实在在地给实际应用给出了高效的解决办法。它的不断发展，是很有希望促使下一代三维感知、交互以及生成技术取得突破的。所以说，去展开针对3DGS技术的研究以及完成系统的实现工作，这在学术方面有着重要意义，在产业方面也有着广阔的发展前景</w:t>
      </w:r>
      <w:r>
        <w:rPr>
          <w:rStyle w:val="51"/>
          <w:rFonts w:hint="eastAsia"/>
        </w:rPr>
        <w:t>[7]</w:t>
      </w:r>
      <w:r>
        <w:rPr>
          <w:rFonts w:hint="eastAsia"/>
        </w:rPr>
        <w:t>。</w:t>
      </w:r>
    </w:p>
    <w:p w14:paraId="524748D2">
      <w:pPr>
        <w:pStyle w:val="3"/>
        <w:spacing w:before="120"/>
      </w:pPr>
      <w:r>
        <w:rPr>
          <w:rFonts w:hint="eastAsia"/>
        </w:rPr>
        <w:t xml:space="preserve">1.2  </w:t>
      </w:r>
      <w:bookmarkEnd w:id="6"/>
      <w:r>
        <w:rPr>
          <w:rFonts w:hint="eastAsia"/>
        </w:rPr>
        <w:t>国内外研究现状</w:t>
      </w:r>
      <w:bookmarkEnd w:id="7"/>
    </w:p>
    <w:p w14:paraId="13C16F31">
      <w:pPr>
        <w:pStyle w:val="4"/>
        <w:spacing w:before="120"/>
      </w:pPr>
      <w:bookmarkStart w:id="8" w:name="_Toc31536"/>
      <w:r>
        <w:rPr>
          <w:rFonts w:hint="eastAsia"/>
        </w:rPr>
        <w:t>1.2.1 三维重建技术研究现状</w:t>
      </w:r>
      <w:bookmarkEnd w:id="8"/>
    </w:p>
    <w:p w14:paraId="7ED3688A">
      <w:pPr>
        <w:pStyle w:val="48"/>
        <w:ind w:firstLine="480"/>
      </w:pPr>
      <w:r>
        <w:t>三维重建属于计算机视觉跟图形学之间极为重要的交叉领域方向，一直以来都是运用结构光、双目视觉以及激光雷达等多种多样的方法去达成对场景三维信息的重建工作。在这之中，运动恢复结构（Structure from Motion, SfM）还有多视图立体（Multi-View Stereo, MVS）这两项技术实际上构成了传统三维重建流程里面的核心部分</w:t>
      </w:r>
      <w:r>
        <w:rPr>
          <w:rStyle w:val="51"/>
          <w:rFonts w:hint="eastAsia"/>
        </w:rPr>
        <w:t>[8]</w:t>
      </w:r>
      <w:r>
        <w:t>。这类方法大体上是要依靠图像特征的精准匹配操作，进而构建出稠密的点云，再依据这些来推断出场景具体的几何结构。要是处于复杂的光照环境之下，或者是面对具有反射性、非朗伯特材质的情况时，这些技术所展现出来的效果往往就不是那么理想了，并且想要在自由视角下实现那种具有真实感的渲染也是比较困难的事情</w:t>
      </w:r>
      <w:r>
        <w:rPr>
          <w:rStyle w:val="51"/>
          <w:rFonts w:hint="eastAsia"/>
        </w:rPr>
        <w:t>[9]</w:t>
      </w:r>
      <w:r>
        <w:t>。</w:t>
      </w:r>
    </w:p>
    <w:p w14:paraId="0F5E69C0">
      <w:pPr>
        <w:pStyle w:val="48"/>
        <w:ind w:firstLine="480"/>
      </w:pPr>
      <w:r>
        <w:t>当可微渲染这一概念被提出来之后，研究者们便着手借助神经网络，采用端到端的方式去对三维结构和图像的一致性加以优化。在这当中，神经辐射场（Neural Radiance Fields, NeRF）的诞生可以说是一个极为关键的转折点。NeRF利用一个多层感知机（MLP）网络，能够把空间里的任意一个点映射成为相应的颜色以及密度值，并且与体积渲染过程相结合</w:t>
      </w:r>
      <w:r>
        <w:rPr>
          <w:rStyle w:val="51"/>
          <w:rFonts w:hint="eastAsia"/>
        </w:rPr>
        <w:t>[10]</w:t>
      </w:r>
      <w:r>
        <w:t>，进而从静态图像当中完成对连续场景表示的重建工作。这种方法在新视角图像合成这个方面已然取得了颇为显著的进展，在建筑建模、虚拟现实、文化遗产数字化等等诸多领域都得到了广泛的应用</w:t>
      </w:r>
      <w:r>
        <w:rPr>
          <w:rStyle w:val="51"/>
          <w:rFonts w:hint="eastAsia"/>
        </w:rPr>
        <w:t>[11]</w:t>
      </w:r>
      <w:r>
        <w:t>。</w:t>
      </w:r>
    </w:p>
    <w:p w14:paraId="340BA8B7">
      <w:pPr>
        <w:pStyle w:val="48"/>
        <w:ind w:firstLine="480"/>
      </w:pPr>
      <w:r>
        <w:t>不过，NeRF模型明显存在着两个局限之处：其一，该模型所采用的隐式表示方式在可解释性以及可编辑性方面是有所欠缺的；其二，它需要依靠大量的光线采样以及前向网络计算，如此一来便使得训练周期被拉长了，而且渲染效率也比较低，很难去满足实时渲染以及交互式应用所提出的要求。针对这些存在的问题，学术界开始一步步地尝试引入一些更为高效的场景表示形式，像是体素网格、有符号距离函数这类显式结构。尽管有所突破，但在表达细节与效率之间仍面临取舍。</w:t>
      </w:r>
    </w:p>
    <w:p w14:paraId="3E5456A3"/>
    <w:p w14:paraId="448C831B">
      <w:pPr>
        <w:pStyle w:val="4"/>
        <w:spacing w:before="120"/>
      </w:pPr>
      <w:bookmarkStart w:id="9" w:name="_Toc8639"/>
      <w:r>
        <w:rPr>
          <w:rFonts w:hint="eastAsia"/>
        </w:rPr>
        <w:t>1.2.2 3DGS研究现状</w:t>
      </w:r>
      <w:bookmarkEnd w:id="9"/>
    </w:p>
    <w:p w14:paraId="5D8E7F1E">
      <w:pPr>
        <w:pStyle w:val="48"/>
        <w:ind w:firstLine="480"/>
      </w:pPr>
      <w:r>
        <w:t>在2023年的时候，Kerbl等人提出了三维高斯泼溅方法。这一方法成功弥补了NeRF在效率方面存在的不足，给三维场景建模以及实时渲染开拓出了新的发展方向。该方法是把场景通过一种方式表示出来，具体而言，是将其表示为一组带有高斯分布特性的点，并且运用了可微光栅化渲染管线，如此一来，便极大地提高了训练的速度，在推理效率方面也有明显提升，还很好地保留了高质量的渲染效果。和NeRF不一样的是，NeRF需要针对整条光线展开密集的采样操作，而且还要多次调用MLP来进行推理，而3DGS则是直接把高斯点投影到图像平面之上，然后再对其进行加权融合，通过这样的操作，有效地削减了计算方面的开销</w:t>
      </w:r>
      <w:r>
        <w:rPr>
          <w:rStyle w:val="51"/>
          <w:rFonts w:hint="eastAsia"/>
        </w:rPr>
        <w:t>[12]</w:t>
      </w:r>
      <w:r>
        <w:t>。</w:t>
      </w:r>
    </w:p>
    <w:p w14:paraId="3EAF99B6">
      <w:pPr>
        <w:pStyle w:val="48"/>
        <w:ind w:firstLine="480"/>
      </w:pPr>
      <w:r>
        <w:t>3DGS的显式表示一方面增强了模型的可控性，另一方面还便于和传统图形学管线集成起来，进而拓展了它在实际应用当中的可行性，像城市级别场景、动态重建以及SLAM系统等方面都是如此。就拿VastGaussian来说，它引入了依据可见性判断的空间划分策略，从而实现了对大规模城市场景的高效重建。而4D-GS则是把HexPlane编码与轻量级MLP结合到一起，达成了对动态场景的时空建模。GS-SLAM通过高斯点的自适应更新机制，在实时定位与地图构建方面，跟NeRF-SLAM相比，展现出了更为出色的精度与速度表现</w:t>
      </w:r>
      <w:r>
        <w:rPr>
          <w:rStyle w:val="51"/>
          <w:rFonts w:hint="eastAsia"/>
        </w:rPr>
        <w:t>[13]</w:t>
      </w:r>
      <w:r>
        <w:t>。</w:t>
      </w:r>
    </w:p>
    <w:p w14:paraId="71A89F99">
      <w:pPr>
        <w:pStyle w:val="48"/>
        <w:ind w:firstLine="480"/>
      </w:pPr>
      <w:r>
        <w:t>虽说当下3DGS技术已经有了颇为明显的发展进程，可依旧存在着一些有待攻克的挑战。就好比说，在那种大规模的场景状况之下，针对高斯点展开的存储工作以及相关管理事宜，是很有可能会引发较为明显的内存方面的耗费情况的；而处于像复杂材质、镜面反射这类并非十分理想的场景当中的时候，它在针对光照物理展开建模的这一能力层面上，还是有进一步提升的必要的；除此之外，当下其在语义理解方面所具备的能力还是比较有限的，如此一来，便极有可能致使在开展虚拟世界建模这项任务的过程当中，在几何与语义两者之间出现不相符、不一致的情况。为了能妥善处理这些存在的问题，相关的研究者们正在努力尝试着从像是模型压缩、物理建模以及多模态语义融合等这样的一些不同角度出发，进而提出一些能够起到改进作用的方案。</w:t>
      </w:r>
      <w:r>
        <w:rPr>
          <w:rFonts w:hint="eastAsia"/>
        </w:rPr>
        <w:t>比如</w:t>
      </w:r>
      <w:r>
        <w:t>LightGaussian，它借助八叉树结构来对高斯点集进行压缩处理，以此达到降低内存消耗的目的，而DrivingGaussian则是通过独立开展建模工作并且确保时间上的一致性，从而实现了对动态对象进行精确渲染的效果，进一步拓宽了3DGS技术在实际应用当中的范围边界</w:t>
      </w:r>
      <w:r>
        <w:rPr>
          <w:rStyle w:val="51"/>
          <w:rFonts w:hint="eastAsia"/>
        </w:rPr>
        <w:t>[14]</w:t>
      </w:r>
      <w:r>
        <w:t>。</w:t>
      </w:r>
    </w:p>
    <w:p w14:paraId="6CFFB188">
      <w:pPr>
        <w:pStyle w:val="48"/>
        <w:ind w:firstLine="480"/>
      </w:pPr>
      <w:r>
        <w:t>从整体情况来讲，3DGS技术已然变成了在三维重建以及新视角渲染领域里的研究热点所在。它在重建精度这块，还有效率方面以及可控性等方面所具备的优势，实实在在地为构建下一代真实虚拟环境打下了牢固的根基。</w:t>
      </w:r>
    </w:p>
    <w:p w14:paraId="284A9F7A">
      <w:pPr>
        <w:pStyle w:val="48"/>
        <w:ind w:firstLine="480"/>
        <w:jc w:val="center"/>
      </w:pPr>
      <w:r>
        <w:drawing>
          <wp:inline distT="0" distB="0" distL="114300" distR="114300">
            <wp:extent cx="4525010" cy="1981835"/>
            <wp:effectExtent l="0" t="0" r="8890" b="4445"/>
            <wp:docPr id="11" name="图片 11" descr="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_3"/>
                    <pic:cNvPicPr>
                      <a:picLocks noChangeAspect="1"/>
                    </pic:cNvPicPr>
                  </pic:nvPicPr>
                  <pic:blipFill>
                    <a:blip r:embed="rId23"/>
                    <a:stretch>
                      <a:fillRect/>
                    </a:stretch>
                  </pic:blipFill>
                  <pic:spPr>
                    <a:xfrm>
                      <a:off x="0" y="0"/>
                      <a:ext cx="4525010" cy="1981835"/>
                    </a:xfrm>
                    <a:prstGeom prst="rect">
                      <a:avLst/>
                    </a:prstGeom>
                  </pic:spPr>
                </pic:pic>
              </a:graphicData>
            </a:graphic>
          </wp:inline>
        </w:drawing>
      </w:r>
    </w:p>
    <w:p w14:paraId="51D4C28B">
      <w:pPr>
        <w:jc w:val="center"/>
      </w:pPr>
      <w:r>
        <w:t xml:space="preserve">图 </w:t>
      </w:r>
      <w:r>
        <w:rPr>
          <w:rFonts w:hint="eastAsia"/>
        </w:rPr>
        <w:t>1.1 Nerf和3DGS原理示意图</w:t>
      </w:r>
    </w:p>
    <w:p w14:paraId="6A382350">
      <w:pPr>
        <w:pStyle w:val="8"/>
        <w:jc w:val="center"/>
        <w:rPr>
          <w:rFonts w:eastAsia="宋体"/>
        </w:rPr>
      </w:pPr>
    </w:p>
    <w:p w14:paraId="06AFA595"/>
    <w:p w14:paraId="1B6FFFBA">
      <w:pPr>
        <w:pStyle w:val="3"/>
        <w:spacing w:before="120"/>
      </w:pPr>
      <w:bookmarkStart w:id="10" w:name="_Toc13578"/>
      <w:bookmarkStart w:id="11" w:name="_Toc105563302"/>
      <w:r>
        <w:rPr>
          <w:rFonts w:hint="eastAsia"/>
        </w:rPr>
        <w:t>1.3 研究目标与内容</w:t>
      </w:r>
      <w:bookmarkEnd w:id="10"/>
    </w:p>
    <w:p w14:paraId="1F72F378">
      <w:pPr>
        <w:pStyle w:val="48"/>
        <w:bidi w:val="0"/>
      </w:pPr>
      <w:r>
        <w:t>本文旨在通过对三维高斯泼溅（3DGS）技术的深入学习与实践，设计并实现一个基于该技术的三维重建系统。研究的核心目标是全面理解3DGS技术在三维重建中的应用原理，掌握其在复杂场景下的实现方法，并通过系统开发验证其在提高效率和重建质量方面的优势。在这一过程中，将重点探索3DGS技术的核心算法，分析高斯点的生成、存储、渲染及合成等关键环节，并深入理解它们在三维重建中的作用。同时，研究如何优化该技术在不同场景中的表现，以提升重建和渲染的效率。</w:t>
      </w:r>
    </w:p>
    <w:p w14:paraId="0BF671CD">
      <w:pPr>
        <w:pStyle w:val="48"/>
        <w:bidi w:val="0"/>
      </w:pPr>
      <w:r>
        <w:t>在构建三维重建系统时，本文将设计一个完整的流程，从数据采集、预处理到高斯点生成及可微渲染，确保每个环节都能高效运行。通过这一过程的实践，进一步熟悉技术细节和实现方法，以确保系统在实际应用中的顺利运行。此外，本文还将探讨如何将多模态数据，如深度信息、纹理信息以及光照模型，融入到3DGS技术中，进而增强系统对复杂场景的理解和表现能力。结合语义分割、光照建模与材质估计等方法，将有助于提升三维重建结果的精度与真实感。</w:t>
      </w:r>
    </w:p>
    <w:p w14:paraId="70C18CF5">
      <w:pPr>
        <w:pStyle w:val="48"/>
        <w:bidi w:val="0"/>
      </w:pPr>
      <w:r>
        <w:t>在处理大规模场景的重建时，本文还将优化内存管理与渲染性能，提出基于分层存储与空间划分的优化方案。通过采用点云优化、并行计算及GPU加速等技术，确保在大规模场景下的实时渲染性能不受影响。</w:t>
      </w:r>
      <w:r>
        <w:rPr>
          <w:rFonts w:hint="eastAsia"/>
          <w:lang w:val="en-US" w:eastAsia="zh-CN"/>
        </w:rPr>
        <w:t>综上</w:t>
      </w:r>
      <w:r>
        <w:t>本文通过上述研究，旨在掌握3DGS技术的应用方法，构建一个高效、实用的三维重建系统，并为未来的技术发展与深入研究奠定基础。</w:t>
      </w:r>
    </w:p>
    <w:p w14:paraId="72548E5E"/>
    <w:p w14:paraId="1B40F819">
      <w:pPr>
        <w:pStyle w:val="3"/>
        <w:spacing w:before="120"/>
      </w:pPr>
      <w:bookmarkStart w:id="12" w:name="_Toc15286"/>
      <w:r>
        <w:rPr>
          <w:rFonts w:hint="eastAsia"/>
        </w:rPr>
        <w:t xml:space="preserve">1.4  </w:t>
      </w:r>
      <w:bookmarkEnd w:id="11"/>
      <w:r>
        <w:rPr>
          <w:rFonts w:hint="eastAsia"/>
        </w:rPr>
        <w:t>章节安排</w:t>
      </w:r>
      <w:bookmarkEnd w:id="12"/>
    </w:p>
    <w:p w14:paraId="267AA2C3">
      <w:pPr>
        <w:pStyle w:val="48"/>
        <w:ind w:firstLine="480"/>
      </w:pPr>
      <w:r>
        <w:rPr>
          <w:rFonts w:hint="eastAsia"/>
        </w:rPr>
        <w:t>本文围绕基于高斯泼溅（3D Gaussian Splatting, 3DGS）的三维重建系统展开研究，结合 COLMAP 工具获取的稀疏点云数据，通过对高斯渲染模型的解析与优化，实现三维场景的可视化重建与Web端实时展示。全文主要分为六章，具体安排如下：</w:t>
      </w:r>
    </w:p>
    <w:p w14:paraId="49C2D7D9">
      <w:pPr>
        <w:pStyle w:val="48"/>
        <w:ind w:firstLine="480"/>
      </w:pPr>
      <w:r>
        <w:rPr>
          <w:rFonts w:hint="eastAsia"/>
        </w:rPr>
        <w:t>第一章</w:t>
      </w:r>
      <w:r>
        <w:rPr>
          <w:rFonts w:hint="eastAsia"/>
          <w:lang w:val="en-US" w:eastAsia="zh-CN"/>
        </w:rPr>
        <w:t>是</w:t>
      </w:r>
      <w:r>
        <w:rPr>
          <w:rFonts w:hint="eastAsia"/>
        </w:rPr>
        <w:t>绪论。本章介绍本研究的背景与意义，阐述当前国内外在三维重建和3DGS领域的研究现状，明确本文的研究目标与内容，并概述各章节的结构安排。</w:t>
      </w:r>
    </w:p>
    <w:p w14:paraId="52DF84D6">
      <w:pPr>
        <w:pStyle w:val="48"/>
        <w:ind w:firstLine="480"/>
      </w:pPr>
      <w:r>
        <w:rPr>
          <w:rFonts w:hint="eastAsia"/>
        </w:rPr>
        <w:t>第二章</w:t>
      </w:r>
      <w:r>
        <w:rPr>
          <w:rFonts w:hint="eastAsia"/>
          <w:lang w:val="en-US" w:eastAsia="zh-CN"/>
        </w:rPr>
        <w:t>是</w:t>
      </w:r>
      <w:r>
        <w:rPr>
          <w:rFonts w:hint="eastAsia"/>
        </w:rPr>
        <w:t>三维重建相关技术综述。本章系统回顾了与本课题密切相关的三维重建基础理论，包括多视图几何、相机模型与标定方法等，并简要介绍了基于体素的神经渲染方法（如 NeRF）及其发展趋势，为后文的技术选型提供理论支持。</w:t>
      </w:r>
    </w:p>
    <w:p w14:paraId="63F7D9E3">
      <w:pPr>
        <w:pStyle w:val="48"/>
        <w:ind w:firstLine="0" w:firstLineChars="0"/>
      </w:pPr>
      <w:r>
        <w:rPr>
          <w:rFonts w:hint="eastAsia"/>
        </w:rPr>
        <w:tab/>
      </w:r>
      <w:r>
        <w:rPr>
          <w:rFonts w:hint="eastAsia"/>
        </w:rPr>
        <w:t xml:space="preserve"> 第三章</w:t>
      </w:r>
      <w:r>
        <w:rPr>
          <w:rFonts w:hint="eastAsia"/>
          <w:lang w:val="en-US" w:eastAsia="zh-CN"/>
        </w:rPr>
        <w:t>是</w:t>
      </w:r>
      <w:r>
        <w:rPr>
          <w:rFonts w:hint="eastAsia"/>
        </w:rPr>
        <w:t>图像数据预处理与稀疏点云重建。本章聚焦于前期数据处理过程，详细介绍如何基于 COLMAP 工具完成图像的特征提取、相机姿态估计与稀疏点云生成，并进一步探讨了点云优化方法及其在稀疏重建中的应用。</w:t>
      </w:r>
    </w:p>
    <w:p w14:paraId="366EB2A1">
      <w:pPr>
        <w:pStyle w:val="48"/>
        <w:ind w:firstLine="0" w:firstLineChars="0"/>
        <w:rPr>
          <w:rFonts w:hint="eastAsia" w:eastAsia="宋体"/>
          <w:lang w:eastAsia="zh-CN"/>
        </w:rPr>
      </w:pPr>
      <w:r>
        <w:rPr>
          <w:rFonts w:hint="eastAsia"/>
        </w:rPr>
        <w:tab/>
      </w:r>
      <w:r>
        <w:rPr>
          <w:rFonts w:hint="eastAsia"/>
        </w:rPr>
        <w:t xml:space="preserve"> 第四章</w:t>
      </w:r>
      <w:r>
        <w:rPr>
          <w:rFonts w:hint="eastAsia"/>
          <w:lang w:val="en-US" w:eastAsia="zh-CN"/>
        </w:rPr>
        <w:t>是</w:t>
      </w:r>
      <w:r>
        <w:rPr>
          <w:rFonts w:hint="eastAsia"/>
        </w:rPr>
        <w:t>基于高斯泼溅的三维重建方法。本章作为本文的核心部分，系统阐述了3DGS的建模与训练方法，包括高斯分布的数学建模、可微渲染原理、球谐光照建模、训练损失设计与多阶段优化策略，并探讨了点云压缩与性能优化技术</w:t>
      </w:r>
      <w:r>
        <w:rPr>
          <w:rFonts w:hint="eastAsia"/>
          <w:lang w:eastAsia="zh-CN"/>
        </w:rPr>
        <w:t>。</w:t>
      </w:r>
    </w:p>
    <w:p w14:paraId="4FC7AA2C">
      <w:pPr>
        <w:pStyle w:val="48"/>
        <w:ind w:firstLine="0" w:firstLineChars="0"/>
      </w:pPr>
      <w:r>
        <w:rPr>
          <w:rFonts w:hint="eastAsia"/>
        </w:rPr>
        <w:tab/>
      </w:r>
      <w:r>
        <w:rPr>
          <w:rFonts w:hint="eastAsia"/>
        </w:rPr>
        <w:t xml:space="preserve"> 第五章</w:t>
      </w:r>
      <w:r>
        <w:rPr>
          <w:rFonts w:hint="eastAsia"/>
          <w:lang w:val="en-US" w:eastAsia="zh-CN"/>
        </w:rPr>
        <w:t>是</w:t>
      </w:r>
      <w:r>
        <w:rPr>
          <w:rFonts w:hint="eastAsia"/>
        </w:rPr>
        <w:t>三维重建系统设计与实现。本章介绍了整个三维重建系统的实现过程，主要从系统功能需求出发，设计前后端架构，并详细说明了后端文件管理与任务调度逻辑、前端基于 React + Three.js 的场景渲染流程、高斯点可视化以及用户交互界面设计。</w:t>
      </w:r>
    </w:p>
    <w:p w14:paraId="39D8321A">
      <w:pPr>
        <w:pStyle w:val="48"/>
        <w:ind w:firstLine="0" w:firstLineChars="0"/>
      </w:pPr>
      <w:r>
        <w:rPr>
          <w:rFonts w:hint="eastAsia"/>
        </w:rPr>
        <w:tab/>
      </w:r>
      <w:r>
        <w:rPr>
          <w:rFonts w:hint="eastAsia"/>
        </w:rPr>
        <w:t xml:space="preserve"> 第六章</w:t>
      </w:r>
      <w:r>
        <w:rPr>
          <w:rFonts w:hint="eastAsia"/>
          <w:lang w:val="en-US" w:eastAsia="zh-CN"/>
        </w:rPr>
        <w:t>是</w:t>
      </w:r>
      <w:r>
        <w:rPr>
          <w:rFonts w:hint="eastAsia"/>
        </w:rPr>
        <w:t>总结与展望。本章总结了本文的研究工作，分析系统的实际效果与不足之处，并对未来在高质量重建、编辑功能扩展以及系统部署等方面的发展方向进行了展望。</w:t>
      </w:r>
    </w:p>
    <w:p w14:paraId="3606DA4D">
      <w:pPr>
        <w:pStyle w:val="2"/>
        <w:bidi w:val="0"/>
        <w:rPr>
          <w:rFonts w:hint="default"/>
          <w:lang w:val="en-US"/>
        </w:rPr>
      </w:pPr>
      <w:r>
        <w:br w:type="page"/>
      </w:r>
      <w:bookmarkStart w:id="13" w:name="_Toc9660"/>
      <w:r>
        <w:rPr>
          <w:rFonts w:hint="eastAsia"/>
        </w:rPr>
        <w:t>2  三维重建相关</w:t>
      </w:r>
      <w:bookmarkEnd w:id="13"/>
      <w:r>
        <w:rPr>
          <w:rFonts w:hint="eastAsia"/>
          <w:lang w:val="en-US" w:eastAsia="zh-CN"/>
        </w:rPr>
        <w:t>理论与技术</w:t>
      </w:r>
    </w:p>
    <w:p w14:paraId="3FF1810F">
      <w:pPr>
        <w:pStyle w:val="48"/>
        <w:ind w:firstLine="480"/>
      </w:pPr>
      <w:r>
        <w:rPr>
          <w:rFonts w:hint="eastAsia"/>
        </w:rPr>
        <w:tab/>
      </w:r>
      <w:r>
        <w:rPr>
          <w:rFonts w:hint="eastAsia"/>
        </w:rPr>
        <w:t>三维重建技术是从多维度信息中推导出三维几何形态的过程。近年来，随着计算机视觉、图形学和深度学习的快速发展，三维重建方法不断得到优化和拓展。三维重建不仅在虚拟现实（VR）、增强现实（AR）、机器人导航和自动驾驶等领域具有重要应用，也在数字孪生、医学影像、文化遗产保护等领域发挥着重要作用。为了实现高质量的三维重建，需要掌握从图像信息到三维模型的转换方法，涉及多个学科的交叉，包括多视图几何、相机模型与标定、点云与网格表示等基础理论</w:t>
      </w:r>
      <w:r>
        <w:rPr>
          <w:rStyle w:val="51"/>
          <w:rFonts w:hint="eastAsia"/>
        </w:rPr>
        <w:t>[21]</w:t>
      </w:r>
      <w:r>
        <w:rPr>
          <w:rFonts w:hint="eastAsia"/>
        </w:rPr>
        <w:t>。</w:t>
      </w:r>
    </w:p>
    <w:p w14:paraId="2EF0E20F"/>
    <w:p w14:paraId="6A1D2978">
      <w:pPr>
        <w:pStyle w:val="3"/>
        <w:spacing w:before="120"/>
      </w:pPr>
      <w:bookmarkStart w:id="14" w:name="_Toc28281"/>
      <w:r>
        <w:rPr>
          <w:rFonts w:hint="eastAsia"/>
        </w:rPr>
        <w:t>2.1  三维重建基础理论</w:t>
      </w:r>
      <w:bookmarkEnd w:id="14"/>
    </w:p>
    <w:p w14:paraId="7BCCE07E">
      <w:pPr>
        <w:pStyle w:val="48"/>
        <w:ind w:firstLine="480"/>
      </w:pPr>
      <w:r>
        <w:t>三维重建的基础理论为从多视图图像中恢复三维场景的几何结构提供了坚实的理论框架。本节将介绍三维重建中的三大核心理论：多视图几何、相机模型与标定、以及常见的三维重建表达方式。</w:t>
      </w:r>
    </w:p>
    <w:p w14:paraId="7DCD444C">
      <w:pPr>
        <w:pStyle w:val="4"/>
        <w:spacing w:before="120"/>
      </w:pPr>
      <w:bookmarkStart w:id="15" w:name="_Toc15624"/>
      <w:r>
        <w:rPr>
          <w:rFonts w:hint="eastAsia"/>
        </w:rPr>
        <w:t>2.1.1 多视图几何</w:t>
      </w:r>
      <w:bookmarkEnd w:id="15"/>
    </w:p>
    <w:p w14:paraId="46C201A2">
      <w:pPr>
        <w:pStyle w:val="48"/>
        <w:ind w:firstLine="480"/>
      </w:pPr>
      <w:r>
        <w:rPr>
          <w:rFonts w:hint="eastAsia"/>
        </w:rPr>
        <w:t>多视图几何（Multi-view Geometry）是计算机视觉中的一个重要研究方向，旨在通过从不同视角拍摄的多张图像，恢复出真实世界中场景的三维结构与摄像机的运动轨迹。这一技术是现代三维重建、增强现实、无人驾驶导航、文物数字化等应用的核心基础</w:t>
      </w:r>
      <w:r>
        <w:rPr>
          <w:rStyle w:val="51"/>
          <w:rFonts w:hint="eastAsia"/>
        </w:rPr>
        <w:t>[22]</w:t>
      </w:r>
      <w:r>
        <w:rPr>
          <w:rFonts w:hint="eastAsia"/>
        </w:rPr>
        <w:t>。</w:t>
      </w:r>
    </w:p>
    <w:p w14:paraId="1BC57E98">
      <w:pPr>
        <w:pStyle w:val="48"/>
        <w:ind w:firstLine="480"/>
      </w:pPr>
      <w:r>
        <w:rPr>
          <w:rFonts w:hint="eastAsia"/>
        </w:rPr>
        <w:t>从本质上来说，多视图几何是在二维图像的基础上，利用图像之间的几何对应关系和投影模型，反推出三维空间中物体的形状、相对位置与相机参数。它建立了图像空间与三维空间之间的映射关系，是三维计算机视觉中的桥梁</w:t>
      </w:r>
      <w:r>
        <w:rPr>
          <w:rStyle w:val="51"/>
          <w:rFonts w:hint="eastAsia"/>
        </w:rPr>
        <w:t>[23]</w:t>
      </w:r>
      <w:r>
        <w:rPr>
          <w:rFonts w:hint="eastAsia"/>
        </w:rPr>
        <w:t>。</w:t>
      </w:r>
    </w:p>
    <w:p w14:paraId="02963F6D">
      <w:pPr>
        <w:pStyle w:val="48"/>
        <w:ind w:firstLine="0" w:firstLineChars="0"/>
      </w:pPr>
      <w:r>
        <w:rPr>
          <w:rFonts w:hint="eastAsia"/>
        </w:rPr>
        <w:t>多视图几何主要包括以下几个核心技术模块：</w:t>
      </w:r>
    </w:p>
    <w:p w14:paraId="590BE089">
      <w:pPr>
        <w:pStyle w:val="48"/>
        <w:ind w:firstLine="480"/>
      </w:pPr>
      <w:r>
        <w:rPr>
          <w:rFonts w:hint="eastAsia"/>
        </w:rPr>
        <w:t>（1）特征提取与匹配</w:t>
      </w:r>
    </w:p>
    <w:p w14:paraId="384C52A2">
      <w:pPr>
        <w:pStyle w:val="48"/>
        <w:ind w:firstLine="480"/>
      </w:pPr>
      <w:r>
        <w:rPr>
          <w:rFonts w:hint="eastAsia"/>
        </w:rPr>
        <w:t>多视图几何的第一步是从图像中提取稳定、具有描述性的局部特征点。常用的特征提取算法包括 SIFT（尺度不变特征变换）、ORB、SURF 等。提取后的特征会被用于图像之间的匹配，通过匹配可以建立图像间的点对应关系。这些对应点是后续几何推理与三维重建的基础。</w:t>
      </w:r>
    </w:p>
    <w:p w14:paraId="630AE90A">
      <w:pPr>
        <w:pStyle w:val="48"/>
        <w:ind w:firstLine="0" w:firstLineChars="0"/>
        <w:rPr>
          <w:b/>
          <w:bCs/>
        </w:rPr>
      </w:pPr>
      <w:r>
        <w:rPr>
          <w:rFonts w:hint="eastAsia"/>
          <w:b/>
          <w:bCs/>
          <w:lang w:val="en-US" w:eastAsia="zh-CN"/>
        </w:rPr>
        <w:tab/>
      </w:r>
      <w:r>
        <w:rPr>
          <w:rFonts w:hint="eastAsia"/>
          <w:b/>
          <w:bCs/>
          <w:lang w:eastAsia="zh-CN"/>
        </w:rPr>
        <w:t>（</w:t>
      </w:r>
      <w:r>
        <w:rPr>
          <w:rFonts w:hint="eastAsia"/>
          <w:lang w:val="en-US" w:eastAsia="zh-CN"/>
        </w:rPr>
        <w:t>2</w:t>
      </w:r>
      <w:r>
        <w:rPr>
          <w:rFonts w:hint="eastAsia"/>
          <w:lang w:eastAsia="zh-CN"/>
        </w:rPr>
        <w:t>）</w:t>
      </w:r>
      <w:r>
        <w:rPr>
          <w:rFonts w:hint="eastAsia"/>
        </w:rPr>
        <w:t>立体匹配与视差估计：</w:t>
      </w:r>
    </w:p>
    <w:p w14:paraId="349B1CD2">
      <w:pPr>
        <w:pStyle w:val="48"/>
        <w:ind w:firstLine="480"/>
      </w:pPr>
      <w:r>
        <w:rPr>
          <w:rFonts w:hint="eastAsia"/>
        </w:rPr>
        <w:t>立体视觉（Stereo Vision）是多视图几何中的一个基本模型。它通常基于两张或多张从不同角度拍摄的图像，通过特征点或像素之间的匹配，计算图像间的视差（Disparity）。由于图像中同一点在不同视角下的投影位置不同，这种视差可以用来反推出该点的深度信息。视差越大，点距离相机越近。视差图的质量直接决定了后续三维重建的精度。</w:t>
      </w:r>
    </w:p>
    <w:p w14:paraId="3DAD6541">
      <w:pPr>
        <w:pStyle w:val="48"/>
        <w:ind w:firstLine="480"/>
        <w:jc w:val="center"/>
      </w:pPr>
      <w:r>
        <w:rPr>
          <w:rFonts w:hint="eastAsia"/>
        </w:rPr>
        <w:drawing>
          <wp:inline distT="0" distB="0" distL="114300" distR="114300">
            <wp:extent cx="5683250" cy="3167380"/>
            <wp:effectExtent l="0" t="0" r="5715" b="6350"/>
            <wp:docPr id="13" name="图片 13" descr="c54ef117175d126146e8db3f1d5dc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54ef117175d126146e8db3f1d5dce17"/>
                    <pic:cNvPicPr>
                      <a:picLocks noChangeAspect="1"/>
                    </pic:cNvPicPr>
                  </pic:nvPicPr>
                  <pic:blipFill>
                    <a:blip r:embed="rId24"/>
                    <a:stretch>
                      <a:fillRect/>
                    </a:stretch>
                  </pic:blipFill>
                  <pic:spPr>
                    <a:xfrm>
                      <a:off x="0" y="0"/>
                      <a:ext cx="5683250" cy="3167380"/>
                    </a:xfrm>
                    <a:prstGeom prst="rect">
                      <a:avLst/>
                    </a:prstGeom>
                  </pic:spPr>
                </pic:pic>
              </a:graphicData>
            </a:graphic>
          </wp:inline>
        </w:drawing>
      </w:r>
    </w:p>
    <w:p w14:paraId="40123499">
      <w:pPr>
        <w:pStyle w:val="43"/>
        <w:ind w:firstLine="420"/>
        <w:rPr>
          <w:rFonts w:hint="eastAsia"/>
          <w:lang w:eastAsia="zh-CN"/>
        </w:rPr>
      </w:pPr>
      <w:r>
        <w:rPr>
          <w:lang w:eastAsia="zh-CN"/>
        </w:rPr>
        <w:t>图</w:t>
      </w:r>
      <w:r>
        <w:rPr>
          <w:rFonts w:hint="eastAsia"/>
          <w:lang w:eastAsia="zh-CN"/>
        </w:rPr>
        <w:t>2.1 视差空间示意图</w:t>
      </w:r>
    </w:p>
    <w:p w14:paraId="15789E16">
      <w:pPr>
        <w:pStyle w:val="8"/>
        <w:jc w:val="center"/>
        <w:rPr>
          <w:rFonts w:eastAsia="宋体"/>
        </w:rPr>
      </w:pPr>
    </w:p>
    <w:p w14:paraId="4F5576ED">
      <w:pPr>
        <w:pStyle w:val="48"/>
        <w:ind w:firstLine="0" w:firstLineChars="0"/>
        <w:rPr>
          <w:b/>
          <w:bCs/>
        </w:rPr>
      </w:pPr>
      <w:r>
        <w:rPr>
          <w:rFonts w:hint="eastAsia"/>
          <w:b/>
          <w:bCs/>
          <w:lang w:val="en-US" w:eastAsia="zh-CN"/>
        </w:rPr>
        <w:tab/>
      </w:r>
      <w:r>
        <w:rPr>
          <w:rFonts w:hint="eastAsia"/>
          <w:b/>
          <w:bCs/>
          <w:lang w:eastAsia="zh-CN"/>
        </w:rPr>
        <w:t>（</w:t>
      </w:r>
      <w:r>
        <w:rPr>
          <w:rFonts w:hint="eastAsia"/>
          <w:b/>
          <w:bCs/>
          <w:lang w:val="en-US" w:eastAsia="zh-CN"/>
        </w:rPr>
        <w:t>3</w:t>
      </w:r>
      <w:r>
        <w:rPr>
          <w:rFonts w:hint="eastAsia"/>
          <w:b/>
          <w:bCs/>
          <w:lang w:eastAsia="zh-CN"/>
        </w:rPr>
        <w:t>）</w:t>
      </w:r>
      <w:r>
        <w:rPr>
          <w:rFonts w:hint="eastAsia"/>
          <w:b/>
          <w:bCs/>
        </w:rPr>
        <w:t>视图几何约束关系：</w:t>
      </w:r>
    </w:p>
    <w:p w14:paraId="1CC04023">
      <w:pPr>
        <w:pStyle w:val="48"/>
        <w:ind w:firstLine="480"/>
      </w:pPr>
      <w:r>
        <w:rPr>
          <w:rFonts w:hint="eastAsia"/>
        </w:rPr>
        <w:t>图像之间的几何关系可用一系列数学工具来刻画，其中最典型的包括：基础矩：描述两个视图中对应点之间的约束，满足极线几何关系；本质矩阵：在已知相机内参情况下，描述相机之间的相对运动；单应性矩阵：在同一平面上的点之间的映射关系，常用于平面场景的配准；极几何：描述一对图像之间的几何对应关系，是进行匹配和约束搜索的重要依据。这些几何约束关系可通过 RANSAC 等稳健估计方法从匹配点对中计算得出，进一步用于三角测量和相机姿态估计。</w:t>
      </w:r>
    </w:p>
    <w:p w14:paraId="1669309F">
      <w:pPr>
        <w:pStyle w:val="48"/>
        <w:ind w:firstLine="0" w:firstLineChars="0"/>
        <w:rPr>
          <w:b/>
          <w:bCs/>
        </w:rPr>
      </w:pPr>
      <w:r>
        <w:rPr>
          <w:rFonts w:hint="eastAsia"/>
          <w:b/>
          <w:bCs/>
          <w:lang w:val="en-US" w:eastAsia="zh-CN"/>
        </w:rPr>
        <w:tab/>
      </w:r>
      <w:r>
        <w:rPr>
          <w:rFonts w:hint="eastAsia"/>
          <w:b/>
          <w:bCs/>
          <w:lang w:eastAsia="zh-CN"/>
        </w:rPr>
        <w:t>（</w:t>
      </w:r>
      <w:r>
        <w:rPr>
          <w:rFonts w:hint="eastAsia"/>
          <w:b/>
          <w:bCs/>
          <w:lang w:val="en-US" w:eastAsia="zh-CN"/>
        </w:rPr>
        <w:t>4</w:t>
      </w:r>
      <w:r>
        <w:rPr>
          <w:rFonts w:hint="eastAsia"/>
          <w:b/>
          <w:bCs/>
          <w:lang w:eastAsia="zh-CN"/>
        </w:rPr>
        <w:t>）</w:t>
      </w:r>
      <w:r>
        <w:rPr>
          <w:rFonts w:hint="eastAsia"/>
          <w:b/>
          <w:bCs/>
        </w:rPr>
        <w:t>三角测量与三维点恢复：</w:t>
      </w:r>
    </w:p>
    <w:p w14:paraId="5C7AF630">
      <w:pPr>
        <w:pStyle w:val="48"/>
        <w:ind w:firstLine="480"/>
      </w:pPr>
      <w:r>
        <w:rPr>
          <w:rFonts w:hint="eastAsia"/>
        </w:rPr>
        <w:t>一旦建立了图像间的匹配关系并获得相机的相对姿态，就可以通过三角测量方法将二维图像中的匹配点反推出三维空间中的位置。三角测量的基本原理是利用两个视图中同一三维点的投影，通过几何交会求解其空间坐标。数学上，这可以通过求解一组线性方程组或最小化重投影误差来实现。最终获得的三维点集构成了场景的稀疏点云，为后续表面重建或三维模型优化提供了基础数据</w:t>
      </w:r>
      <w:r>
        <w:rPr>
          <w:rStyle w:val="51"/>
          <w:rFonts w:hint="eastAsia"/>
        </w:rPr>
        <w:t>[24]</w:t>
      </w:r>
      <w:r>
        <w:rPr>
          <w:rFonts w:hint="eastAsia"/>
        </w:rPr>
        <w:t>。</w:t>
      </w:r>
    </w:p>
    <w:p w14:paraId="744372A4">
      <w:pPr>
        <w:pStyle w:val="48"/>
        <w:ind w:firstLine="0" w:firstLineChars="0"/>
        <w:rPr>
          <w:b/>
          <w:bCs/>
        </w:rPr>
      </w:pPr>
      <w:r>
        <w:rPr>
          <w:rFonts w:hint="eastAsia"/>
          <w:b/>
          <w:bCs/>
          <w:lang w:val="en-US" w:eastAsia="zh-CN"/>
        </w:rPr>
        <w:tab/>
      </w:r>
      <w:r>
        <w:rPr>
          <w:rFonts w:hint="eastAsia"/>
          <w:b/>
          <w:bCs/>
          <w:lang w:eastAsia="zh-CN"/>
        </w:rPr>
        <w:t>（</w:t>
      </w:r>
      <w:r>
        <w:rPr>
          <w:rFonts w:hint="eastAsia"/>
          <w:b/>
          <w:bCs/>
          <w:lang w:val="en-US" w:eastAsia="zh-CN"/>
        </w:rPr>
        <w:t>5</w:t>
      </w:r>
      <w:r>
        <w:rPr>
          <w:rFonts w:hint="eastAsia"/>
          <w:b/>
          <w:bCs/>
          <w:lang w:eastAsia="zh-CN"/>
        </w:rPr>
        <w:t>）</w:t>
      </w:r>
      <w:r>
        <w:rPr>
          <w:rFonts w:hint="eastAsia"/>
          <w:b/>
          <w:bCs/>
        </w:rPr>
        <w:t>运动恢复结构（Structure from Motion, SfM）：</w:t>
      </w:r>
    </w:p>
    <w:p w14:paraId="5A91EA4C">
      <w:pPr>
        <w:pStyle w:val="48"/>
        <w:ind w:firstLine="480"/>
        <w:rPr>
          <w:rStyle w:val="50"/>
        </w:rPr>
      </w:pPr>
      <w:r>
        <w:rPr>
          <w:rFonts w:hint="eastAsia"/>
        </w:rPr>
        <w:t>SfM 是多视图几何中的经典方法，目标是在无需已知相机位姿的前提下，从多张图像中联合恢复三维场景结构（Structure）与相机的运动轨迹（Motion）。其核心流程包括：图像特征提取与全局匹配；增量式或全局式的相机位姿估计；三角测量生成稀疏点云；捆绑调整进行全局非线性优化，提高重建精度。SfM 通常输出稀疏三维点云、每张图像对应的外参矩阵（位姿）和内参参数</w:t>
      </w:r>
      <w:r>
        <w:rPr>
          <w:rStyle w:val="51"/>
          <w:rFonts w:hint="eastAsia"/>
        </w:rPr>
        <w:t>[25]</w:t>
      </w:r>
      <w:r>
        <w:rPr>
          <w:rFonts w:hint="eastAsia"/>
        </w:rPr>
        <w:t>，为后续稠密重建（如 MVS）和建模提供基础。</w:t>
      </w:r>
      <w:r>
        <w:rPr>
          <w:rStyle w:val="50"/>
          <w:rFonts w:hint="eastAsia"/>
        </w:rPr>
        <w:t>本系统使用的是COLMAP来获取稀疏点云数据，它是</w:t>
      </w:r>
      <w:r>
        <w:rPr>
          <w:rStyle w:val="50"/>
        </w:rPr>
        <w:t>是一个基于 Structure-from-Motion（SfM） 和 Multi-View Stereo（MVS） 的 开源三维重建工具箱</w:t>
      </w:r>
      <w:r>
        <w:rPr>
          <w:rStyle w:val="50"/>
          <w:rFonts w:hint="eastAsia"/>
        </w:rPr>
        <w:t>。</w:t>
      </w:r>
    </w:p>
    <w:p w14:paraId="2AD65508">
      <w:pPr>
        <w:pStyle w:val="48"/>
        <w:ind w:firstLine="480"/>
        <w:rPr>
          <w:rStyle w:val="50"/>
        </w:rPr>
      </w:pPr>
    </w:p>
    <w:p w14:paraId="7B88CB33">
      <w:pPr>
        <w:pStyle w:val="48"/>
        <w:ind w:firstLine="480"/>
        <w:jc w:val="center"/>
        <w:rPr>
          <w:rStyle w:val="50"/>
        </w:rPr>
      </w:pPr>
      <w:r>
        <w:rPr>
          <w:rStyle w:val="50"/>
          <w:rFonts w:hint="eastAsia"/>
        </w:rPr>
        <w:drawing>
          <wp:inline distT="0" distB="0" distL="114300" distR="114300">
            <wp:extent cx="4981575" cy="1442085"/>
            <wp:effectExtent l="0" t="0" r="5715" b="4445"/>
            <wp:docPr id="14" name="图片 14" descr="v2-dcddaaf9425d4db13418717dc7a46a1f_1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v2-dcddaaf9425d4db13418717dc7a46a1f_1440w"/>
                    <pic:cNvPicPr>
                      <a:picLocks noChangeAspect="1"/>
                    </pic:cNvPicPr>
                  </pic:nvPicPr>
                  <pic:blipFill>
                    <a:blip r:embed="rId25"/>
                    <a:stretch>
                      <a:fillRect/>
                    </a:stretch>
                  </pic:blipFill>
                  <pic:spPr>
                    <a:xfrm>
                      <a:off x="0" y="0"/>
                      <a:ext cx="4981575" cy="1442085"/>
                    </a:xfrm>
                    <a:prstGeom prst="rect">
                      <a:avLst/>
                    </a:prstGeom>
                  </pic:spPr>
                </pic:pic>
              </a:graphicData>
            </a:graphic>
          </wp:inline>
        </w:drawing>
      </w:r>
    </w:p>
    <w:p w14:paraId="49E865AD">
      <w:pPr>
        <w:pStyle w:val="43"/>
        <w:ind w:firstLine="420"/>
        <w:rPr>
          <w:rFonts w:hint="eastAsia"/>
          <w:lang w:eastAsia="zh-CN"/>
        </w:rPr>
      </w:pPr>
      <w:r>
        <w:rPr>
          <w:lang w:eastAsia="zh-CN"/>
        </w:rPr>
        <w:t>图</w:t>
      </w:r>
      <w:r>
        <w:rPr>
          <w:rFonts w:hint="eastAsia"/>
          <w:lang w:eastAsia="zh-CN"/>
        </w:rPr>
        <w:t>2.2 运动恢复结构（SfM）示意</w:t>
      </w:r>
    </w:p>
    <w:p w14:paraId="73918B51">
      <w:pPr>
        <w:pStyle w:val="43"/>
        <w:ind w:firstLine="420"/>
        <w:rPr>
          <w:rFonts w:hint="eastAsia"/>
          <w:lang w:eastAsia="zh-CN"/>
        </w:rPr>
      </w:pPr>
    </w:p>
    <w:p w14:paraId="319A8ABA">
      <w:pPr>
        <w:pStyle w:val="48"/>
        <w:ind w:firstLine="480"/>
        <w:jc w:val="center"/>
        <w:rPr>
          <w:rStyle w:val="50"/>
        </w:rPr>
      </w:pPr>
    </w:p>
    <w:p w14:paraId="10C8D56B">
      <w:pPr>
        <w:pStyle w:val="48"/>
        <w:ind w:firstLine="0" w:firstLineChars="0"/>
        <w:rPr>
          <w:b/>
          <w:bCs/>
        </w:rPr>
      </w:pPr>
      <w:r>
        <w:rPr>
          <w:rFonts w:hint="eastAsia"/>
          <w:b/>
          <w:bCs/>
          <w:lang w:val="en-US" w:eastAsia="zh-CN"/>
        </w:rPr>
        <w:tab/>
      </w:r>
      <w:r>
        <w:rPr>
          <w:rFonts w:hint="eastAsia"/>
          <w:b/>
          <w:bCs/>
          <w:lang w:eastAsia="zh-CN"/>
        </w:rPr>
        <w:t>（</w:t>
      </w:r>
      <w:r>
        <w:rPr>
          <w:rFonts w:hint="eastAsia"/>
          <w:b/>
          <w:bCs/>
          <w:lang w:val="en-US" w:eastAsia="zh-CN"/>
        </w:rPr>
        <w:t>6</w:t>
      </w:r>
      <w:r>
        <w:rPr>
          <w:rFonts w:hint="eastAsia"/>
          <w:b/>
          <w:bCs/>
          <w:lang w:eastAsia="zh-CN"/>
        </w:rPr>
        <w:t>）</w:t>
      </w:r>
      <w:r>
        <w:rPr>
          <w:rFonts w:hint="eastAsia"/>
          <w:b/>
          <w:bCs/>
        </w:rPr>
        <w:t>多视图几何的实际应用：</w:t>
      </w:r>
    </w:p>
    <w:p w14:paraId="17DB4011">
      <w:pPr>
        <w:pStyle w:val="48"/>
        <w:ind w:firstLine="480"/>
      </w:pPr>
      <w:r>
        <w:rPr>
          <w:rFonts w:hint="eastAsia"/>
        </w:rPr>
        <w:t>多视图几何作为三维视觉的基础，在多个实际领域中有着广泛的应用，包括但不限于：摄影测量与地图制作：利用航拍图像重建大范围地形；机器人视觉与 SLAM：实现视觉里程计与三维定位；增强现实（AR）与虚拟现实（VR）：提供精确的场景建模与相机追踪；文化遗产数字化：对文物、古迹等物理对象进行高精度三维采集；自动驾驶与环境感知：从多个摄像头中获取车辆周围环境的三维结构</w:t>
      </w:r>
      <w:r>
        <w:rPr>
          <w:rStyle w:val="51"/>
          <w:rFonts w:hint="eastAsia"/>
        </w:rPr>
        <w:t>[26]</w:t>
      </w:r>
      <w:r>
        <w:rPr>
          <w:rFonts w:hint="eastAsia"/>
        </w:rPr>
        <w:t>。</w:t>
      </w:r>
    </w:p>
    <w:p w14:paraId="51357C6E">
      <w:pPr>
        <w:pStyle w:val="4"/>
        <w:spacing w:before="120"/>
      </w:pPr>
      <w:bookmarkStart w:id="16" w:name="_Toc24437"/>
      <w:r>
        <w:rPr>
          <w:rFonts w:hint="eastAsia"/>
        </w:rPr>
        <w:t>2.1.2 相机模型与标定</w:t>
      </w:r>
      <w:bookmarkEnd w:id="16"/>
    </w:p>
    <w:p w14:paraId="0BF360E8">
      <w:pPr>
        <w:pStyle w:val="48"/>
        <w:ind w:firstLine="480"/>
      </w:pPr>
      <w:r>
        <w:rPr>
          <w:rFonts w:hint="eastAsia"/>
        </w:rPr>
        <w:t>相机模型与标定是三维重建系统中的基础性环节，其核心目的是准确描述三维世界中的点如何通过摄像机投影到二维图像上。只有在相机模型准确、标定结果精确的前提下，才能保证后续的几何恢复和三维重建的精度。因此，相机模型和标定方法不仅是图像投影计算的数学依据，也是三维重建系统误差控制的关键所在。</w:t>
      </w:r>
    </w:p>
    <w:p w14:paraId="12D948B3">
      <w:pPr>
        <w:pStyle w:val="48"/>
        <w:ind w:firstLine="480"/>
        <w:rPr>
          <w:rFonts w:hint="eastAsia"/>
        </w:rPr>
      </w:pPr>
      <w:r>
        <w:rPr>
          <w:rFonts w:hint="eastAsia"/>
        </w:rPr>
        <w:t>（1）相机模型的基本概念</w:t>
      </w:r>
    </w:p>
    <w:p w14:paraId="34C6B925">
      <w:pPr>
        <w:pStyle w:val="48"/>
        <w:ind w:firstLine="480"/>
      </w:pPr>
      <w:r>
        <w:rPr>
          <w:rFonts w:hint="eastAsia"/>
        </w:rPr>
        <w:t>相机模型用于模拟现实相机的成像过程，即描述三维空间中的点如何经过透视投影映射到二维图像平面上。在计算机视觉中，最常用的模型是针孔相机模型（Pinhole Camera Model）。</w:t>
      </w:r>
    </w:p>
    <w:p w14:paraId="46B98A2C">
      <w:pPr>
        <w:pStyle w:val="48"/>
        <w:numPr>
          <w:ilvl w:val="0"/>
          <w:numId w:val="2"/>
        </w:numPr>
        <w:ind w:firstLineChars="0"/>
        <w:rPr>
          <w:color w:val="FF0000"/>
        </w:rPr>
      </w:pPr>
      <w:r>
        <w:rPr>
          <w:rFonts w:hint="eastAsia"/>
          <w:color w:val="FF0000"/>
        </w:rPr>
        <w:t>针孔相机模型</w:t>
      </w:r>
    </w:p>
    <w:p w14:paraId="56F689A2">
      <w:pPr>
        <w:pStyle w:val="48"/>
        <w:ind w:firstLine="480"/>
      </w:pPr>
      <w:r>
        <w:rPr>
          <w:rFonts w:hint="eastAsia"/>
        </w:rPr>
        <w:t>针孔模型是一种理想化的简化模型，忽略了镜头的复杂光学结构与畸变效应，仅保留了投影变换的核心部分。该模型假设成像过程为线性透视投影，三维点</w:t>
      </w:r>
      <m:oMath>
        <m:d>
          <m:dPr>
            <m:begChr m:val="["/>
            <m:endChr m:val="]"/>
            <m:ctrlPr>
              <w:rPr>
                <w:rFonts w:ascii="Cambria Math" w:hAnsi="Cambria Math"/>
              </w:rPr>
            </m:ctrlPr>
          </m:dPr>
          <m:e>
            <m:m>
              <m:mPr>
                <m:mcs>
                  <m:mc>
                    <m:mcPr>
                      <m:count m:val="1"/>
                      <m:mcJc m:val="left"/>
                    </m:mcPr>
                  </m:mc>
                </m:mcs>
                <m:plcHide m:val="1"/>
                <m:ctrlPr>
                  <w:rPr>
                    <w:rFonts w:ascii="Cambria Math" w:hAnsi="Cambria Math"/>
                  </w:rPr>
                </m:ctrlPr>
              </m:mPr>
              <m:mr>
                <m:e>
                  <m:r>
                    <m:rPr>
                      <m:sty m:val="p"/>
                    </m:rPr>
                    <w:rPr>
                      <w:rFonts w:ascii="Cambria Math" w:hAnsi="Cambria Math"/>
                    </w:rPr>
                    <m:t>X Y Z</m:t>
                  </m:r>
                  <m:ctrlPr>
                    <w:rPr>
                      <w:rFonts w:ascii="Cambria Math" w:hAnsi="Cambria Math"/>
                    </w:rPr>
                  </m:ctrlPr>
                </m:e>
              </m:mr>
            </m:m>
            <m:ctrlPr>
              <w:rPr>
                <w:rFonts w:ascii="Cambria Math" w:hAnsi="Cambria Math"/>
              </w:rPr>
            </m:ctrlPr>
          </m:e>
        </m:d>
      </m:oMath>
      <w:r>
        <w:rPr>
          <w:rFonts w:hint="eastAsia"/>
        </w:rPr>
        <w:t xml:space="preserve"> 会被投影到二维图像点 </w:t>
      </w:r>
      <m:oMath>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m:rPr>
                      <m:sty m:val="p"/>
                    </m:rPr>
                    <w:rPr>
                      <w:rFonts w:ascii="Cambria Math" w:hAnsi="Cambria Math"/>
                    </w:rPr>
                    <m:t>u</m:t>
                  </m:r>
                  <m:ctrlPr>
                    <w:rPr>
                      <w:rFonts w:ascii="Cambria Math" w:hAnsi="Cambria Math"/>
                    </w:rPr>
                  </m:ctrlPr>
                </m:e>
                <m:e>
                  <m:r>
                    <m:rPr>
                      <m:sty m:val="p"/>
                    </m:rPr>
                    <w:rPr>
                      <w:rFonts w:ascii="Cambria Math" w:hAnsi="Cambria Math"/>
                    </w:rPr>
                    <m:t>v</m:t>
                  </m:r>
                  <m:ctrlPr>
                    <w:rPr>
                      <w:rFonts w:ascii="Cambria Math" w:hAnsi="Cambria Math"/>
                    </w:rPr>
                  </m:ctrlPr>
                </m:e>
              </m:mr>
            </m:m>
            <m:ctrlPr>
              <w:rPr>
                <w:rFonts w:ascii="Cambria Math" w:hAnsi="Cambria Math"/>
              </w:rPr>
            </m:ctrlPr>
          </m:e>
        </m:d>
      </m:oMath>
      <w:r>
        <w:rPr>
          <w:rFonts w:hint="eastAsia"/>
        </w:rPr>
        <w:t xml:space="preserve">上，其关系可由以下投影矩阵 </w:t>
      </w:r>
      <m:oMath>
        <m:r>
          <m:rPr>
            <m:sty m:val="p"/>
          </m:rPr>
          <w:rPr>
            <w:rFonts w:ascii="Cambria Math" w:hAnsi="Cambria Math"/>
          </w:rPr>
          <m:t>P</m:t>
        </m:r>
      </m:oMath>
      <w:r>
        <w:rPr>
          <w:rFonts w:hint="eastAsia"/>
        </w:rPr>
        <w:t xml:space="preserve"> 表示</w:t>
      </w:r>
      <w:r>
        <w:t>：</w:t>
      </w:r>
    </w:p>
    <w:p w14:paraId="4B0AE8EA">
      <w:pPr>
        <w:jc w:val="right"/>
      </w:pPr>
      <m:oMath>
        <m:d>
          <m:dPr>
            <m:begChr m:val="["/>
            <m:endChr m:val="]"/>
            <m:ctrlPr>
              <w:rPr>
                <w:rFonts w:ascii="Cambria Math" w:hAnsi="Cambria Math"/>
              </w:rPr>
            </m:ctrlPr>
          </m:dPr>
          <m:e>
            <m:m>
              <m:mPr>
                <m:mcs>
                  <m:mc>
                    <m:mcPr>
                      <m:count m:val="1"/>
                      <m:mcJc m:val="left"/>
                    </m:mcPr>
                  </m:mc>
                </m:mcs>
                <m:plcHide m:val="1"/>
                <m:ctrlPr>
                  <w:rPr>
                    <w:rFonts w:ascii="Cambria Math" w:hAnsi="Cambria Math"/>
                  </w:rPr>
                </m:ctrlPr>
              </m:mPr>
              <m:mr>
                <m:e>
                  <m:r>
                    <m:rPr/>
                    <w:rPr>
                      <w:rFonts w:ascii="Cambria Math" w:hAnsi="Cambria Math"/>
                    </w:rPr>
                    <m:t>u</m:t>
                  </m:r>
                  <m:ctrlPr>
                    <w:rPr>
                      <w:rFonts w:ascii="Cambria Math" w:hAnsi="Cambria Math"/>
                    </w:rPr>
                  </m:ctrlPr>
                </m:e>
              </m:mr>
              <m:mr>
                <m:e>
                  <m:r>
                    <m:rPr/>
                    <w:rPr>
                      <w:rFonts w:ascii="Cambria Math" w:hAnsi="Cambria Math"/>
                    </w:rPr>
                    <m:t>v</m:t>
                  </m:r>
                  <m:ctrlPr>
                    <w:rPr>
                      <w:rFonts w:ascii="Cambria Math" w:hAnsi="Cambria Math"/>
                    </w:rPr>
                  </m:ctrlPr>
                </m:e>
              </m:mr>
              <m:mr>
                <m:e>
                  <m:r>
                    <m:rPr/>
                    <w:rPr>
                      <w:rFonts w:ascii="Cambria Math" w:hAnsi="Cambria Math"/>
                    </w:rPr>
                    <m:t>1</m:t>
                  </m:r>
                  <m:ctrlPr>
                    <w:rPr>
                      <w:rFonts w:ascii="Cambria Math" w:hAnsi="Cambria Math"/>
                    </w:rPr>
                  </m:ctrlPr>
                </m:e>
              </m:mr>
            </m:m>
            <m:ctrlPr>
              <w:rPr>
                <w:rFonts w:ascii="Cambria Math" w:hAnsi="Cambria Math"/>
              </w:rPr>
            </m:ctrlPr>
          </m:e>
        </m:d>
        <m:r>
          <m:rPr/>
          <w:rPr>
            <w:rFonts w:ascii="Cambria Math" w:hAnsi="Cambria Math"/>
          </w:rPr>
          <m:t>~ K⋅[R∣t]⋅</m:t>
        </m:r>
        <m:d>
          <m:dPr>
            <m:begChr m:val="["/>
            <m:endChr m:val="]"/>
            <m:ctrlPr>
              <w:rPr>
                <w:rFonts w:ascii="Cambria Math" w:hAnsi="Cambria Math"/>
              </w:rPr>
            </m:ctrlPr>
          </m:dPr>
          <m:e>
            <m:m>
              <m:mPr>
                <m:mcs>
                  <m:mc>
                    <m:mcPr>
                      <m:count m:val="1"/>
                      <m:mcJc m:val="left"/>
                    </m:mcPr>
                  </m:mc>
                </m:mcs>
                <m:plcHide m:val="1"/>
                <m:ctrlPr>
                  <w:rPr>
                    <w:rFonts w:ascii="Cambria Math" w:hAnsi="Cambria Math"/>
                  </w:rPr>
                </m:ctrlPr>
              </m:mPr>
              <m:mr>
                <m:e>
                  <m:r>
                    <m:rPr/>
                    <w:rPr>
                      <w:rFonts w:ascii="Cambria Math" w:hAnsi="Cambria Math"/>
                    </w:rPr>
                    <m:t>X</m:t>
                  </m:r>
                  <m:ctrlPr>
                    <w:rPr>
                      <w:rFonts w:ascii="Cambria Math" w:hAnsi="Cambria Math"/>
                    </w:rPr>
                  </m:ctrlPr>
                </m:e>
              </m:mr>
              <m:mr>
                <m:e>
                  <m:r>
                    <m:rPr/>
                    <w:rPr>
                      <w:rFonts w:ascii="Cambria Math" w:hAnsi="Cambria Math"/>
                    </w:rPr>
                    <m:t>Y</m:t>
                  </m:r>
                  <m:ctrlPr>
                    <w:rPr>
                      <w:rFonts w:ascii="Cambria Math" w:hAnsi="Cambria Math"/>
                    </w:rPr>
                  </m:ctrlPr>
                </m:e>
              </m:mr>
              <m:mr>
                <m:e>
                  <m:r>
                    <m:rPr/>
                    <w:rPr>
                      <w:rFonts w:ascii="Cambria Math" w:hAnsi="Cambria Math"/>
                    </w:rPr>
                    <m:t>Z</m:t>
                  </m:r>
                  <m:ctrlPr>
                    <w:rPr>
                      <w:rFonts w:ascii="Cambria Math" w:hAnsi="Cambria Math"/>
                    </w:rPr>
                  </m:ctrlPr>
                </m:e>
              </m:mr>
              <m:mr>
                <m:e>
                  <m:r>
                    <m:rPr/>
                    <w:rPr>
                      <w:rFonts w:ascii="Cambria Math" w:hAnsi="Cambria Math"/>
                    </w:rPr>
                    <m:t>1</m:t>
                  </m:r>
                  <m:ctrlPr>
                    <w:rPr>
                      <w:rFonts w:ascii="Cambria Math" w:hAnsi="Cambria Math"/>
                    </w:rPr>
                  </m:ctrlPr>
                </m:e>
              </m:mr>
            </m:m>
            <m:ctrlPr>
              <w:rPr>
                <w:rFonts w:ascii="Cambria Math" w:hAnsi="Cambria Math"/>
              </w:rPr>
            </m:ctrlPr>
          </m:e>
        </m:d>
      </m:oMath>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commentRangeStart w:id="0"/>
      <w:r>
        <w:rPr>
          <w:rStyle w:val="54"/>
        </w:rPr>
        <w:fldChar w:fldCharType="begin"/>
      </w:r>
      <w:r>
        <w:rPr>
          <w:rStyle w:val="54"/>
        </w:rPr>
        <w:instrText xml:space="preserve"> MACROBUTTON AMMPlaceRM \* MERGEFORMAT </w:instrText>
      </w:r>
      <w:r>
        <w:rPr>
          <w:rStyle w:val="54"/>
        </w:rPr>
        <w:fldChar w:fldCharType="begin"/>
      </w:r>
      <w:r>
        <w:rPr>
          <w:rStyle w:val="54"/>
        </w:rPr>
        <w:instrText xml:space="preserve"> SEQ AMEqn \h \* MERGEFORMAT </w:instrText>
      </w:r>
      <w:r>
        <w:rPr>
          <w:rStyle w:val="54"/>
        </w:rPr>
        <w:fldChar w:fldCharType="separate"/>
      </w:r>
      <w:r>
        <w:rPr>
          <w:rStyle w:val="54"/>
        </w:rPr>
        <w:fldChar w:fldCharType="end"/>
      </w:r>
      <w:bookmarkStart w:id="17" w:name="ZEqnNum793530"/>
      <w:r>
        <w:rPr>
          <w:rStyle w:val="54"/>
        </w:rPr>
        <w:instrText xml:space="preserve">(</w:instrText>
      </w:r>
      <w:r>
        <w:rPr>
          <w:rStyle w:val="54"/>
        </w:rPr>
        <w:fldChar w:fldCharType="begin"/>
      </w:r>
      <w:r>
        <w:rPr>
          <w:rStyle w:val="54"/>
        </w:rPr>
        <w:instrText xml:space="preserve"> SEQ AMChap \c \* Arabic \* MERGEFORMAT </w:instrText>
      </w:r>
      <w:r>
        <w:rPr>
          <w:rStyle w:val="54"/>
        </w:rPr>
        <w:fldChar w:fldCharType="separate"/>
      </w:r>
      <w:r>
        <w:rPr>
          <w:rStyle w:val="54"/>
        </w:rPr>
        <w:instrText xml:space="preserve">0</w:instrText>
      </w:r>
      <w:r>
        <w:rPr>
          <w:rStyle w:val="54"/>
        </w:rPr>
        <w:fldChar w:fldCharType="end"/>
      </w:r>
      <w:r>
        <w:rPr>
          <w:rStyle w:val="54"/>
        </w:rPr>
        <w:instrText xml:space="preserve">.</w:instrText>
      </w:r>
      <w:r>
        <w:rPr>
          <w:rStyle w:val="54"/>
        </w:rPr>
        <w:fldChar w:fldCharType="begin"/>
      </w:r>
      <w:r>
        <w:rPr>
          <w:rStyle w:val="54"/>
        </w:rPr>
        <w:instrText xml:space="preserve"> SEQ AMEqn \c \* Arabic \* MERGEFORMAT </w:instrText>
      </w:r>
      <w:r>
        <w:rPr>
          <w:rStyle w:val="54"/>
        </w:rPr>
        <w:fldChar w:fldCharType="separate"/>
      </w:r>
      <w:r>
        <w:rPr>
          <w:rStyle w:val="54"/>
        </w:rPr>
        <w:instrText xml:space="preserve">1</w:instrText>
      </w:r>
      <w:r>
        <w:rPr>
          <w:rStyle w:val="54"/>
        </w:rPr>
        <w:fldChar w:fldCharType="end"/>
      </w:r>
      <w:r>
        <w:rPr>
          <w:rStyle w:val="54"/>
        </w:rPr>
        <w:instrText xml:space="preserve">)</w:instrText>
      </w:r>
      <w:bookmarkEnd w:id="17"/>
      <w:r>
        <w:rPr>
          <w:rStyle w:val="54"/>
        </w:rPr>
        <w:fldChar w:fldCharType="end"/>
      </w:r>
      <w:commentRangeEnd w:id="0"/>
      <w:r>
        <w:rPr>
          <w:rStyle w:val="29"/>
        </w:rPr>
        <w:commentReference w:id="0"/>
      </w:r>
    </w:p>
    <w:p w14:paraId="7C962369"/>
    <w:p w14:paraId="26D95B26">
      <w:pPr>
        <w:pStyle w:val="48"/>
        <w:ind w:firstLine="0" w:firstLineChars="0"/>
      </w:pPr>
      <w:r>
        <w:rPr>
          <w:rFonts w:hint="eastAsia"/>
        </w:rPr>
        <w:t>其中：</w:t>
      </w:r>
    </w:p>
    <w:p w14:paraId="7B8A78C6">
      <m:oMath>
        <m:r>
          <m:rPr/>
          <w:rPr>
            <w:rFonts w:ascii="Cambria Math" w:hAnsi="Cambria Math"/>
          </w:rPr>
          <m:t>K</m:t>
        </m:r>
      </m:oMath>
      <w:r>
        <w:rPr>
          <w:rFonts w:hint="eastAsia"/>
        </w:rPr>
        <w:t xml:space="preserve"> 为相机内参矩阵，包含焦距、主点、像素比例等；</w:t>
      </w:r>
    </w:p>
    <w:p w14:paraId="0A483812">
      <m:oMath>
        <m:r>
          <m:rPr/>
          <w:rPr>
            <w:rFonts w:ascii="Cambria Math" w:hAnsi="Cambria Math"/>
          </w:rPr>
          <m:t>[R</m:t>
        </m:r>
        <m:r>
          <m:rPr>
            <m:sty m:val="p"/>
          </m:rPr>
          <w:rPr>
            <w:rFonts w:ascii="Cambria Math" w:hAnsi="Cambria Math"/>
          </w:rPr>
          <m:t xml:space="preserve"> </m:t>
        </m:r>
        <m:r>
          <m:rPr/>
          <w:rPr>
            <w:rFonts w:ascii="Cambria Math" w:hAnsi="Cambria Math"/>
          </w:rPr>
          <m:t>|</m:t>
        </m:r>
        <m:r>
          <m:rPr>
            <m:sty m:val="p"/>
          </m:rPr>
          <w:rPr>
            <w:rFonts w:ascii="Cambria Math" w:hAnsi="Cambria Math"/>
          </w:rPr>
          <m:t xml:space="preserve"> </m:t>
        </m:r>
        <m:r>
          <m:rPr/>
          <w:rPr>
            <w:rFonts w:ascii="Cambria Math" w:hAnsi="Cambria Math"/>
          </w:rPr>
          <m:t>t]</m:t>
        </m:r>
      </m:oMath>
      <w:r>
        <w:rPr>
          <w:rFonts w:hint="eastAsia"/>
        </w:rPr>
        <w:t xml:space="preserve"> 为相机的外参矩阵，描述从世界坐标系到相机坐标系的变换；</w:t>
      </w:r>
    </w:p>
    <w:p w14:paraId="0F9BD2FF">
      <w:pPr>
        <w:pStyle w:val="48"/>
        <w:ind w:firstLine="0" w:firstLineChars="0"/>
      </w:pPr>
      <m:oMath>
        <m:r>
          <m:rPr>
            <m:sty m:val="p"/>
          </m:rPr>
          <w:rPr>
            <w:rFonts w:ascii="Cambria Math" w:hAnsi="Cambria Math"/>
          </w:rPr>
          <m:t>∼</m:t>
        </m:r>
      </m:oMath>
      <w:r>
        <w:rPr>
          <w:rFonts w:hint="eastAsia"/>
        </w:rPr>
        <w:t>表示齐次坐标的等价变换（即忽略比例因子）。</w:t>
      </w:r>
    </w:p>
    <w:p w14:paraId="67FA4CE9">
      <w:pPr>
        <w:pStyle w:val="48"/>
        <w:ind w:firstLine="0" w:firstLineChars="0"/>
        <w:jc w:val="center"/>
      </w:pPr>
      <w:r>
        <w:drawing>
          <wp:inline distT="0" distB="0" distL="114300" distR="114300">
            <wp:extent cx="4051300" cy="1729105"/>
            <wp:effectExtent l="0" t="0" r="7620" b="889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6"/>
                    <a:stretch>
                      <a:fillRect/>
                    </a:stretch>
                  </pic:blipFill>
                  <pic:spPr>
                    <a:xfrm>
                      <a:off x="0" y="0"/>
                      <a:ext cx="4051300" cy="1729105"/>
                    </a:xfrm>
                    <a:prstGeom prst="rect">
                      <a:avLst/>
                    </a:prstGeom>
                    <a:noFill/>
                    <a:ln>
                      <a:noFill/>
                    </a:ln>
                  </pic:spPr>
                </pic:pic>
              </a:graphicData>
            </a:graphic>
          </wp:inline>
        </w:drawing>
      </w:r>
    </w:p>
    <w:p w14:paraId="08658367">
      <w:pPr>
        <w:pStyle w:val="43"/>
        <w:ind w:firstLine="420"/>
        <w:rPr>
          <w:rFonts w:hint="eastAsia"/>
          <w:lang w:eastAsia="zh-CN"/>
        </w:rPr>
      </w:pPr>
      <w:r>
        <w:rPr>
          <w:rFonts w:hint="eastAsia"/>
          <w:lang w:eastAsia="zh-CN"/>
        </w:rPr>
        <w:t>图2.3针孔照相机模型示意</w:t>
      </w:r>
    </w:p>
    <w:p w14:paraId="396ECA74">
      <w:pPr>
        <w:pStyle w:val="48"/>
        <w:ind w:firstLine="0" w:firstLineChars="0"/>
        <w:jc w:val="center"/>
      </w:pPr>
    </w:p>
    <w:p w14:paraId="6A599B48">
      <w:pPr>
        <w:pStyle w:val="48"/>
        <w:numPr>
          <w:ilvl w:val="0"/>
          <w:numId w:val="2"/>
        </w:numPr>
        <w:ind w:firstLineChars="0"/>
        <w:rPr>
          <w:color w:val="FF0000"/>
        </w:rPr>
      </w:pPr>
      <w:r>
        <w:rPr>
          <w:rFonts w:hint="eastAsia"/>
          <w:color w:val="FF0000"/>
        </w:rPr>
        <w:t>畸变模型与广角镜头建模</w:t>
      </w:r>
    </w:p>
    <w:p w14:paraId="0AA6FC84">
      <w:pPr>
        <w:pStyle w:val="48"/>
        <w:ind w:firstLine="480"/>
      </w:pPr>
      <w:r>
        <w:rPr>
          <w:rFonts w:hint="eastAsia"/>
        </w:rPr>
        <w:t>现实世界中的相机镜头存在多种类型的成像畸变，这在使用广角镜头、鱼眼镜头等非理想成像系统时尤为明显。常见的畸变类型主要包括：</w:t>
      </w:r>
    </w:p>
    <w:p w14:paraId="433201E2">
      <w:pPr>
        <w:pStyle w:val="48"/>
        <w:ind w:firstLine="0" w:firstLineChars="0"/>
      </w:pPr>
      <w:r>
        <w:rPr>
          <w:rFonts w:hint="eastAsia"/>
        </w:rPr>
        <w:t>径向畸变：图像边缘位置会被拉伸或压缩，形成桶形或枕形失真；</w:t>
      </w:r>
    </w:p>
    <w:p w14:paraId="707F2233">
      <w:pPr>
        <w:pStyle w:val="48"/>
        <w:ind w:firstLine="0" w:firstLineChars="0"/>
      </w:pPr>
      <w:r>
        <w:rPr>
          <w:rFonts w:hint="eastAsia"/>
        </w:rPr>
        <w:t>切向畸变：由于镜头与图像平面不完全对齐导致的非对称畸变。</w:t>
      </w:r>
    </w:p>
    <w:p w14:paraId="0F9021D2">
      <w:pPr>
        <w:pStyle w:val="48"/>
        <w:ind w:firstLine="0" w:firstLineChars="0"/>
        <w:rPr>
          <w:rFonts w:hint="eastAsia"/>
        </w:rPr>
      </w:pPr>
      <w:r>
        <w:rPr>
          <w:rFonts w:hint="eastAsia"/>
        </w:rPr>
        <w:t xml:space="preserve">为了解决这类畸变带来的误差，通常会在相机模型中引入畸变系数（如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k</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k</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oMath>
      <w:r>
        <w:rPr>
          <w:rFonts w:hint="eastAsia"/>
        </w:rPr>
        <w:t>等），并在图像处理阶段进行图像去畸变操作，从而还原真实图像的几何结构</w:t>
      </w:r>
      <w:r>
        <w:rPr>
          <w:rStyle w:val="51"/>
          <w:rFonts w:hint="eastAsia"/>
        </w:rPr>
        <w:t>[27]</w:t>
      </w:r>
      <w:r>
        <w:rPr>
          <w:rFonts w:hint="eastAsia"/>
        </w:rPr>
        <w:t>。</w:t>
      </w:r>
    </w:p>
    <w:p w14:paraId="276E4012">
      <w:pPr>
        <w:pStyle w:val="48"/>
        <w:ind w:firstLine="480"/>
        <w:rPr>
          <w:color w:val="FF0000"/>
        </w:rPr>
      </w:pPr>
      <w:r>
        <w:rPr>
          <w:rFonts w:hint="eastAsia"/>
          <w:color w:val="FF0000"/>
        </w:rPr>
        <w:t>（2）相机模型中的坐标系</w:t>
      </w:r>
    </w:p>
    <w:p w14:paraId="4B9CB0A7">
      <w:pPr>
        <w:pStyle w:val="48"/>
        <w:ind w:firstLine="480"/>
      </w:pPr>
      <w:r>
        <w:rPr>
          <w:rFonts w:hint="eastAsia"/>
        </w:rPr>
        <w:t>相机模型存在4个坐标系：世界坐标系、摄像机坐标系、图像物理坐标系和图像像素坐标系。光心：图像的中心。光轴：穿过图像的光心，与图像平面垂直的轴。</w:t>
      </w:r>
    </w:p>
    <w:p w14:paraId="5531E6C2">
      <w:pPr>
        <w:jc w:val="center"/>
      </w:pPr>
      <w:r>
        <w:drawing>
          <wp:inline distT="0" distB="0" distL="114300" distR="114300">
            <wp:extent cx="2846705" cy="2219325"/>
            <wp:effectExtent l="0" t="0" r="317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2846705" cy="2219325"/>
                    </a:xfrm>
                    <a:prstGeom prst="rect">
                      <a:avLst/>
                    </a:prstGeom>
                    <a:noFill/>
                    <a:ln>
                      <a:noFill/>
                    </a:ln>
                  </pic:spPr>
                </pic:pic>
              </a:graphicData>
            </a:graphic>
          </wp:inline>
        </w:drawing>
      </w:r>
    </w:p>
    <w:p w14:paraId="766E967C">
      <w:pPr>
        <w:pStyle w:val="43"/>
        <w:spacing w:after="120" w:afterLines="50"/>
        <w:ind w:firstLine="420" w:firstLineChars="0"/>
        <w:rPr>
          <w:rFonts w:hint="eastAsia"/>
          <w:lang w:eastAsia="zh-CN"/>
        </w:rPr>
      </w:pPr>
      <w:r>
        <w:rPr>
          <w:rFonts w:hint="eastAsia"/>
          <w:lang w:eastAsia="zh-CN"/>
        </w:rPr>
        <w:t>图2.4 相机模型中的坐标系</w:t>
      </w:r>
    </w:p>
    <w:p w14:paraId="0B90167A">
      <w:pPr>
        <w:jc w:val="center"/>
      </w:pPr>
    </w:p>
    <w:p w14:paraId="31BAEA83">
      <w:pPr>
        <w:pStyle w:val="48"/>
        <w:ind w:firstLine="480"/>
      </w:pPr>
      <w:r>
        <w:t>世界坐标系：是客观三维世界的绝对坐标系，也称客观坐标系，就是物体在真实世界中的坐标，世界坐标系是随着物体的大小和位置变化的，单位是长度单位</w:t>
      </w:r>
    </w:p>
    <w:p w14:paraId="6AC37329">
      <w:pPr>
        <w:pStyle w:val="48"/>
        <w:ind w:firstLine="480"/>
      </w:pPr>
      <w:r>
        <w:t>相机坐标系：以相机的光心为坐标原点，以平行于图像的x和y方向为x轴和y轴，z轴和光轴平行，x， y，z互相垂直，单位是长度单位。</w:t>
      </w:r>
    </w:p>
    <w:p w14:paraId="6725E859">
      <w:pPr>
        <w:pStyle w:val="48"/>
        <w:ind w:firstLine="0" w:firstLineChars="0"/>
      </w:pPr>
      <w:r>
        <w:rPr>
          <w:rFonts w:hint="eastAsia"/>
        </w:rPr>
        <w:tab/>
      </w:r>
      <w:r>
        <w:t>图像物理坐标系：以主光轴Zc和图像平面交点为坐标原点，x和y方向如图所示，单位是长度单位。</w:t>
      </w:r>
    </w:p>
    <w:p w14:paraId="344F9339">
      <w:pPr>
        <w:pStyle w:val="48"/>
        <w:ind w:firstLine="0" w:firstLineChars="0"/>
      </w:pPr>
      <w:r>
        <w:rPr>
          <w:rFonts w:hint="eastAsia"/>
        </w:rPr>
        <w:tab/>
      </w:r>
      <w:r>
        <w:t>图像像素坐标系：以图像的上/下/左/右顶点为坐标原点，u和v方向平行于x’和y’方向，单位是像素。</w:t>
      </w:r>
    </w:p>
    <w:p w14:paraId="6BCFB2F8">
      <w:r>
        <w:rPr>
          <w:rFonts w:hint="eastAsia"/>
        </w:rPr>
        <w:tab/>
      </w:r>
      <w:r>
        <w:rPr>
          <w:rFonts w:hint="eastAsia"/>
        </w:rPr>
        <w:t>相机模型与标定是三维重建系统的理论基石，准确的模型不仅能够提供高质量的图像几何校正，更能为后续 SfM、MVS、3DGS 等重建算法提供精确的几何输入。在实际系统中，良好的相机标定往往意味着更高的重建精度、更少的误差积累，也为三维高斯泼溅等神经渲染技术提供可靠的初始化条件与视角一致性保证。</w:t>
      </w:r>
    </w:p>
    <w:p w14:paraId="347E0DCF">
      <w:pPr>
        <w:pStyle w:val="4"/>
        <w:spacing w:before="120"/>
      </w:pPr>
      <w:bookmarkStart w:id="18" w:name="_Toc29841"/>
      <w:r>
        <w:rPr>
          <w:rFonts w:hint="eastAsia"/>
        </w:rPr>
        <w:t>2.1.3 常见的三维重建表达方式</w:t>
      </w:r>
      <w:bookmarkEnd w:id="18"/>
    </w:p>
    <w:p w14:paraId="62E49291">
      <w:pPr>
        <w:pStyle w:val="48"/>
        <w:ind w:firstLine="480"/>
      </w:pPr>
      <w:r>
        <w:rPr>
          <w:rFonts w:hint="eastAsia"/>
        </w:rPr>
        <w:t>根据不同的重建方法和数据特征，三维重建结果可以采用多种不同的数据结构与表达形式。常见的三维重建表达方式包括：点云（Point Cloud）、网格模型（Mesh）、体素（Voxel Grid）、深度图（Depth Map）、神经场（Neural Field）和三维高斯泼溅（3D Gaussian Splatting）等。</w:t>
      </w:r>
    </w:p>
    <w:p w14:paraId="75D7B2BE">
      <w:pPr>
        <w:pStyle w:val="48"/>
        <w:ind w:firstLine="480"/>
        <w:rPr>
          <w:color w:val="FF0000"/>
        </w:rPr>
      </w:pPr>
      <w:commentRangeStart w:id="1"/>
      <w:r>
        <w:rPr>
          <w:rFonts w:hint="eastAsia"/>
          <w:color w:val="FF0000"/>
        </w:rPr>
        <w:t>（1）点云（Point Cloud）</w:t>
      </w:r>
      <w:commentRangeEnd w:id="1"/>
      <w:r>
        <w:rPr>
          <w:rStyle w:val="29"/>
          <w:color w:val="FF0000"/>
        </w:rPr>
        <w:commentReference w:id="1"/>
      </w:r>
    </w:p>
    <w:p w14:paraId="6EF11CB4">
      <w:pPr>
        <w:pStyle w:val="48"/>
        <w:ind w:firstLine="480"/>
      </w:pPr>
      <w:r>
        <w:rPr>
          <w:rFonts w:hint="eastAsia"/>
        </w:rPr>
        <w:t>点云是一种最基础、最通用的三维表示方式，由大量三维空间中的离散点组成，每个点记录其空间位置 (x,y,z)，并可附带颜色、法线或语义等属性。</w:t>
      </w:r>
    </w:p>
    <w:p w14:paraId="32E724FF">
      <w:pPr>
        <w:pStyle w:val="48"/>
        <w:ind w:firstLine="480"/>
      </w:pPr>
      <w:r>
        <w:rPr>
          <w:rFonts w:hint="eastAsia"/>
        </w:rPr>
        <w:t>结构简单、易于从多视图几何算法中直接获取（如SfM、MVS等）；适合大规模场景的稀疏表示。缺乏拓扑结构，不能表示连续的表面信息；在渲染和碰撞检测中较为低效。大多应用于激光雷达扫描、SfM初始输出、3D重建初步展示等。</w:t>
      </w:r>
    </w:p>
    <w:p w14:paraId="68830AFF">
      <w:pPr>
        <w:pStyle w:val="48"/>
        <w:ind w:firstLine="480"/>
        <w:rPr>
          <w:color w:val="FF0000"/>
        </w:rPr>
      </w:pPr>
      <w:r>
        <w:rPr>
          <w:rFonts w:hint="eastAsia"/>
          <w:color w:val="FF0000"/>
        </w:rPr>
        <w:t>（2）三角网格（Mesh）</w:t>
      </w:r>
    </w:p>
    <w:p w14:paraId="0649D9F7">
      <w:pPr>
        <w:pStyle w:val="48"/>
        <w:ind w:firstLine="480"/>
      </w:pPr>
      <w:r>
        <w:rPr>
          <w:rFonts w:hint="eastAsia"/>
        </w:rPr>
        <w:t>三角网格通过将点云中的点按照一定拓扑连接形成面片（通常为三角形）来构成表面。一个网格通常由顶点集、边集与面集组成，能较好地表达物体的几何形状。表达能力强，可用于精细建模、纹理映射与物理仿真；主流图形引擎对Mesh有良好支持。网格构建复杂，重建过程对噪声敏感；不适合表示体积数据。大多应用于游戏建模、三维打印、仿真建模、工业逆向工程等。</w:t>
      </w:r>
    </w:p>
    <w:p w14:paraId="5A3B9FD6">
      <w:pPr>
        <w:pStyle w:val="48"/>
        <w:ind w:firstLine="480"/>
        <w:rPr>
          <w:color w:val="FF0000"/>
        </w:rPr>
      </w:pPr>
      <w:r>
        <w:rPr>
          <w:rFonts w:hint="eastAsia"/>
          <w:color w:val="FF0000"/>
        </w:rPr>
        <w:t>（3）体素网格（Voxel Grid）</w:t>
      </w:r>
    </w:p>
    <w:p w14:paraId="3C6FBD0B">
      <w:pPr>
        <w:pStyle w:val="48"/>
        <w:ind w:firstLine="480"/>
      </w:pPr>
      <w:r>
        <w:rPr>
          <w:rFonts w:hint="eastAsia"/>
        </w:rPr>
        <w:t>体素（Voxel）是三维空间中均匀划分的小立方体单元，可类比于二维图像中的像素。体素网格常用于重建实体物体或体积密度场。结构规则、易于处理和分析；适合表示体积对象，如医学图像、构造块模型等。内存开销大，分辨率受限；在表示细节丰富场景时效率较低。大多应用于医学CT/MRI建模、机器人路径规划、体绘制（Volume Rendering）等。</w:t>
      </w:r>
    </w:p>
    <w:p w14:paraId="25B422D8">
      <w:pPr>
        <w:pStyle w:val="48"/>
        <w:ind w:firstLine="480"/>
        <w:rPr>
          <w:color w:val="FF0000"/>
        </w:rPr>
      </w:pPr>
      <w:r>
        <w:rPr>
          <w:rFonts w:hint="eastAsia"/>
          <w:color w:val="FF0000"/>
        </w:rPr>
        <w:t>（4）深度图（Depth Map）</w:t>
      </w:r>
    </w:p>
    <w:p w14:paraId="0AA975C4">
      <w:pPr>
        <w:pStyle w:val="48"/>
        <w:ind w:firstLine="480"/>
      </w:pPr>
      <w:r>
        <w:rPr>
          <w:rFonts w:hint="eastAsia"/>
        </w:rPr>
        <w:t>深度图是二维图像的一种扩展，其每个像素值表示对应点到相机的深度值。通过对多张深度图进行融合，可重建出三维模型。与图像结构一致，易于采集与处理；适合多视图融合与立体视觉计算。不具备空间一致性，融合难度大；噪声敏感。大多应用于RGB-D相机采集、AR场景定位、SLAM系统、MVS重建输入等。</w:t>
      </w:r>
    </w:p>
    <w:p w14:paraId="221783A5">
      <w:pPr>
        <w:pStyle w:val="48"/>
        <w:ind w:firstLine="480"/>
        <w:rPr>
          <w:color w:val="FF0000"/>
        </w:rPr>
      </w:pPr>
      <w:r>
        <w:rPr>
          <w:rFonts w:hint="eastAsia"/>
          <w:color w:val="FF0000"/>
        </w:rPr>
        <w:t>（5）神经场（Neural Fields）</w:t>
      </w:r>
    </w:p>
    <w:p w14:paraId="7B22278E">
      <w:pPr>
        <w:pStyle w:val="48"/>
        <w:ind w:firstLine="480"/>
      </w:pPr>
      <w:r>
        <w:rPr>
          <w:rFonts w:hint="eastAsia"/>
        </w:rPr>
        <w:t>神经场通过使用神经网络对空间进行隐式建模，例如神经辐射场（NeRF）等技术，通过坐标-特征映射函数建模整个三维场景。可以实现连续、无网格的高质量重建；渲染效果真实，支持新视角合成。训练开销大，渲染效率低；难以实时交互或导出显式几何。</w:t>
      </w:r>
    </w:p>
    <w:p w14:paraId="685471E3">
      <w:pPr>
        <w:pStyle w:val="48"/>
        <w:ind w:firstLine="480"/>
        <w:rPr>
          <w:color w:val="FF0000"/>
        </w:rPr>
      </w:pPr>
      <w:r>
        <w:rPr>
          <w:rFonts w:hint="eastAsia"/>
          <w:color w:val="FF0000"/>
        </w:rPr>
        <w:t>（6）三维高斯泼溅（3D Gaussian Splatting）</w:t>
      </w:r>
    </w:p>
    <w:p w14:paraId="0AA202AF">
      <w:pPr>
        <w:pStyle w:val="48"/>
        <w:ind w:firstLine="480"/>
      </w:pPr>
      <w:r>
        <w:rPr>
          <w:rFonts w:hint="eastAsia"/>
        </w:rPr>
        <w:t>三维高斯泼溅是一种新兴的神经渲染表达形式，通过在三维空间中分布高斯核（每个高斯拥有位置、方向、颜色、透明度等属性），并进行光栅化渲染，达到近似真实的视图合成效果。重建速度快，可实现高质量实时渲染；支持显式空间结构，便于交互。精度受限于输入图像质量；在结构稀疏区域可能存在冗余或模糊。大多应用于快速三维扫描、人脸建模、轻量级数字孪生、移动端AR渲染等</w:t>
      </w:r>
      <w:r>
        <w:rPr>
          <w:rStyle w:val="51"/>
          <w:rFonts w:hint="eastAsia"/>
        </w:rPr>
        <w:t>[28]</w:t>
      </w:r>
      <w:r>
        <w:rPr>
          <w:rFonts w:hint="eastAsia"/>
        </w:rPr>
        <w:t>。</w:t>
      </w:r>
    </w:p>
    <w:p w14:paraId="044DB8A9"/>
    <w:p w14:paraId="34B1F101">
      <w:pPr>
        <w:pStyle w:val="3"/>
        <w:spacing w:before="120"/>
      </w:pPr>
      <w:bookmarkStart w:id="19" w:name="_Toc3079"/>
      <w:r>
        <w:rPr>
          <w:rFonts w:hint="eastAsia"/>
        </w:rPr>
        <w:t>2.2基于神经辐射场的体素渲染</w:t>
      </w:r>
      <w:bookmarkEnd w:id="19"/>
    </w:p>
    <w:p w14:paraId="29778363">
      <w:pPr>
        <w:pStyle w:val="4"/>
        <w:spacing w:before="120"/>
      </w:pPr>
      <w:bookmarkStart w:id="20" w:name="_Toc7544"/>
      <w:r>
        <w:rPr>
          <w:rFonts w:hint="eastAsia"/>
        </w:rPr>
        <w:t>2.2.1.核心思想与数学原理</w:t>
      </w:r>
      <w:bookmarkEnd w:id="20"/>
    </w:p>
    <w:p w14:paraId="68F84681">
      <w:pPr>
        <w:pStyle w:val="48"/>
        <w:ind w:firstLine="0" w:firstLineChars="0"/>
      </w:pPr>
      <w:r>
        <w:rPr>
          <w:rFonts w:hint="eastAsia"/>
          <w:lang w:val="en-US" w:eastAsia="zh-CN"/>
        </w:rPr>
        <w:tab/>
        <w:t/>
      </w:r>
      <w:r>
        <w:rPr>
          <w:rFonts w:hint="eastAsia"/>
          <w:lang w:val="en-US" w:eastAsia="zh-CN"/>
        </w:rPr>
        <w:tab/>
      </w:r>
      <w:bookmarkStart w:id="73" w:name="_GoBack"/>
      <w:bookmarkEnd w:id="73"/>
      <w:r>
        <w:rPr>
          <w:rFonts w:hint="eastAsia"/>
        </w:rPr>
        <w:t>神经辐射场（Neural Radiance Fields, NeRF）是一种使用神经网络建模三维场景的技术，最早由 Mildenhall 等人在 2020 年提出。NeRF 的核心思想是：通过一个多层感知器（MLP）学习一个函数，将三维空间中的位置和视角映射到颜色和体密度，从而实现对真实场景的建模与新视角图像的合成。NeRF 不直接输出显式几何（如点云、网格），而是以“体积渲染”的方式间接表达三维结构，是神经渲染领域的重要突破。NeRF 的核心是一个神经网络函数：</w:t>
      </w:r>
    </w:p>
    <w:p w14:paraId="17B59F07">
      <w:pPr>
        <w:pStyle w:val="48"/>
        <w:ind w:firstLine="480"/>
        <w:jc w:val="right"/>
      </w:pP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θ</m:t>
            </m:r>
            <m:ctrlPr>
              <w:rPr>
                <w:rFonts w:ascii="Cambria Math" w:hAnsi="Cambria Math"/>
              </w:rPr>
            </m:ctrlPr>
          </m:sub>
        </m:sSub>
        <m:r>
          <m:rPr/>
          <w:rPr>
            <w:rFonts w:ascii="Cambria Math" w:hAnsi="Cambria Math"/>
          </w:rPr>
          <m:t>(</m:t>
        </m:r>
        <m:r>
          <m:rPr>
            <m:sty m:val="b"/>
          </m:rPr>
          <w:rPr>
            <w:rFonts w:ascii="Cambria Math" w:hAnsi="Cambria Math"/>
          </w:rPr>
          <m:t>x</m:t>
        </m:r>
        <m:r>
          <m:rPr/>
          <w:rPr>
            <w:rFonts w:ascii="Cambria Math" w:hAnsi="Cambria Math"/>
          </w:rPr>
          <m:t>,</m:t>
        </m:r>
        <m:r>
          <m:rPr>
            <m:sty m:val="b"/>
          </m:rPr>
          <w:rPr>
            <w:rFonts w:ascii="Cambria Math" w:hAnsi="Cambria Math"/>
          </w:rPr>
          <m:t>d</m:t>
        </m:r>
        <m:r>
          <m:rPr/>
          <w:rPr>
            <w:rFonts w:ascii="Cambria Math" w:hAnsi="Cambria Math"/>
          </w:rPr>
          <m:t>)=(</m:t>
        </m:r>
        <m:r>
          <m:rPr>
            <m:sty m:val="b"/>
          </m:rPr>
          <w:rPr>
            <w:rFonts w:ascii="Cambria Math" w:hAnsi="Cambria Math"/>
          </w:rPr>
          <m:t>c</m:t>
        </m:r>
        <m:r>
          <m:rPr/>
          <w:rPr>
            <w:rFonts w:ascii="Cambria Math" w:hAnsi="Cambria Math"/>
          </w:rPr>
          <m:t>,σ)</m:t>
        </m:r>
      </m:oMath>
      <w:r>
        <w:rPr>
          <w:rFonts w:hint="eastAsia" w:hAnsi="Cambria Math"/>
        </w:rPr>
        <w:t xml:space="preserve"> </w:t>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Fonts w:hint="eastAsia" w:hAnsi="Cambria Math"/>
        </w:rPr>
        <w:tab/>
      </w:r>
      <w:r>
        <w:rPr>
          <w:rStyle w:val="54"/>
          <w:rFonts w:hint="eastAsia"/>
        </w:rPr>
        <w:t>（2.2）</w:t>
      </w:r>
    </w:p>
    <w:p w14:paraId="2A4C51BF">
      <w:pPr>
        <w:pStyle w:val="48"/>
        <w:ind w:firstLine="0" w:firstLineChars="0"/>
      </w:pPr>
      <w:r>
        <w:rPr>
          <w:rFonts w:hint="eastAsia"/>
        </w:rPr>
        <w:t>其中，</w:t>
      </w:r>
      <m:oMath>
        <m:r>
          <m:rPr>
            <m:sty m:val="b"/>
          </m:rPr>
          <w:rPr>
            <w:rFonts w:ascii="Cambria Math"/>
          </w:rPr>
          <m:t>x</m:t>
        </m:r>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rPr>
          <w:rFonts w:hint="eastAsia"/>
        </w:rPr>
        <w:t>表示空间中的三维位置；</w:t>
      </w:r>
      <m:oMath>
        <m:r>
          <m:rPr>
            <m:sty m:val="b"/>
          </m:rPr>
          <w:rPr>
            <w:rFonts w:ascii="Cambria Math"/>
          </w:rPr>
          <m:t>d</m:t>
        </m:r>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rPr>
          <w:rFonts w:hint="eastAsia"/>
        </w:rPr>
        <w:t>表示光线的方向；</w:t>
      </w:r>
      <m:oMath>
        <m:r>
          <m:rPr>
            <m:sty m:val="b"/>
          </m:rPr>
          <w:rPr>
            <w:rFonts w:ascii="Cambria Math"/>
          </w:rPr>
          <m:t>c</m:t>
        </m:r>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rPr>
          <w:rFonts w:hint="eastAsia"/>
        </w:rPr>
        <w:t>表示RGB 颜色；</w:t>
      </w:r>
      <m:oMath>
        <m:r>
          <m:rPr/>
          <w:rPr>
            <w:rFonts w:ascii="Cambria Math"/>
          </w:rPr>
          <m:t>σ</m:t>
        </m:r>
        <m:r>
          <m:rPr>
            <m:scr m:val="double-struck"/>
          </m:rPr>
          <w:rPr>
            <w:rFonts w:ascii="Cambria Math"/>
          </w:rPr>
          <m:t>∈ℝ</m:t>
        </m:r>
      </m:oMath>
      <w:r>
        <w:rPr>
          <w:rFonts w:hint="eastAsia"/>
        </w:rPr>
        <w:t>表示体密度，用于体积渲染。</w:t>
      </w:r>
    </w:p>
    <w:p w14:paraId="45307B4E">
      <w:pPr>
        <w:pStyle w:val="48"/>
        <w:ind w:firstLine="480"/>
      </w:pPr>
      <w:r>
        <w:rPr>
          <w:rFonts w:hint="eastAsia"/>
        </w:rPr>
        <w:t>神经网络的任务是：对于空间中的任意一点和视角，输出该点的颜色和密度。NeRF不直接渲染像素，而是模拟光线穿过体积时的累积效果。其颜色计算公式为：</w:t>
      </w:r>
    </w:p>
    <w:p w14:paraId="6FF733DA">
      <w:pPr>
        <w:pStyle w:val="48"/>
        <w:ind w:firstLine="480"/>
        <w:rPr>
          <w:rFonts w:hAnsi="Cambria Math"/>
        </w:rPr>
      </w:pPr>
      <w:commentRangeStart w:id="2"/>
      <m:oMathPara>
        <m:oMath>
          <m:acc>
            <m:accPr>
              <m:ctrlPr>
                <w:rPr>
                  <w:rFonts w:ascii="Cambria Math" w:hAnsi="Cambria Math"/>
                </w:rPr>
              </m:ctrlPr>
            </m:accPr>
            <m:e>
              <m:r>
                <m:rPr/>
                <w:rPr>
                  <w:rFonts w:ascii="Cambria Math" w:hAnsi="Cambria Math"/>
                </w:rPr>
                <m:t>C</m:t>
              </m:r>
              <m:ctrlPr>
                <w:rPr>
                  <w:rFonts w:ascii="Cambria Math" w:hAnsi="Cambria Math"/>
                </w:rPr>
              </m:ctrlPr>
            </m:e>
          </m:acc>
          <m:r>
            <m:rPr/>
            <w:rPr>
              <w:rFonts w:ascii="Cambria Math" w:hAnsi="Cambria Math"/>
            </w:rPr>
            <m:t>(</m:t>
          </m:r>
          <m:r>
            <m:rPr>
              <m:sty m:val="b"/>
            </m:rPr>
            <w:rPr>
              <w:rFonts w:ascii="Cambria Math" w:hAnsi="Cambria Math"/>
            </w:rPr>
            <m:t>r</m:t>
          </m:r>
          <m:r>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n</m:t>
                  </m:r>
                  <m:ctrlPr>
                    <w:rPr>
                      <w:rFonts w:ascii="Cambria Math" w:hAnsi="Cambria Math"/>
                    </w:rPr>
                  </m:ctrlPr>
                </m:sub>
              </m:sSub>
              <m:ctrlPr>
                <w:rPr>
                  <w:rFonts w:ascii="Cambria Math" w:hAnsi="Cambria Math"/>
                </w:rPr>
              </m:ctrlPr>
            </m:sub>
            <m:sup>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f</m:t>
                  </m:r>
                  <m:ctrlPr>
                    <w:rPr>
                      <w:rFonts w:ascii="Cambria Math" w:hAnsi="Cambria Math"/>
                    </w:rPr>
                  </m:ctrlPr>
                </m:sub>
              </m:sSub>
              <m:ctrlPr>
                <w:rPr>
                  <w:rFonts w:ascii="Cambria Math" w:hAnsi="Cambria Math"/>
                </w:rPr>
              </m:ctrlPr>
            </m:sup>
            <m:e>
              <m:r>
                <m:rPr/>
                <w:rPr>
                  <w:rFonts w:ascii="Cambria Math" w:hAnsi="Cambria Math"/>
                </w:rPr>
                <m:t>T</m:t>
              </m:r>
              <m:ctrlPr>
                <w:rPr>
                  <w:rFonts w:ascii="Cambria Math" w:hAnsi="Cambria Math"/>
                </w:rPr>
              </m:ctrlPr>
            </m:e>
          </m:nary>
          <m:r>
            <m:rPr/>
            <w:rPr>
              <w:rFonts w:ascii="Cambria Math" w:hAnsi="Cambria Math"/>
            </w:rPr>
            <m:t>(t)⋅σ(</m:t>
          </m:r>
          <m:r>
            <m:rPr>
              <m:sty m:val="b"/>
            </m:rPr>
            <w:rPr>
              <w:rFonts w:ascii="Cambria Math" w:hAnsi="Cambria Math"/>
            </w:rPr>
            <m:t>r</m:t>
          </m:r>
          <m:r>
            <m:rPr/>
            <w:rPr>
              <w:rFonts w:ascii="Cambria Math" w:hAnsi="Cambria Math"/>
            </w:rPr>
            <m:t>(t))⋅</m:t>
          </m:r>
          <m:r>
            <m:rPr>
              <m:sty m:val="b"/>
            </m:rPr>
            <w:rPr>
              <w:rFonts w:ascii="Cambria Math" w:hAnsi="Cambria Math"/>
            </w:rPr>
            <m:t>c</m:t>
          </m:r>
          <m:r>
            <m:rPr/>
            <w:rPr>
              <w:rFonts w:ascii="Cambria Math" w:hAnsi="Cambria Math"/>
            </w:rPr>
            <m:t>(</m:t>
          </m:r>
          <m:r>
            <m:rPr>
              <m:sty m:val="b"/>
            </m:rPr>
            <w:rPr>
              <w:rFonts w:ascii="Cambria Math" w:hAnsi="Cambria Math"/>
            </w:rPr>
            <m:t>r</m:t>
          </m:r>
          <m:r>
            <m:rPr/>
            <w:rPr>
              <w:rFonts w:ascii="Cambria Math" w:hAnsi="Cambria Math"/>
            </w:rPr>
            <m:t>(t),</m:t>
          </m:r>
          <m:r>
            <m:rPr>
              <m:sty m:val="b"/>
            </m:rPr>
            <w:rPr>
              <w:rFonts w:ascii="Cambria Math" w:hAnsi="Cambria Math"/>
            </w:rPr>
            <m:t>d</m:t>
          </m:r>
          <m:r>
            <m:rPr/>
            <w:rPr>
              <w:rFonts w:ascii="Cambria Math" w:hAnsi="Cambria Math"/>
            </w:rPr>
            <m:t>)</m:t>
          </m:r>
          <m:r>
            <m:rPr>
              <m:sty m:val="p"/>
            </m:rPr>
            <w:rPr>
              <w:rFonts w:ascii="Cambria Math" w:hAnsi="Cambria Math"/>
            </w:rPr>
            <m:t xml:space="preserve"> </m:t>
          </m:r>
          <m:r>
            <m:rPr/>
            <w:rPr>
              <w:rFonts w:ascii="Cambria Math" w:hAnsi="Cambria Math"/>
            </w:rPr>
            <m:t>dt</m:t>
          </m:r>
          <w:commentRangeEnd w:id="2"/>
          <m:r>
            <m:rPr>
              <m:sty m:val="p"/>
            </m:rPr>
            <w:rPr>
              <w:rStyle w:val="29"/>
            </w:rPr>
            <w:commentReference w:id="2"/>
          </m:r>
        </m:oMath>
      </m:oMathPara>
    </w:p>
    <w:p w14:paraId="798D2E33">
      <w:pPr>
        <w:pStyle w:val="48"/>
        <w:ind w:firstLine="420"/>
        <w:rPr>
          <w:rFonts w:hAnsi="Cambria Math"/>
        </w:rPr>
      </w:pPr>
      <w:r>
        <w:rPr>
          <w:rStyle w:val="29"/>
        </w:rPr>
        <w:commentReference w:id="3"/>
      </w:r>
    </w:p>
    <w:p w14:paraId="38324C0B">
      <w:pPr>
        <w:pStyle w:val="48"/>
        <w:ind w:firstLineChars="0"/>
        <w:rPr>
          <w:rFonts w:hAnsi="Cambria Math"/>
        </w:rPr>
      </w:pPr>
      <w:commentRangeStart w:id="4"/>
      <w:r>
        <w:rPr>
          <w:rFonts w:hint="eastAsia" w:hAnsi="Cambria Math"/>
        </w:rPr>
        <w:t>N：采样点数量；</w:t>
      </w:r>
    </w:p>
    <w:p w14:paraId="7C9C2306">
      <w:pPr>
        <w:pStyle w:val="48"/>
        <w:ind w:firstLineChars="0"/>
        <w:rPr>
          <w:rFonts w:hAnsi="Cambria Math"/>
        </w:rPr>
      </w:pPr>
      <m:oMath>
        <m:sSub>
          <m:sSubPr>
            <m:ctrlPr>
              <w:rPr>
                <w:rFonts w:ascii="Cambria Math" w:hAnsi="Cambria Math"/>
              </w:rPr>
            </m:ctrlPr>
          </m:sSubPr>
          <m:e>
            <m:r>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hAnsi="Cambria Math"/>
        </w:rPr>
        <w:t>：第 i 个采样点的采样间隔；</w:t>
      </w:r>
    </w:p>
    <w:p w14:paraId="0CF8A601">
      <w:pPr>
        <w:pStyle w:val="48"/>
        <w:ind w:firstLineChars="0"/>
        <w:rPr>
          <w:rFonts w:hAnsi="Cambria Math"/>
        </w:rPr>
      </w:pP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hAnsi="Cambria Math"/>
        </w:rPr>
        <w:t>：第 i 个采样点的密度；</w:t>
      </w:r>
    </w:p>
    <w:p w14:paraId="3A051B8D">
      <w:pPr>
        <w:pStyle w:val="48"/>
        <w:ind w:firstLineChars="0"/>
        <w:rPr>
          <w:rFonts w:hAnsi="Cambria Math"/>
        </w:rPr>
      </w:pPr>
      <m:oMath>
        <m:sSub>
          <m:sSubPr>
            <m:ctrlPr>
              <w:rPr>
                <w:rFonts w:ascii="Cambria Math" w:hAnsi="Cambria Math"/>
              </w:rPr>
            </m:ctrlPr>
          </m:sSubPr>
          <m:e>
            <m:r>
              <m:rPr>
                <m:sty m:val="b"/>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hAnsi="Cambria Math"/>
        </w:rPr>
        <w:t>：第 i个采样点的颜色；</w:t>
      </w:r>
    </w:p>
    <w:p w14:paraId="70FEC9FC">
      <w:pPr>
        <w:pStyle w:val="48"/>
        <w:ind w:firstLineChars="0"/>
        <w:rPr>
          <w:rFonts w:hAnsi="Cambria Math"/>
        </w:rPr>
      </w:pPr>
      <m:oMath>
        <m:sSub>
          <m:sSubPr>
            <m:ctrlPr>
              <w:rPr>
                <w:rFonts w:ascii="Cambria Math" w:hAnsi="Cambria Math"/>
              </w:rPr>
            </m:ctrlPr>
          </m:sSubPr>
          <m:e>
            <m:r>
              <m:rPr/>
              <w:rPr>
                <w:rFonts w:ascii="Cambria Math" w:hAnsi="Cambria Math"/>
              </w:rPr>
              <m:t>T</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hAnsi="Cambria Math"/>
        </w:rPr>
        <w:t>：第 i 个点未被遮挡的概率。</w:t>
      </w:r>
      <w:commentRangeEnd w:id="4"/>
      <w:r>
        <w:rPr>
          <w:rStyle w:val="29"/>
        </w:rPr>
        <w:commentReference w:id="4"/>
      </w:r>
    </w:p>
    <w:p w14:paraId="7997B99C">
      <w:pPr>
        <w:pStyle w:val="48"/>
        <w:ind w:firstLineChars="0"/>
        <w:rPr>
          <w:rFonts w:hAnsi="Cambria Math"/>
        </w:rPr>
      </w:pPr>
    </w:p>
    <w:p w14:paraId="4CB8999F">
      <w:pPr>
        <w:pStyle w:val="48"/>
        <w:tabs>
          <w:tab w:val="clear" w:pos="377"/>
        </w:tabs>
        <w:ind w:firstLine="480"/>
        <w:rPr>
          <w:rFonts w:hAnsi="Cambria Math"/>
        </w:rPr>
      </w:pPr>
      <w:r>
        <w:rPr>
          <w:rFonts w:hint="eastAsia" w:hAnsi="Cambria Math"/>
        </w:rPr>
        <w:t>所谓体渲染，直观地说，我们知道相机的焦点，焦点和像素的连线可以连出来一条射线，我们可以对这条射线上所有的点的颜色做某种求和就可以得到这个像素的颜色值。理论上，可以对这条射线经过空间上的每个点的密度（只和空间坐标相关）和颜色（同时依赖空间坐标和入射角）进行某种积分就可以得到每个像素的颜色。当每个像素的颜色都计算出来，那么这个视角下的图像就被渲染出来了</w:t>
      </w:r>
      <w:r>
        <w:rPr>
          <w:rStyle w:val="51"/>
          <w:rFonts w:hint="eastAsia"/>
        </w:rPr>
        <w:t>[29]</w:t>
      </w:r>
      <w:r>
        <w:rPr>
          <w:rFonts w:hint="eastAsia" w:hAnsi="Cambria Math"/>
        </w:rPr>
        <w:t>。</w:t>
      </w:r>
    </w:p>
    <w:p w14:paraId="60EA3DA7">
      <w:pPr>
        <w:pStyle w:val="48"/>
        <w:ind w:firstLine="0" w:firstLineChars="0"/>
        <w:rPr>
          <w:rFonts w:hAnsi="Cambria Math"/>
        </w:rPr>
      </w:pPr>
      <w:r>
        <w:rPr>
          <w:rStyle w:val="29"/>
        </w:rPr>
        <w:commentReference w:id="5"/>
      </w:r>
    </w:p>
    <w:p w14:paraId="154C2828">
      <w:pPr>
        <w:pStyle w:val="4"/>
        <w:spacing w:before="120"/>
      </w:pPr>
      <w:bookmarkStart w:id="21" w:name="_Toc3352"/>
      <w:r>
        <w:rPr>
          <w:rFonts w:hint="eastAsia"/>
        </w:rPr>
        <w:t>2.2.2.NeRF的训练过程：</w:t>
      </w:r>
      <w:bookmarkEnd w:id="21"/>
    </w:p>
    <w:p w14:paraId="020A2B3B">
      <w:pPr>
        <w:ind w:firstLine="480" w:firstLineChars="200"/>
      </w:pPr>
      <w:commentRangeStart w:id="6"/>
      <w:r>
        <w:rPr>
          <w:rFonts w:hint="eastAsia"/>
        </w:rPr>
        <w:t>NeRF 的训练数据通常是多张具有已知相机位姿的图像。训练步骤包括：</w:t>
      </w:r>
      <w:commentRangeEnd w:id="6"/>
      <w:r>
        <w:rPr>
          <w:rStyle w:val="29"/>
        </w:rPr>
        <w:commentReference w:id="6"/>
      </w:r>
    </w:p>
    <w:p w14:paraId="5B291E12">
      <w:pPr>
        <w:tabs>
          <w:tab w:val="left" w:pos="312"/>
        </w:tabs>
        <w:ind w:firstLine="480" w:firstLineChars="200"/>
      </w:pPr>
      <w:r>
        <w:rPr>
          <w:rFonts w:hint="eastAsia"/>
        </w:rPr>
        <w:t>（1）相机参数估计：使用 COLMAP 等工具获取相机内参与位姿。</w:t>
      </w:r>
    </w:p>
    <w:p w14:paraId="537375C0">
      <w:pPr>
        <w:tabs>
          <w:tab w:val="left" w:pos="312"/>
        </w:tabs>
        <w:ind w:firstLine="480" w:firstLineChars="200"/>
      </w:pPr>
      <w:r>
        <w:rPr>
          <w:rFonts w:hint="eastAsia"/>
        </w:rPr>
        <w:t>（2）射线生成：每个像素反投影为一条光线。</w:t>
      </w:r>
    </w:p>
    <w:p w14:paraId="0F793619">
      <w:pPr>
        <w:tabs>
          <w:tab w:val="left" w:pos="312"/>
        </w:tabs>
        <w:ind w:firstLine="480" w:firstLineChars="200"/>
      </w:pPr>
      <w:r>
        <w:rPr>
          <w:rFonts w:hint="eastAsia"/>
        </w:rPr>
        <w:t>（3）采样与渲染：在每条射线中采样若干点，使用神经网络计算每个点的颜色和密度。</w:t>
      </w:r>
    </w:p>
    <w:p w14:paraId="381D0D69">
      <w:pPr>
        <w:tabs>
          <w:tab w:val="left" w:pos="312"/>
        </w:tabs>
        <w:ind w:firstLine="480" w:firstLineChars="200"/>
      </w:pPr>
      <w:r>
        <w:rPr>
          <w:rFonts w:hint="eastAsia"/>
        </w:rPr>
        <w:t>（4）损失函数：计算合成图像与真实图像之间的均方误差 (MSE)。</w:t>
      </w:r>
    </w:p>
    <w:p w14:paraId="4D98550D">
      <w:pPr>
        <w:tabs>
          <w:tab w:val="left" w:pos="312"/>
        </w:tabs>
        <w:ind w:firstLine="480" w:firstLineChars="200"/>
      </w:pPr>
      <w:r>
        <w:rPr>
          <w:rFonts w:hint="eastAsia"/>
        </w:rPr>
        <w:t>（5）反向传播训练：使用梯度下降算法优化网络参数。</w:t>
      </w:r>
    </w:p>
    <w:p w14:paraId="6803C0BE">
      <w:r>
        <w:rPr>
          <w:rStyle w:val="29"/>
        </w:rPr>
        <w:commentReference w:id="7"/>
      </w:r>
    </w:p>
    <w:p w14:paraId="73061DE0">
      <w:pPr>
        <w:pStyle w:val="4"/>
        <w:spacing w:before="120"/>
      </w:pPr>
      <w:bookmarkStart w:id="22" w:name="_Toc4109"/>
      <w:r>
        <w:rPr>
          <w:rFonts w:hint="eastAsia"/>
        </w:rPr>
        <w:t>2.2.3.</w:t>
      </w:r>
      <w:r>
        <w:t>NeRF 的优缺点</w:t>
      </w:r>
      <w:bookmarkEnd w:id="22"/>
    </w:p>
    <w:tbl>
      <w:tblPr>
        <w:tblStyle w:val="23"/>
        <w:tblW w:w="97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9"/>
        <w:gridCol w:w="4870"/>
      </w:tblGrid>
      <w:tr w14:paraId="21042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4869" w:type="dxa"/>
          </w:tcPr>
          <w:p w14:paraId="4CB506F2">
            <w:pPr>
              <w:widowControl w:val="0"/>
              <w:jc w:val="center"/>
            </w:pPr>
            <w:commentRangeStart w:id="8"/>
            <w:r>
              <w:rPr>
                <w:rFonts w:ascii="宋体" w:hAnsi="宋体" w:cs="宋体"/>
                <w:b/>
                <w:bCs/>
                <w:lang w:bidi="ar"/>
              </w:rPr>
              <w:t>优点</w:t>
            </w:r>
          </w:p>
        </w:tc>
        <w:tc>
          <w:tcPr>
            <w:tcW w:w="4870" w:type="dxa"/>
          </w:tcPr>
          <w:p w14:paraId="57D85365">
            <w:pPr>
              <w:widowControl w:val="0"/>
              <w:jc w:val="center"/>
            </w:pPr>
            <w:r>
              <w:rPr>
                <w:rFonts w:ascii="宋体" w:hAnsi="宋体" w:cs="宋体"/>
                <w:b/>
                <w:bCs/>
                <w:lang w:bidi="ar"/>
              </w:rPr>
              <w:t>说明</w:t>
            </w:r>
          </w:p>
        </w:tc>
      </w:tr>
      <w:tr w14:paraId="731A9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4869" w:type="dxa"/>
          </w:tcPr>
          <w:p w14:paraId="38A2B542">
            <w:pPr>
              <w:widowControl w:val="0"/>
              <w:jc w:val="center"/>
            </w:pPr>
            <w:r>
              <w:rPr>
                <w:rFonts w:ascii="宋体" w:hAnsi="宋体" w:cs="宋体"/>
                <w:lang w:bidi="ar"/>
              </w:rPr>
              <w:t>高质量合成</w:t>
            </w:r>
          </w:p>
        </w:tc>
        <w:tc>
          <w:tcPr>
            <w:tcW w:w="4870" w:type="dxa"/>
          </w:tcPr>
          <w:p w14:paraId="5510730D">
            <w:pPr>
              <w:widowControl w:val="0"/>
              <w:jc w:val="center"/>
            </w:pPr>
            <w:r>
              <w:rPr>
                <w:rFonts w:ascii="宋体" w:hAnsi="宋体" w:cs="宋体"/>
                <w:lang w:bidi="ar"/>
              </w:rPr>
              <w:t>能够实现逼真的新视角图像生成，细节丰富</w:t>
            </w:r>
          </w:p>
        </w:tc>
      </w:tr>
      <w:tr w14:paraId="7FCDD9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4869" w:type="dxa"/>
          </w:tcPr>
          <w:p w14:paraId="5F287B23">
            <w:pPr>
              <w:widowControl w:val="0"/>
              <w:jc w:val="center"/>
            </w:pPr>
            <w:r>
              <w:rPr>
                <w:rFonts w:ascii="宋体" w:hAnsi="宋体" w:cs="宋体"/>
                <w:lang w:bidi="ar"/>
              </w:rPr>
              <w:t>隐式建模</w:t>
            </w:r>
          </w:p>
        </w:tc>
        <w:tc>
          <w:tcPr>
            <w:tcW w:w="4870" w:type="dxa"/>
          </w:tcPr>
          <w:p w14:paraId="2F08CDD9">
            <w:pPr>
              <w:widowControl w:val="0"/>
              <w:jc w:val="center"/>
            </w:pPr>
            <w:r>
              <w:rPr>
                <w:rFonts w:ascii="宋体" w:hAnsi="宋体" w:cs="宋体"/>
                <w:lang w:bidi="ar"/>
              </w:rPr>
              <w:t>不需要显式构建网格，表示灵活</w:t>
            </w:r>
          </w:p>
        </w:tc>
      </w:tr>
      <w:tr w14:paraId="4452E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5" w:hRule="atLeast"/>
        </w:trPr>
        <w:tc>
          <w:tcPr>
            <w:tcW w:w="4869" w:type="dxa"/>
          </w:tcPr>
          <w:p w14:paraId="1719D02F">
            <w:pPr>
              <w:widowControl w:val="0"/>
              <w:jc w:val="center"/>
            </w:pPr>
            <w:r>
              <w:rPr>
                <w:rFonts w:ascii="宋体" w:hAnsi="宋体" w:cs="宋体"/>
                <w:lang w:bidi="ar"/>
              </w:rPr>
              <w:t>可扩展性</w:t>
            </w:r>
          </w:p>
        </w:tc>
        <w:tc>
          <w:tcPr>
            <w:tcW w:w="4870" w:type="dxa"/>
          </w:tcPr>
          <w:p w14:paraId="5454627B">
            <w:pPr>
              <w:widowControl w:val="0"/>
              <w:jc w:val="center"/>
            </w:pPr>
            <w:r>
              <w:rPr>
                <w:rFonts w:ascii="宋体" w:hAnsi="宋体" w:cs="宋体"/>
                <w:lang w:bidi="ar"/>
              </w:rPr>
              <w:t>可以结合其他模块如语义、深度、时序等进行拓展</w:t>
            </w:r>
          </w:p>
        </w:tc>
      </w:tr>
    </w:tbl>
    <w:p w14:paraId="3B61597F">
      <w:pPr>
        <w:jc w:val="center"/>
      </w:pPr>
    </w:p>
    <w:tbl>
      <w:tblPr>
        <w:tblStyle w:val="23"/>
        <w:tblW w:w="9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59"/>
        <w:gridCol w:w="4860"/>
      </w:tblGrid>
      <w:tr w14:paraId="442FB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20B3424B">
            <w:pPr>
              <w:widowControl w:val="0"/>
              <w:jc w:val="center"/>
            </w:pPr>
            <w:r>
              <w:rPr>
                <w:rFonts w:ascii="宋体" w:hAnsi="宋体" w:cs="宋体"/>
                <w:b/>
                <w:bCs/>
                <w:lang w:bidi="ar"/>
              </w:rPr>
              <w:t>缺点</w:t>
            </w:r>
          </w:p>
        </w:tc>
        <w:tc>
          <w:tcPr>
            <w:tcW w:w="4860" w:type="dxa"/>
          </w:tcPr>
          <w:p w14:paraId="1802F2F7">
            <w:pPr>
              <w:widowControl w:val="0"/>
              <w:jc w:val="center"/>
            </w:pPr>
            <w:r>
              <w:rPr>
                <w:rFonts w:ascii="宋体" w:hAnsi="宋体" w:cs="宋体"/>
                <w:b/>
                <w:bCs/>
                <w:lang w:bidi="ar"/>
              </w:rPr>
              <w:t>说明</w:t>
            </w:r>
          </w:p>
        </w:tc>
      </w:tr>
      <w:tr w14:paraId="4BE2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76B1ED19">
            <w:pPr>
              <w:widowControl w:val="0"/>
              <w:jc w:val="center"/>
            </w:pPr>
            <w:r>
              <w:rPr>
                <w:rFonts w:ascii="宋体" w:hAnsi="宋体" w:cs="宋体"/>
                <w:lang w:bidi="ar"/>
              </w:rPr>
              <w:t>训练慢</w:t>
            </w:r>
          </w:p>
        </w:tc>
        <w:tc>
          <w:tcPr>
            <w:tcW w:w="4860" w:type="dxa"/>
          </w:tcPr>
          <w:p w14:paraId="22E1CF85">
            <w:pPr>
              <w:widowControl w:val="0"/>
              <w:jc w:val="center"/>
            </w:pPr>
            <w:r>
              <w:rPr>
                <w:rFonts w:ascii="宋体" w:hAnsi="宋体" w:cs="宋体"/>
                <w:lang w:bidi="ar"/>
              </w:rPr>
              <w:t>原始 NeRF 训练时间长（数小时以上）</w:t>
            </w:r>
          </w:p>
        </w:tc>
      </w:tr>
      <w:tr w14:paraId="7D7173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trPr>
        <w:tc>
          <w:tcPr>
            <w:tcW w:w="4859" w:type="dxa"/>
          </w:tcPr>
          <w:p w14:paraId="5B239DB9">
            <w:pPr>
              <w:widowControl w:val="0"/>
              <w:jc w:val="center"/>
            </w:pPr>
            <w:r>
              <w:rPr>
                <w:rFonts w:ascii="宋体" w:hAnsi="宋体" w:cs="宋体"/>
                <w:lang w:bidi="ar"/>
              </w:rPr>
              <w:t>渲染效率低</w:t>
            </w:r>
          </w:p>
        </w:tc>
        <w:tc>
          <w:tcPr>
            <w:tcW w:w="4860" w:type="dxa"/>
          </w:tcPr>
          <w:p w14:paraId="0066A916">
            <w:pPr>
              <w:widowControl w:val="0"/>
              <w:jc w:val="center"/>
            </w:pPr>
            <w:r>
              <w:rPr>
                <w:rFonts w:ascii="宋体" w:hAnsi="宋体" w:cs="宋体"/>
                <w:lang w:bidi="ar"/>
              </w:rPr>
              <w:t>推理时需大量采样，难以实时渲染</w:t>
            </w:r>
          </w:p>
        </w:tc>
      </w:tr>
      <w:tr w14:paraId="67DFB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8" w:hRule="atLeast"/>
        </w:trPr>
        <w:tc>
          <w:tcPr>
            <w:tcW w:w="4859" w:type="dxa"/>
          </w:tcPr>
          <w:p w14:paraId="0469E747">
            <w:pPr>
              <w:widowControl w:val="0"/>
              <w:jc w:val="center"/>
              <w:rPr>
                <w:rFonts w:hint="eastAsia" w:ascii="宋体" w:hAnsi="宋体" w:cs="宋体"/>
                <w:lang w:bidi="ar"/>
              </w:rPr>
            </w:pPr>
            <w:r>
              <w:rPr>
                <w:rFonts w:ascii="宋体" w:hAnsi="宋体" w:cs="宋体"/>
                <w:lang w:bidi="ar"/>
              </w:rPr>
              <w:t>无显式几何</w:t>
            </w:r>
          </w:p>
        </w:tc>
        <w:tc>
          <w:tcPr>
            <w:tcW w:w="4860" w:type="dxa"/>
          </w:tcPr>
          <w:p w14:paraId="6DDA3993">
            <w:pPr>
              <w:widowControl w:val="0"/>
              <w:jc w:val="center"/>
              <w:rPr>
                <w:rFonts w:hint="eastAsia" w:ascii="宋体" w:hAnsi="宋体" w:cs="宋体"/>
                <w:lang w:bidi="ar"/>
              </w:rPr>
            </w:pPr>
            <w:r>
              <w:rPr>
                <w:rFonts w:ascii="宋体" w:hAnsi="宋体" w:cs="宋体"/>
                <w:lang w:bidi="ar"/>
              </w:rPr>
              <w:t>不方便与传统几何系统对接，如物理引擎或网格操作</w:t>
            </w:r>
          </w:p>
        </w:tc>
      </w:tr>
      <w:commentRangeEnd w:id="8"/>
    </w:tbl>
    <w:p w14:paraId="0BB28AE3">
      <w:pPr>
        <w:pStyle w:val="2"/>
        <w:jc w:val="both"/>
      </w:pPr>
      <w:r>
        <w:rPr>
          <w:rStyle w:val="29"/>
          <w:rFonts w:ascii="Times New Roman" w:eastAsia="宋体"/>
          <w:bCs w:val="0"/>
          <w:kern w:val="0"/>
        </w:rPr>
        <w:commentReference w:id="8"/>
      </w:r>
    </w:p>
    <w:p w14:paraId="5B86D72B">
      <w:pPr>
        <w:pStyle w:val="2"/>
      </w:pPr>
      <w:r>
        <w:br w:type="page"/>
      </w:r>
      <w:bookmarkStart w:id="23" w:name="_Toc6304"/>
      <w:r>
        <w:rPr>
          <w:rFonts w:hint="eastAsia"/>
        </w:rPr>
        <w:t>3 图像数据预处理与稀疏点云重建</w:t>
      </w:r>
      <w:bookmarkEnd w:id="23"/>
    </w:p>
    <w:p w14:paraId="5EF96902">
      <w:pPr>
        <w:pStyle w:val="48"/>
        <w:ind w:firstLine="480"/>
      </w:pPr>
      <w:r>
        <w:t>在基于三维高斯泼溅（3DGS）的三维重建系统中，输入图像数据的预处理与点云的初步构建是整个系统流程中的关键前置步骤。本章将详细介绍如何利用 COLMAP 实现相机位姿估计与稀疏点云生成，并进一步探索结合点云神经网络 PointNet 对初始点云质量进行结构性优化的方法。</w:t>
      </w:r>
    </w:p>
    <w:p w14:paraId="213E4A25">
      <w:r>
        <w:rPr>
          <w:rStyle w:val="29"/>
        </w:rPr>
        <w:commentReference w:id="9"/>
      </w:r>
    </w:p>
    <w:p w14:paraId="6DAF2DCD">
      <w:pPr>
        <w:pStyle w:val="3"/>
        <w:spacing w:before="120"/>
      </w:pPr>
      <w:bookmarkStart w:id="24" w:name="_Toc216894832"/>
      <w:bookmarkStart w:id="25" w:name="_Toc30148"/>
      <w:r>
        <w:rPr>
          <w:rFonts w:hint="eastAsia"/>
        </w:rPr>
        <w:t>3.</w:t>
      </w:r>
      <w:bookmarkEnd w:id="24"/>
      <w:r>
        <w:rPr>
          <w:rFonts w:hint="eastAsia"/>
        </w:rPr>
        <w:t>1 基于COLMAP的相机位姿估计</w:t>
      </w:r>
      <w:bookmarkEnd w:id="25"/>
    </w:p>
    <w:p w14:paraId="747D12CC">
      <w:pPr>
        <w:pStyle w:val="4"/>
        <w:spacing w:before="120"/>
      </w:pPr>
      <w:bookmarkStart w:id="26" w:name="_Toc14385"/>
      <w:r>
        <w:t>3.1.1 相机模型与投影几何</w:t>
      </w:r>
      <w:bookmarkEnd w:id="26"/>
    </w:p>
    <w:p w14:paraId="7D4709BA">
      <w:pPr>
        <w:pStyle w:val="48"/>
        <w:ind w:firstLine="480"/>
      </w:pPr>
      <w:r>
        <w:t xml:space="preserve">COLMAP 使用透视相机模型对真实世界进行建模。一个三维点 </w:t>
      </w:r>
      <m:oMath>
        <m:r>
          <m:rPr/>
          <w:rPr>
            <w:rFonts w:ascii="Cambria Math"/>
          </w:rPr>
          <m:t>X=(X,Y,Z</m:t>
        </m:r>
        <m:sSup>
          <m:sSupPr>
            <m:ctrlPr>
              <w:rPr>
                <w:rFonts w:ascii="Cambria Math" w:hAnsi="Cambria Math"/>
              </w:rPr>
            </m:ctrlPr>
          </m:sSupPr>
          <m:e>
            <m:r>
              <m:rPr/>
              <w:rPr>
                <w:rFonts w:ascii="Cambria Math"/>
              </w:rPr>
              <m:t>)</m:t>
            </m:r>
            <m:ctrlPr>
              <w:rPr>
                <w:rFonts w:ascii="Cambria Math" w:hAnsi="Cambria Math"/>
              </w:rPr>
            </m:ctrlPr>
          </m:e>
          <m:sup>
            <m:r>
              <m:rPr/>
              <w:rPr>
                <w:rFonts w:ascii="Cambria Math"/>
              </w:rPr>
              <m:t>T</m:t>
            </m:r>
            <m:ctrlPr>
              <w:rPr>
                <w:rFonts w:ascii="Cambria Math" w:hAnsi="Cambria Math"/>
              </w:rPr>
            </m:ctrlPr>
          </m:sup>
        </m:sSup>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t xml:space="preserve"> 通过相机内参矩阵 </w:t>
      </w:r>
      <m:oMath>
        <m:r>
          <m:rPr/>
          <w:rPr>
            <w:rFonts w:ascii="Cambria Math"/>
          </w:rPr>
          <m:t>K</m:t>
        </m:r>
      </m:oMath>
      <w:r>
        <w:t xml:space="preserve"> 与外参矩阵 </w:t>
      </w:r>
      <m:oMath>
        <m:r>
          <m:rPr/>
          <w:rPr>
            <w:rFonts w:ascii="Cambria Math"/>
          </w:rPr>
          <m:t>[R|t]</m:t>
        </m:r>
      </m:oMath>
      <w:r>
        <w:t>被投影到图像平面上：</w:t>
      </w:r>
    </w:p>
    <w:p w14:paraId="294D1AE2">
      <w:pPr>
        <w:pStyle w:val="48"/>
        <w:ind w:firstLine="480"/>
      </w:pPr>
      <w:commentRangeStart w:id="10"/>
      <m:oMathPara>
        <m:oMath>
          <m:r>
            <m:rPr/>
            <w:rPr>
              <w:rFonts w:ascii="Cambria Math"/>
            </w:rPr>
            <m:t>x=π(K[R∣t]X)=</m:t>
          </m:r>
          <m:f>
            <m:fPr>
              <m:ctrlPr>
                <w:rPr>
                  <w:rFonts w:ascii="Cambria Math" w:hAnsi="Cambria Math"/>
                  <w:i/>
                </w:rPr>
              </m:ctrlPr>
            </m:fPr>
            <m:num>
              <m:r>
                <m:rPr/>
                <w:rPr>
                  <w:rFonts w:ascii="Cambria Math"/>
                </w:rPr>
                <m:t>1</m:t>
              </m:r>
              <m:ctrlPr>
                <w:rPr>
                  <w:rFonts w:ascii="Cambria Math" w:hAnsi="Cambria Math"/>
                  <w:i/>
                </w:rPr>
              </m:ctrlPr>
            </m:num>
            <m:den>
              <m:sSub>
                <m:sSubPr>
                  <m:ctrlPr>
                    <w:rPr>
                      <w:rFonts w:ascii="Cambria Math" w:hAnsi="Cambria Math"/>
                    </w:rPr>
                  </m:ctrlPr>
                </m:sSubPr>
                <m:e>
                  <m:r>
                    <m:rPr/>
                    <w:rPr>
                      <w:rFonts w:ascii="Cambria Math"/>
                    </w:rPr>
                    <m:t>Z</m:t>
                  </m:r>
                  <m:ctrlPr>
                    <w:rPr>
                      <w:rFonts w:ascii="Cambria Math" w:hAnsi="Cambria Math"/>
                    </w:rPr>
                  </m:ctrlPr>
                </m:e>
                <m:sub>
                  <m:r>
                    <m:rPr/>
                    <w:rPr>
                      <w:rFonts w:ascii="Cambria Math"/>
                    </w:rPr>
                    <m:t>c</m:t>
                  </m:r>
                  <m:ctrlPr>
                    <w:rPr>
                      <w:rFonts w:ascii="Cambria Math" w:hAnsi="Cambria Math"/>
                    </w:rPr>
                  </m:ctrlPr>
                </m:sub>
              </m:sSub>
              <m:ctrlPr>
                <w:rPr>
                  <w:rFonts w:ascii="Cambria Math" w:hAnsi="Cambria Math"/>
                </w:rPr>
              </m:ctrlPr>
            </m:den>
          </m:f>
          <m:d>
            <m:dPr>
              <m:begChr m:val="["/>
              <m:endChr m:val="]"/>
              <m:ctrlPr>
                <w:rPr>
                  <w:rFonts w:ascii="Cambria Math" w:hAnsi="Cambria Math"/>
                </w:rPr>
              </m:ctrlPr>
            </m:dPr>
            <m:e>
              <m:m>
                <m:mPr>
                  <m:mcs>
                    <m:mc>
                      <m:mcPr>
                        <m:count m:val="3"/>
                        <m:mcJc m:val="left"/>
                      </m:mcPr>
                    </m:mc>
                  </m:mcs>
                  <m:plcHide m:val="1"/>
                  <m:ctrlPr>
                    <w:rPr>
                      <w:rFonts w:ascii="Cambria Math" w:hAnsi="Cambria Math"/>
                    </w:rPr>
                  </m:ctrlPr>
                </m:mPr>
                <m:mr>
                  <m:e>
                    <m:sSub>
                      <m:sSubPr>
                        <m:ctrlPr>
                          <w:rPr>
                            <w:rFonts w:ascii="Cambria Math" w:hAnsi="Cambria Math"/>
                          </w:rPr>
                        </m:ctrlPr>
                      </m:sSubPr>
                      <m:e>
                        <m:r>
                          <m:rPr/>
                          <w:rPr>
                            <w:rFonts w:ascii="Cambria Math"/>
                          </w:rPr>
                          <m:t>f</m:t>
                        </m:r>
                        <m:ctrlPr>
                          <w:rPr>
                            <w:rFonts w:ascii="Cambria Math" w:hAnsi="Cambria Math"/>
                          </w:rPr>
                        </m:ctrlPr>
                      </m:e>
                      <m:sub>
                        <m:r>
                          <m:rPr/>
                          <w:rPr>
                            <w:rFonts w:ascii="Cambria Math"/>
                          </w:rPr>
                          <m:t>x</m:t>
                        </m:r>
                        <m:ctrlPr>
                          <w:rPr>
                            <w:rFonts w:ascii="Cambria Math" w:hAnsi="Cambria Math"/>
                          </w:rPr>
                        </m:ctrlPr>
                      </m:sub>
                    </m:sSub>
                    <m:ctrlPr>
                      <w:rPr>
                        <w:rFonts w:ascii="Cambria Math" w:hAnsi="Cambria Math"/>
                      </w:rPr>
                    </m:ctrlPr>
                  </m:e>
                  <m:e>
                    <m:r>
                      <m:rPr/>
                      <w:rPr>
                        <w:rFonts w:ascii="Cambria Math"/>
                      </w:rPr>
                      <m:t>0</m:t>
                    </m:r>
                    <m:ctrlPr>
                      <w:rPr>
                        <w:rFonts w:ascii="Cambria Math" w:hAnsi="Cambria Math"/>
                      </w:rPr>
                    </m:ctrlPr>
                  </m:e>
                  <m:e>
                    <m:sSub>
                      <m:sSubPr>
                        <m:ctrlPr>
                          <w:rPr>
                            <w:rFonts w:ascii="Cambria Math" w:hAnsi="Cambria Math"/>
                          </w:rPr>
                        </m:ctrlPr>
                      </m:sSubPr>
                      <m:e>
                        <m:r>
                          <m:rPr/>
                          <w:rPr>
                            <w:rFonts w:ascii="Cambria Math"/>
                          </w:rPr>
                          <m:t>c</m:t>
                        </m:r>
                        <m:ctrlPr>
                          <w:rPr>
                            <w:rFonts w:ascii="Cambria Math" w:hAnsi="Cambria Math"/>
                          </w:rPr>
                        </m:ctrlPr>
                      </m:e>
                      <m:sub>
                        <m:r>
                          <m:rPr/>
                          <w:rPr>
                            <w:rFonts w:ascii="Cambria Math"/>
                          </w:rPr>
                          <m:t>x</m:t>
                        </m:r>
                        <m:ctrlPr>
                          <w:rPr>
                            <w:rFonts w:ascii="Cambria Math" w:hAnsi="Cambria Math"/>
                          </w:rPr>
                        </m:ctrlPr>
                      </m:sub>
                    </m:sSub>
                    <m:ctrlPr>
                      <w:rPr>
                        <w:rFonts w:ascii="Cambria Math" w:hAnsi="Cambria Math"/>
                      </w:rPr>
                    </m:ctrlPr>
                  </m:e>
                </m:mr>
                <m:mr>
                  <m:e>
                    <m:r>
                      <m:rPr/>
                      <w:rPr>
                        <w:rFonts w:ascii="Cambria Math"/>
                      </w:rPr>
                      <m:t>0</m:t>
                    </m:r>
                    <m:ctrlPr>
                      <w:rPr>
                        <w:rFonts w:ascii="Cambria Math" w:hAnsi="Cambria Math"/>
                      </w:rPr>
                    </m:ctrlPr>
                  </m:e>
                  <m:e>
                    <m:sSub>
                      <m:sSubPr>
                        <m:ctrlPr>
                          <w:rPr>
                            <w:rFonts w:ascii="Cambria Math" w:hAnsi="Cambria Math"/>
                          </w:rPr>
                        </m:ctrlPr>
                      </m:sSubPr>
                      <m:e>
                        <m:r>
                          <m:rPr/>
                          <w:rPr>
                            <w:rFonts w:ascii="Cambria Math"/>
                          </w:rPr>
                          <m:t>f</m:t>
                        </m:r>
                        <m:ctrlPr>
                          <w:rPr>
                            <w:rFonts w:ascii="Cambria Math" w:hAnsi="Cambria Math"/>
                          </w:rPr>
                        </m:ctrlPr>
                      </m:e>
                      <m:sub>
                        <m:r>
                          <m:rPr/>
                          <w:rPr>
                            <w:rFonts w:ascii="Cambria Math"/>
                          </w:rPr>
                          <m:t>y</m:t>
                        </m:r>
                        <m:ctrlPr>
                          <w:rPr>
                            <w:rFonts w:ascii="Cambria Math" w:hAnsi="Cambria Math"/>
                          </w:rPr>
                        </m:ctrlPr>
                      </m:sub>
                    </m:sSub>
                    <m:ctrlPr>
                      <w:rPr>
                        <w:rFonts w:ascii="Cambria Math" w:hAnsi="Cambria Math"/>
                      </w:rPr>
                    </m:ctrlPr>
                  </m:e>
                  <m:e>
                    <m:sSub>
                      <m:sSubPr>
                        <m:ctrlPr>
                          <w:rPr>
                            <w:rFonts w:ascii="Cambria Math" w:hAnsi="Cambria Math"/>
                          </w:rPr>
                        </m:ctrlPr>
                      </m:sSubPr>
                      <m:e>
                        <m:r>
                          <m:rPr/>
                          <w:rPr>
                            <w:rFonts w:ascii="Cambria Math"/>
                          </w:rPr>
                          <m:t>c</m:t>
                        </m:r>
                        <m:ctrlPr>
                          <w:rPr>
                            <w:rFonts w:ascii="Cambria Math" w:hAnsi="Cambria Math"/>
                          </w:rPr>
                        </m:ctrlPr>
                      </m:e>
                      <m:sub>
                        <m:r>
                          <m:rPr/>
                          <w:rPr>
                            <w:rFonts w:ascii="Cambria Math"/>
                          </w:rPr>
                          <m:t>y</m:t>
                        </m:r>
                        <m:ctrlPr>
                          <w:rPr>
                            <w:rFonts w:ascii="Cambria Math" w:hAnsi="Cambria Math"/>
                          </w:rPr>
                        </m:ctrlPr>
                      </m:sub>
                    </m:sSub>
                    <m:ctrlPr>
                      <w:rPr>
                        <w:rFonts w:ascii="Cambria Math" w:hAnsi="Cambria Math"/>
                      </w:rPr>
                    </m:ctrlPr>
                  </m:e>
                </m:mr>
                <m:mr>
                  <m:e>
                    <m:r>
                      <m:rPr/>
                      <w:rPr>
                        <w:rFonts w:ascii="Cambria Math"/>
                      </w:rPr>
                      <m:t>0</m:t>
                    </m:r>
                    <m:ctrlPr>
                      <w:rPr>
                        <w:rFonts w:ascii="Cambria Math" w:hAnsi="Cambria Math"/>
                      </w:rPr>
                    </m:ctrlPr>
                  </m:e>
                  <m:e>
                    <m:r>
                      <m:rPr/>
                      <w:rPr>
                        <w:rFonts w:ascii="Cambria Math"/>
                      </w:rPr>
                      <m:t>0</m:t>
                    </m:r>
                    <m:ctrlPr>
                      <w:rPr>
                        <w:rFonts w:ascii="Cambria Math" w:hAnsi="Cambria Math"/>
                      </w:rPr>
                    </m:ctrlPr>
                  </m:e>
                  <m:e>
                    <m:r>
                      <m:rPr/>
                      <w:rPr>
                        <w:rFonts w:ascii="Cambria Math"/>
                      </w:rPr>
                      <m:t>1</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left"/>
                      </m:mcPr>
                    </m:mc>
                  </m:mcs>
                  <m:plcHide m:val="1"/>
                  <m:ctrlPr>
                    <w:rPr>
                      <w:rFonts w:ascii="Cambria Math" w:hAnsi="Cambria Math"/>
                    </w:rPr>
                  </m:ctrlPr>
                </m:mPr>
                <m:mr>
                  <m:e>
                    <m:r>
                      <m:rPr/>
                      <w:rPr>
                        <w:rFonts w:ascii="Cambria Math"/>
                      </w:rPr>
                      <m:t>R</m:t>
                    </m:r>
                    <m:ctrlPr>
                      <w:rPr>
                        <w:rFonts w:ascii="Cambria Math" w:hAnsi="Cambria Math"/>
                      </w:rPr>
                    </m:ctrlPr>
                  </m:e>
                  <m:e>
                    <m:r>
                      <m:rPr/>
                      <w:rPr>
                        <w:rFonts w:ascii="Cambria Math"/>
                      </w:rPr>
                      <m:t>t</m:t>
                    </m:r>
                    <m:ctrlPr>
                      <w:rPr>
                        <w:rFonts w:ascii="Cambria Math" w:hAnsi="Cambria Math"/>
                      </w:rPr>
                    </m:ctrlPr>
                  </m:e>
                </m:mr>
              </m:m>
              <m:ctrlPr>
                <w:rPr>
                  <w:rFonts w:ascii="Cambria Math" w:hAnsi="Cambria Math"/>
                </w:rPr>
              </m:ctrlPr>
            </m:e>
          </m:d>
          <m:r>
            <m:rPr/>
            <w:rPr>
              <w:rFonts w:ascii="Cambria Math"/>
            </w:rPr>
            <m:t>X</m:t>
          </m:r>
          <w:commentRangeEnd w:id="10"/>
          <m:r>
            <m:rPr>
              <m:sty m:val="p"/>
            </m:rPr>
            <w:rPr>
              <w:rStyle w:val="29"/>
            </w:rPr>
            <w:commentReference w:id="10"/>
          </m:r>
        </m:oMath>
      </m:oMathPara>
    </w:p>
    <w:p w14:paraId="0E0D22C0">
      <w:pPr>
        <w:pStyle w:val="48"/>
        <w:ind w:firstLine="0" w:firstLineChars="0"/>
      </w:pPr>
      <w:r>
        <w:t>其中</w:t>
      </w:r>
      <w:r>
        <w:rPr>
          <w:rFonts w:hint="eastAsia"/>
        </w:rPr>
        <w:t>，</w:t>
      </w:r>
      <w:r>
        <w:t xml:space="preserve"> </w:t>
      </w:r>
      <m:oMath>
        <m:r>
          <m:rPr/>
          <w:rPr>
            <w:rFonts w:ascii="Cambria Math"/>
          </w:rPr>
          <m:t>(</m:t>
        </m:r>
        <m:sSub>
          <m:sSubPr>
            <m:ctrlPr>
              <w:rPr>
                <w:rFonts w:ascii="Cambria Math" w:hAnsi="Cambria Math"/>
              </w:rPr>
            </m:ctrlPr>
          </m:sSubPr>
          <m:e>
            <m:r>
              <m:rPr/>
              <w:rPr>
                <w:rFonts w:ascii="Cambria Math"/>
              </w:rPr>
              <m:t>f</m:t>
            </m:r>
            <m:ctrlPr>
              <w:rPr>
                <w:rFonts w:ascii="Cambria Math" w:hAnsi="Cambria Math"/>
              </w:rPr>
            </m:ctrlPr>
          </m:e>
          <m:sub>
            <m:r>
              <m:rPr/>
              <w:rPr>
                <w:rFonts w:ascii="Cambria Math"/>
              </w:rPr>
              <m:t>x</m:t>
            </m:r>
            <m:ctrlPr>
              <w:rPr>
                <w:rFonts w:ascii="Cambria Math" w:hAnsi="Cambria Math"/>
              </w:rPr>
            </m:ctrlPr>
          </m:sub>
        </m:sSub>
        <m:r>
          <m:rPr/>
          <w:rPr>
            <w:rFonts w:ascii="Cambria Math"/>
          </w:rPr>
          <m:t>,</m:t>
        </m:r>
        <m:sSub>
          <m:sSubPr>
            <m:ctrlPr>
              <w:rPr>
                <w:rFonts w:ascii="Cambria Math" w:hAnsi="Cambria Math"/>
              </w:rPr>
            </m:ctrlPr>
          </m:sSubPr>
          <m:e>
            <m:r>
              <m:rPr/>
              <w:rPr>
                <w:rFonts w:ascii="Cambria Math"/>
              </w:rPr>
              <m:t>f</m:t>
            </m:r>
            <m:ctrlPr>
              <w:rPr>
                <w:rFonts w:ascii="Cambria Math" w:hAnsi="Cambria Math"/>
              </w:rPr>
            </m:ctrlPr>
          </m:e>
          <m:sub>
            <m:r>
              <m:rPr/>
              <w:rPr>
                <w:rFonts w:ascii="Cambria Math"/>
              </w:rPr>
              <m:t>y</m:t>
            </m:r>
            <m:ctrlPr>
              <w:rPr>
                <w:rFonts w:ascii="Cambria Math" w:hAnsi="Cambria Math"/>
              </w:rPr>
            </m:ctrlPr>
          </m:sub>
        </m:sSub>
        <m:r>
          <m:rPr/>
          <w:rPr>
            <w:rFonts w:ascii="Cambria Math"/>
          </w:rPr>
          <m:t>)</m:t>
        </m:r>
      </m:oMath>
      <w:r>
        <w:t xml:space="preserve"> 表示焦距，</w:t>
      </w:r>
      <m:oMath>
        <m:r>
          <m:rPr/>
          <w:rPr>
            <w:rFonts w:ascii="Cambria Math"/>
          </w:rPr>
          <m:t>(</m:t>
        </m:r>
        <m:sSub>
          <m:sSubPr>
            <m:ctrlPr>
              <w:rPr>
                <w:rFonts w:ascii="Cambria Math" w:hAnsi="Cambria Math"/>
              </w:rPr>
            </m:ctrlPr>
          </m:sSubPr>
          <m:e>
            <m:r>
              <m:rPr/>
              <w:rPr>
                <w:rFonts w:ascii="Cambria Math"/>
              </w:rPr>
              <m:t>c</m:t>
            </m:r>
            <m:ctrlPr>
              <w:rPr>
                <w:rFonts w:ascii="Cambria Math" w:hAnsi="Cambria Math"/>
              </w:rPr>
            </m:ctrlPr>
          </m:e>
          <m:sub>
            <m:r>
              <m:rPr/>
              <w:rPr>
                <w:rFonts w:ascii="Cambria Math"/>
              </w:rPr>
              <m:t>x</m:t>
            </m:r>
            <m:ctrlPr>
              <w:rPr>
                <w:rFonts w:ascii="Cambria Math" w:hAnsi="Cambria Math"/>
              </w:rPr>
            </m:ctrlPr>
          </m:sub>
        </m:sSub>
        <m:r>
          <m:rPr/>
          <w:rPr>
            <w:rFonts w:ascii="Cambria Math"/>
          </w:rPr>
          <m:t>,</m:t>
        </m:r>
        <m:sSub>
          <m:sSubPr>
            <m:ctrlPr>
              <w:rPr>
                <w:rFonts w:ascii="Cambria Math" w:hAnsi="Cambria Math"/>
              </w:rPr>
            </m:ctrlPr>
          </m:sSubPr>
          <m:e>
            <m:r>
              <m:rPr/>
              <w:rPr>
                <w:rFonts w:ascii="Cambria Math"/>
              </w:rPr>
              <m:t>c</m:t>
            </m:r>
            <m:ctrlPr>
              <w:rPr>
                <w:rFonts w:ascii="Cambria Math" w:hAnsi="Cambria Math"/>
              </w:rPr>
            </m:ctrlPr>
          </m:e>
          <m:sub>
            <m:r>
              <m:rPr/>
              <w:rPr>
                <w:rFonts w:ascii="Cambria Math"/>
              </w:rPr>
              <m:t>y</m:t>
            </m:r>
            <m:ctrlPr>
              <w:rPr>
                <w:rFonts w:ascii="Cambria Math" w:hAnsi="Cambria Math"/>
              </w:rPr>
            </m:ctrlPr>
          </m:sub>
        </m:sSub>
        <m:r>
          <m:rPr/>
          <w:rPr>
            <w:rFonts w:ascii="Cambria Math"/>
          </w:rPr>
          <m:t>)</m:t>
        </m:r>
      </m:oMath>
      <w:r>
        <w:t xml:space="preserve"> 是主点位置，</w:t>
      </w:r>
      <m:oMath>
        <m:r>
          <m:rPr/>
          <w:rPr>
            <w:rFonts w:ascii="Cambria Math"/>
          </w:rPr>
          <m:t>R</m:t>
        </m:r>
      </m:oMath>
      <w:r>
        <w:t xml:space="preserve"> 为旋转矩阵，</w:t>
      </w:r>
      <m:oMath>
        <m:r>
          <m:rPr/>
          <w:rPr>
            <w:rFonts w:ascii="Cambria Math"/>
          </w:rPr>
          <m:t>t</m:t>
        </m:r>
      </m:oMath>
      <w:r>
        <w:t xml:space="preserve"> 为平移向量，</w:t>
      </w:r>
      <m:oMath>
        <m:sSub>
          <m:sSubPr>
            <m:ctrlPr>
              <w:rPr>
                <w:rFonts w:ascii="Cambria Math" w:hAnsi="Cambria Math"/>
              </w:rPr>
            </m:ctrlPr>
          </m:sSubPr>
          <m:e>
            <m:r>
              <m:rPr/>
              <w:rPr>
                <w:rFonts w:ascii="Cambria Math"/>
              </w:rPr>
              <m:t>Z</m:t>
            </m:r>
            <m:ctrlPr>
              <w:rPr>
                <w:rFonts w:ascii="Cambria Math" w:hAnsi="Cambria Math"/>
              </w:rPr>
            </m:ctrlPr>
          </m:e>
          <m:sub>
            <m:r>
              <m:rPr/>
              <w:rPr>
                <w:rFonts w:ascii="Cambria Math"/>
              </w:rPr>
              <m:t>c</m:t>
            </m:r>
            <m:ctrlPr>
              <w:rPr>
                <w:rFonts w:ascii="Cambria Math" w:hAnsi="Cambria Math"/>
              </w:rPr>
            </m:ctrlPr>
          </m:sub>
        </m:sSub>
      </m:oMath>
      <w:r>
        <w:t xml:space="preserve"> 是点在相机坐标系下的深度。</w:t>
      </w:r>
    </w:p>
    <w:p w14:paraId="28FAE0A4">
      <w:pPr>
        <w:pStyle w:val="4"/>
        <w:spacing w:before="120"/>
      </w:pPr>
      <w:bookmarkStart w:id="27" w:name="_Toc26636"/>
      <w:r>
        <w:t>3.1.2 特征提取与匹配</w:t>
      </w:r>
      <w:bookmarkEnd w:id="27"/>
    </w:p>
    <w:p w14:paraId="3B88B298">
      <w:pPr>
        <w:pStyle w:val="48"/>
        <w:ind w:firstLine="480"/>
      </w:pPr>
      <w:r>
        <w:t>系统首先对所有输入图像进行特征点提取，默认采用 SIFT（尺度不变特征变换）算法提取局部纹理关键点。这些特征点具有尺度、旋转和光照不变性，适合多视角图像的匹配。</w:t>
      </w:r>
    </w:p>
    <w:p w14:paraId="063841D8">
      <w:pPr>
        <w:pStyle w:val="48"/>
        <w:ind w:firstLine="480"/>
      </w:pPr>
      <w:r>
        <w:t>特征匹配分为两个阶段：</w:t>
      </w:r>
    </w:p>
    <w:p w14:paraId="3742C007">
      <w:pPr>
        <w:pStyle w:val="48"/>
        <w:ind w:firstLine="480"/>
      </w:pPr>
      <w:r>
        <w:t>粗匹配：基于特征向量间的欧氏距离使用最近邻匹配，结合比值测试（如 Lowe's ratio test）剔除歧义匹配；</w:t>
      </w:r>
    </w:p>
    <w:p w14:paraId="16CDAE1A">
      <w:pPr>
        <w:pStyle w:val="48"/>
        <w:ind w:firstLine="480"/>
      </w:pPr>
      <w:r>
        <w:t>精匹配：通过几何验证，如 RANSAC 估计基础矩阵</w:t>
      </w:r>
      <m:oMath>
        <m:r>
          <m:rPr/>
          <w:rPr>
            <w:rFonts w:ascii="Cambria Math"/>
          </w:rPr>
          <m:t>F</m:t>
        </m:r>
      </m:oMath>
      <w:r>
        <w:t>，筛选出满足极线约束的匹配点对。</w:t>
      </w:r>
    </w:p>
    <w:p w14:paraId="6B9CE1F3">
      <w:pPr>
        <w:pStyle w:val="4"/>
        <w:spacing w:before="120"/>
      </w:pPr>
      <w:bookmarkStart w:id="28" w:name="_Toc9472"/>
      <w:r>
        <w:t>3.1.3 增量式 SfM 重建流程</w:t>
      </w:r>
      <w:bookmarkEnd w:id="28"/>
    </w:p>
    <w:p w14:paraId="7C95248E">
      <w:pPr>
        <w:pStyle w:val="48"/>
        <w:ind w:firstLine="480"/>
      </w:pPr>
      <w:r>
        <w:t>COLMAP 使用增量式结构恢复方法，从图像对开始，逐步添加新视角，更新已有三维点坐标与新相机的外参。重建过程中包含以下</w:t>
      </w:r>
      <w:r>
        <w:rPr>
          <w:rFonts w:hint="eastAsia"/>
        </w:rPr>
        <w:t>几个</w:t>
      </w:r>
      <w:r>
        <w:t>关键步骤：</w:t>
      </w:r>
    </w:p>
    <w:p w14:paraId="00A85067">
      <w:pPr>
        <w:pStyle w:val="48"/>
        <w:ind w:firstLine="480"/>
      </w:pPr>
      <w:r>
        <w:rPr>
          <w:rFonts w:hint="eastAsia"/>
        </w:rPr>
        <w:t>（1）</w:t>
      </w:r>
      <w:r>
        <w:t>三角测量（Triangulation）：由两个视角的匹配点反推出三维点位置；</w:t>
      </w:r>
    </w:p>
    <w:p w14:paraId="542139C9">
      <w:pPr>
        <w:pStyle w:val="48"/>
        <w:ind w:firstLine="480"/>
      </w:pPr>
      <w:r>
        <w:rPr>
          <w:rFonts w:hint="eastAsia"/>
        </w:rPr>
        <w:t>（2）</w:t>
      </w:r>
      <w:r>
        <w:t>位姿估计（PnP）：根据已知三维点和二维图像点求解新相机的位姿；</w:t>
      </w:r>
    </w:p>
    <w:p w14:paraId="19B2C0F8">
      <w:pPr>
        <w:pStyle w:val="48"/>
        <w:ind w:firstLine="480"/>
      </w:pPr>
      <w:r>
        <w:rPr>
          <w:rFonts w:hint="eastAsia"/>
        </w:rPr>
        <w:t>（3）</w:t>
      </w:r>
      <w:r>
        <w:t>全局优化（Bundle Adjustment）：最小化整个系统的重投影误差：</w:t>
      </w:r>
    </w:p>
    <w:p w14:paraId="79A1AD14">
      <w:pPr>
        <w:pStyle w:val="48"/>
        <w:ind w:firstLine="480"/>
      </w:pPr>
      <m:oMathPara>
        <m:oMath>
          <w:commentRangeStart w:id="11"/>
          <m:r>
            <m:rPr/>
            <w:rPr>
              <w:rFonts w:ascii="Cambria Math"/>
            </w:rPr>
            <m:t>min</m:t>
          </m:r>
          <m:r>
            <m:rPr>
              <m:sty m:val="p"/>
            </m:rPr>
            <w:rPr>
              <w:rFonts w:ascii="Cambria Math"/>
            </w:rPr>
            <m:t>⁡</m:t>
          </m:r>
          <m:r>
            <m:rPr/>
            <w:rPr>
              <w:rFonts w:ascii="Cambria Math"/>
            </w:rPr>
            <m:t>Rj,tj,Xi∑i,j∥π(Kj(RjXi+tj))−xij∥2</m:t>
          </m:r>
          <w:commentRangeEnd w:id="11"/>
          <m:r>
            <m:rPr>
              <m:sty m:val="p"/>
            </m:rPr>
            <w:rPr>
              <w:rStyle w:val="29"/>
            </w:rPr>
            <w:commentReference w:id="11"/>
          </m:r>
        </m:oMath>
      </m:oMathPara>
    </w:p>
    <w:p w14:paraId="4A79C0F1">
      <w:pPr>
        <w:pStyle w:val="48"/>
        <w:ind w:firstLine="0" w:firstLineChars="0"/>
      </w:pPr>
      <w:r>
        <w:t>该优化通过稀疏 Levenberg–Marquardt 算法高效实现。</w:t>
      </w:r>
    </w:p>
    <w:p w14:paraId="3BEBADF3">
      <w:pPr>
        <w:pStyle w:val="4"/>
        <w:spacing w:before="120"/>
      </w:pPr>
      <w:bookmarkStart w:id="29" w:name="_Toc12998"/>
      <w:r>
        <w:t>3.1.4 输出格式与可视化</w:t>
      </w:r>
      <w:bookmarkEnd w:id="29"/>
    </w:p>
    <w:p w14:paraId="5B7D194B">
      <w:pPr>
        <w:pStyle w:val="48"/>
        <w:ind w:firstLine="480"/>
      </w:pPr>
      <w:r>
        <w:t xml:space="preserve">COLMAP 最终输出包括：每张图像的相机内外参数 </w:t>
      </w:r>
      <m:oMath>
        <m:r>
          <m:rPr/>
          <w:rPr>
            <w:rFonts w:ascii="Cambria Math"/>
          </w:rPr>
          <m:t>(K,R,t)</m:t>
        </m:r>
      </m:oMath>
      <w:r>
        <w:t xml:space="preserve">；三维稀疏点集 </w:t>
      </w:r>
      <m:oMath>
        <m:sSub>
          <m:sSubPr>
            <m:ctrlPr>
              <w:rPr>
                <w:rFonts w:ascii="Cambria Math" w:hAnsi="Cambria Math"/>
              </w:rPr>
            </m:ctrlPr>
          </m:sSubPr>
          <m:e>
            <m:r>
              <m:rPr/>
              <w:rPr>
                <w:rFonts w:ascii="Cambria Math"/>
              </w:rPr>
              <m:t>X</m:t>
            </m:r>
            <m:ctrlPr>
              <w:rPr>
                <w:rFonts w:ascii="Cambria Math" w:hAnsi="Cambria Math"/>
              </w:rPr>
            </m:ctrlPr>
          </m:e>
          <m:sub>
            <m:r>
              <m:rPr/>
              <w:rPr>
                <w:rFonts w:ascii="Cambria Math"/>
              </w:rPr>
              <m:t>i</m:t>
            </m:r>
            <m:ctrlPr>
              <w:rPr>
                <w:rFonts w:ascii="Cambria Math" w:hAnsi="Cambria Math"/>
              </w:rPr>
            </m:ctrlPr>
          </m:sub>
        </m:sSub>
      </m:oMath>
      <w:r>
        <w:t>；每个点的颜色（通过图像平均采样）与可视视角索引；匹配图像对的信息。</w:t>
      </w:r>
    </w:p>
    <w:p w14:paraId="6940402A">
      <w:pPr>
        <w:pStyle w:val="48"/>
        <w:ind w:firstLine="480"/>
      </w:pPr>
      <w:r>
        <w:t>此外，还可输出可视化结果，如图像之间的匹配连线图、稀疏点云视图等，辅助后续模型质量评估。</w:t>
      </w:r>
    </w:p>
    <w:p w14:paraId="60EA7701">
      <w:r>
        <w:rPr>
          <w:rStyle w:val="29"/>
        </w:rPr>
        <w:commentReference w:id="12"/>
      </w:r>
    </w:p>
    <w:p w14:paraId="1DE442D9">
      <w:pPr>
        <w:pStyle w:val="3"/>
        <w:spacing w:before="120"/>
      </w:pPr>
      <w:bookmarkStart w:id="30" w:name="_Toc216894836"/>
      <w:bookmarkStart w:id="31" w:name="_Toc32001"/>
      <w:r>
        <w:rPr>
          <w:rFonts w:hint="eastAsia"/>
        </w:rPr>
        <w:t xml:space="preserve">3.2  </w:t>
      </w:r>
      <w:bookmarkEnd w:id="30"/>
      <w:r>
        <w:rPr>
          <w:rFonts w:hint="eastAsia"/>
        </w:rPr>
        <w:t>稀疏点云生成</w:t>
      </w:r>
      <w:bookmarkEnd w:id="31"/>
    </w:p>
    <w:p w14:paraId="58E53E5F">
      <w:pPr>
        <w:pStyle w:val="4"/>
        <w:spacing w:before="120"/>
      </w:pPr>
      <w:bookmarkStart w:id="32" w:name="_Toc16221"/>
      <w:r>
        <w:rPr>
          <w:rFonts w:hint="eastAsia"/>
        </w:rPr>
        <w:t>3.2.1 三角测量与深度恢复</w:t>
      </w:r>
      <w:bookmarkEnd w:id="32"/>
    </w:p>
    <w:p w14:paraId="6D969D8C">
      <w:pPr>
        <w:pStyle w:val="48"/>
        <w:ind w:firstLine="480"/>
      </w:pPr>
      <w:r>
        <w:rPr>
          <w:rFonts w:hint="eastAsia"/>
        </w:rPr>
        <w:t>给定图像间的相对位姿与像素点匹配，可以使用线性或非线性三角测量方法求出匹配点的三维位置。以最小化重投影误差为目标，最常用的是线性三角测量：</w:t>
      </w:r>
    </w:p>
    <w:p w14:paraId="4626F84C">
      <w:pPr>
        <w:pStyle w:val="48"/>
        <w:ind w:firstLine="480"/>
      </w:pPr>
      <m:oMathPara>
        <m:oMath>
          <m:r>
            <m:rPr/>
            <w:rPr>
              <w:rFonts w:ascii="Cambria Math"/>
            </w:rPr>
            <m:t>AX=0</m:t>
          </m:r>
          <m:r>
            <m:rPr>
              <m:sty m:val="p"/>
            </m:rPr>
            <w:rPr>
              <w:rFonts w:ascii="Cambria Math"/>
            </w:rPr>
            <m:t>⇒</m:t>
          </m:r>
          <m:r>
            <m:rPr/>
            <w:rPr>
              <w:rFonts w:ascii="Cambria Math"/>
            </w:rPr>
            <m:t>X=arg</m:t>
          </m:r>
          <m:r>
            <m:rPr>
              <m:sty m:val="p"/>
            </m:rPr>
            <w:rPr>
              <w:rFonts w:ascii="Cambria Math"/>
            </w:rPr>
            <m:t>⁡</m:t>
          </m:r>
          <m:r>
            <m:rPr/>
            <w:rPr>
              <w:rFonts w:ascii="Cambria Math"/>
            </w:rPr>
            <m:t>min</m:t>
          </m:r>
          <m:r>
            <m:rPr>
              <m:sty m:val="p"/>
            </m:rPr>
            <w:rPr>
              <w:rFonts w:ascii="Cambria Math"/>
            </w:rPr>
            <m:t>⁡</m:t>
          </m:r>
          <m:r>
            <m:rPr/>
            <w:rPr>
              <w:rFonts w:ascii="Cambria Math"/>
            </w:rPr>
            <m:t>∥AX∥</m:t>
          </m:r>
        </m:oMath>
      </m:oMathPara>
    </w:p>
    <w:p w14:paraId="60105FF0">
      <w:pPr>
        <w:pStyle w:val="48"/>
        <w:ind w:firstLine="0" w:firstLineChars="0"/>
      </w:pPr>
      <w:r>
        <w:rPr>
          <w:rFonts w:hint="eastAsia"/>
        </w:rPr>
        <w:t>其中，</w:t>
      </w:r>
      <m:oMath>
        <m:r>
          <m:rPr/>
          <w:rPr>
            <w:rFonts w:ascii="Cambria Math"/>
          </w:rPr>
          <m:t>A</m:t>
        </m:r>
      </m:oMath>
      <w:r>
        <w:rPr>
          <w:rFonts w:hint="eastAsia"/>
        </w:rPr>
        <w:t>由两个或多个相机投影矩阵与像素坐标构造。得到的点云</w:t>
      </w:r>
      <m:oMath>
        <m:sSub>
          <m:sSubPr>
            <m:ctrlPr>
              <w:rPr>
                <w:rFonts w:ascii="Cambria Math" w:hAnsi="Cambria Math"/>
              </w:rPr>
            </m:ctrlPr>
          </m:sSubPr>
          <m:e>
            <m:r>
              <m:rPr/>
              <w:rPr>
                <w:rFonts w:ascii="Cambria Math"/>
              </w:rPr>
              <m:t>X</m:t>
            </m:r>
            <m:ctrlPr>
              <w:rPr>
                <w:rFonts w:ascii="Cambria Math" w:hAnsi="Cambria Math"/>
              </w:rPr>
            </m:ctrlPr>
          </m:e>
          <m:sub>
            <m:r>
              <m:rPr/>
              <w:rPr>
                <w:rFonts w:ascii="Cambria Math"/>
              </w:rPr>
              <m:t>i</m:t>
            </m:r>
            <m:ctrlPr>
              <w:rPr>
                <w:rFonts w:ascii="Cambria Math" w:hAnsi="Cambria Math"/>
              </w:rPr>
            </m:ctrlPr>
          </m:sub>
        </m:sSub>
      </m:oMath>
      <w:r>
        <w:rPr>
          <w:rFonts w:hint="eastAsia"/>
        </w:rPr>
        <w:t>存储在 COLMAP 数据库中，初步构建出场景的三维几何结构。</w:t>
      </w:r>
    </w:p>
    <w:p w14:paraId="6F3D5C57">
      <w:pPr>
        <w:pStyle w:val="4"/>
        <w:spacing w:before="120"/>
      </w:pPr>
      <w:bookmarkStart w:id="33" w:name="_Toc25102"/>
      <w:r>
        <w:rPr>
          <w:rFonts w:hint="eastAsia"/>
        </w:rPr>
        <w:t>3.2.2 稀疏点云的特性与局限性</w:t>
      </w:r>
      <w:bookmarkEnd w:id="33"/>
    </w:p>
    <w:p w14:paraId="200C73DD">
      <w:pPr>
        <w:pStyle w:val="48"/>
        <w:ind w:firstLine="480"/>
      </w:pPr>
      <w:r>
        <w:rPr>
          <w:rFonts w:hint="eastAsia"/>
        </w:rPr>
        <w:t>COLMAP 输出的点云具有以下特点：</w:t>
      </w:r>
    </w:p>
    <w:p w14:paraId="18C59B50">
      <w:pPr>
        <w:pStyle w:val="48"/>
        <w:ind w:firstLine="480"/>
      </w:pPr>
      <w:r>
        <w:rPr>
          <w:rFonts w:hint="eastAsia"/>
        </w:rPr>
        <w:t xml:space="preserve">（1）点的数量级通常为 </w:t>
      </w:r>
      <m:oMath>
        <m:r>
          <m:rPr/>
          <w:rPr>
            <w:rFonts w:ascii="Cambria Math"/>
          </w:rPr>
          <m:t>1</m:t>
        </m:r>
        <m:sSup>
          <m:sSupPr>
            <m:ctrlPr>
              <w:rPr>
                <w:rFonts w:ascii="Cambria Math" w:hAnsi="Cambria Math"/>
              </w:rPr>
            </m:ctrlPr>
          </m:sSupPr>
          <m:e>
            <m:r>
              <m:rPr/>
              <w:rPr>
                <w:rFonts w:ascii="Cambria Math"/>
              </w:rPr>
              <m:t>0</m:t>
            </m:r>
            <m:ctrlPr>
              <w:rPr>
                <w:rFonts w:ascii="Cambria Math" w:hAnsi="Cambria Math"/>
              </w:rPr>
            </m:ctrlPr>
          </m:e>
          <m:sup>
            <m:r>
              <m:rPr/>
              <w:rPr>
                <w:rFonts w:ascii="Cambria Math"/>
              </w:rPr>
              <m:t>3</m:t>
            </m:r>
            <m:ctrlPr>
              <w:rPr>
                <w:rFonts w:ascii="Cambria Math" w:hAnsi="Cambria Math"/>
              </w:rPr>
            </m:ctrlPr>
          </m:sup>
        </m:sSup>
        <m:r>
          <m:rPr>
            <m:sty m:val="p"/>
          </m:rPr>
          <w:rPr>
            <w:rFonts w:ascii="Cambria Math"/>
          </w:rPr>
          <m:t>–</m:t>
        </m:r>
        <m:r>
          <m:rPr/>
          <w:rPr>
            <w:rFonts w:ascii="Cambria Math"/>
          </w:rPr>
          <m:t>1</m:t>
        </m:r>
        <m:sSup>
          <m:sSupPr>
            <m:ctrlPr>
              <w:rPr>
                <w:rFonts w:ascii="Cambria Math" w:hAnsi="Cambria Math"/>
              </w:rPr>
            </m:ctrlPr>
          </m:sSupPr>
          <m:e>
            <m:r>
              <m:rPr/>
              <w:rPr>
                <w:rFonts w:ascii="Cambria Math"/>
              </w:rPr>
              <m:t>0</m:t>
            </m:r>
            <m:ctrlPr>
              <w:rPr>
                <w:rFonts w:ascii="Cambria Math" w:hAnsi="Cambria Math"/>
              </w:rPr>
            </m:ctrlPr>
          </m:e>
          <m:sup>
            <m:r>
              <m:rPr/>
              <w:rPr>
                <w:rFonts w:ascii="Cambria Math"/>
              </w:rPr>
              <m:t>5</m:t>
            </m:r>
            <m:ctrlPr>
              <w:rPr>
                <w:rFonts w:ascii="Cambria Math" w:hAnsi="Cambria Math"/>
              </w:rPr>
            </m:ctrlPr>
          </m:sup>
        </m:sSup>
      </m:oMath>
      <w:r>
        <w:rPr>
          <w:rFonts w:hint="eastAsia"/>
        </w:rPr>
        <w:t>，取决于图像数量和视角重叠程度；</w:t>
      </w:r>
    </w:p>
    <w:p w14:paraId="6FE3FE1D">
      <w:pPr>
        <w:pStyle w:val="48"/>
        <w:ind w:firstLine="480"/>
      </w:pPr>
      <w:r>
        <w:rPr>
          <w:rFonts w:hint="eastAsia"/>
        </w:rPr>
        <w:t>（2）点主要集中在图像重合区域，非纹理区域（如天空、纯色墙面）较少；</w:t>
      </w:r>
    </w:p>
    <w:p w14:paraId="18988544">
      <w:pPr>
        <w:pStyle w:val="48"/>
        <w:ind w:firstLine="480"/>
      </w:pPr>
      <w:r>
        <w:rPr>
          <w:rFonts w:hint="eastAsia"/>
        </w:rPr>
        <w:t>（3）精度较高，但分布不均、存在遮挡与缺失区域；</w:t>
      </w:r>
    </w:p>
    <w:p w14:paraId="2E3D3661">
      <w:pPr>
        <w:pStyle w:val="48"/>
        <w:ind w:firstLine="480"/>
      </w:pPr>
      <w:r>
        <w:rPr>
          <w:rFonts w:hint="eastAsia"/>
        </w:rPr>
        <w:t>（4）部分点由于匹配误差或误差传播可能存在偏离或漂浮现象。</w:t>
      </w:r>
    </w:p>
    <w:p w14:paraId="7D5BF54F">
      <w:pPr>
        <w:pStyle w:val="48"/>
        <w:ind w:firstLine="480"/>
      </w:pPr>
      <w:r>
        <w:rPr>
          <w:rFonts w:hint="eastAsia"/>
        </w:rPr>
        <w:t>这类稀疏点云适合作为结构引导，但不适用于直接渲染，因此需要进一步的优化与补全。</w:t>
      </w:r>
    </w:p>
    <w:p w14:paraId="4BDEE23E">
      <w:pPr>
        <w:pStyle w:val="3"/>
        <w:spacing w:before="120"/>
      </w:pPr>
      <w:r>
        <w:rPr>
          <w:rStyle w:val="29"/>
          <w:rFonts w:ascii="Times New Roman" w:eastAsia="宋体"/>
          <w:bCs w:val="0"/>
        </w:rPr>
        <w:commentReference w:id="13"/>
      </w:r>
    </w:p>
    <w:p w14:paraId="409A38D1">
      <w:pPr>
        <w:pStyle w:val="3"/>
        <w:spacing w:before="120"/>
      </w:pPr>
      <w:bookmarkStart w:id="34" w:name="_Toc5596"/>
      <w:r>
        <w:rPr>
          <w:rFonts w:hint="eastAsia"/>
        </w:rPr>
        <w:t>3.3 基于点云神经网络的系数点云优化</w:t>
      </w:r>
      <w:bookmarkEnd w:id="34"/>
    </w:p>
    <w:p w14:paraId="77829106">
      <w:pPr>
        <w:pStyle w:val="4"/>
        <w:spacing w:before="120"/>
      </w:pPr>
      <w:bookmarkStart w:id="35" w:name="_Toc23356"/>
      <w:r>
        <w:t>3.3.1 点云处理挑战</w:t>
      </w:r>
      <w:bookmarkEnd w:id="35"/>
    </w:p>
    <w:p w14:paraId="670290FB">
      <w:pPr>
        <w:pStyle w:val="48"/>
        <w:ind w:firstLine="480"/>
      </w:pPr>
      <w:r>
        <w:t>在传统三维重建系统中，点云的噪声、高维特征提取、局部语义理解等处理问题往往难以通过几何方法解决。特别是在稀疏点云中，由于点密度低、分布不均匀，传统滤波或插值方法难以获得良好的效果。</w:t>
      </w:r>
    </w:p>
    <w:p w14:paraId="6880EC7C">
      <w:pPr>
        <w:pStyle w:val="48"/>
        <w:ind w:firstLine="480"/>
      </w:pPr>
      <w:r>
        <w:t>点云神经网络（Point-based Deep Network）提供了更强大的结构感知能力。PointNet 是最早且广泛使用的点云处理架构之一，能够从原始点集直接学习特征，无需构建网格或体素。</w:t>
      </w:r>
    </w:p>
    <w:p w14:paraId="34FD4231">
      <w:pPr>
        <w:pStyle w:val="4"/>
        <w:spacing w:before="120"/>
      </w:pPr>
      <w:bookmarkStart w:id="36" w:name="_Toc2931"/>
      <w:r>
        <w:t>3.3.2 PointNet架构原理</w:t>
      </w:r>
      <w:bookmarkEnd w:id="36"/>
    </w:p>
    <w:p w14:paraId="72E10FEA">
      <w:pPr>
        <w:pStyle w:val="48"/>
        <w:ind w:firstLine="480"/>
      </w:pPr>
      <w:r>
        <w:t xml:space="preserve">PointNet 的核心思想在于对无序点集的“对称处理”：每个点 </w:t>
      </w:r>
      <m:oMath>
        <m:sSub>
          <m:sSubPr>
            <m:ctrlPr>
              <w:rPr>
                <w:rFonts w:ascii="Cambria Math" w:hAnsi="Cambria Math"/>
              </w:rPr>
            </m:ctrlPr>
          </m:sSubPr>
          <m:e>
            <m:r>
              <m:rPr/>
              <w:rPr>
                <w:rFonts w:ascii="Cambria Math"/>
              </w:rPr>
              <m:t>x</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t xml:space="preserve"> 被单独送入一个共享的多层感知器（MLP），提取局部特征 </w:t>
      </w:r>
      <m:oMath>
        <m:r>
          <m:rPr/>
          <w:rPr>
            <w:rFonts w:ascii="Cambria Math"/>
          </w:rPr>
          <m:t>ℎ(</m:t>
        </m:r>
        <m:sSub>
          <m:sSubPr>
            <m:ctrlPr>
              <w:rPr>
                <w:rFonts w:ascii="Cambria Math" w:hAnsi="Cambria Math"/>
              </w:rPr>
            </m:ctrlPr>
          </m:sSubPr>
          <m:e>
            <m:r>
              <m:rPr/>
              <w:rPr>
                <w:rFonts w:ascii="Cambria Math"/>
              </w:rPr>
              <m:t>x</m:t>
            </m:r>
            <m:ctrlPr>
              <w:rPr>
                <w:rFonts w:ascii="Cambria Math" w:hAnsi="Cambria Math"/>
              </w:rPr>
            </m:ctrlPr>
          </m:e>
          <m:sub>
            <m:r>
              <m:rPr/>
              <w:rPr>
                <w:rFonts w:ascii="Cambria Math"/>
              </w:rPr>
              <m:t>i</m:t>
            </m:r>
            <m:ctrlPr>
              <w:rPr>
                <w:rFonts w:ascii="Cambria Math" w:hAnsi="Cambria Math"/>
              </w:rPr>
            </m:ctrlPr>
          </m:sub>
        </m:sSub>
        <m:r>
          <m:rPr/>
          <w:rPr>
            <w:rFonts w:ascii="Cambria Math"/>
          </w:rPr>
          <m:t>)</m:t>
        </m:r>
      </m:oMath>
      <w:r>
        <w:t>；所有特征通过一个对称函数（如最大池化）汇聚成全局特征：</w:t>
      </w:r>
    </w:p>
    <w:p w14:paraId="3F2C741A">
      <w:pPr>
        <w:pStyle w:val="48"/>
        <w:ind w:firstLine="480"/>
        <w:jc w:val="center"/>
      </w:pPr>
      <m:oMathPara>
        <m:oMath>
          <w:commentRangeStart w:id="14"/>
          <m:r>
            <m:rPr/>
            <w:rPr>
              <w:rFonts w:ascii="Cambria Math"/>
            </w:rPr>
            <m:t>f(X)=γ(MAXℎ(x1),ℎ(x2),...,ℎ(xn))</m:t>
          </m:r>
          <w:commentRangeEnd w:id="14"/>
          <m:r>
            <m:rPr>
              <m:sty m:val="p"/>
            </m:rPr>
            <w:rPr>
              <w:rStyle w:val="29"/>
            </w:rPr>
            <w:commentReference w:id="14"/>
          </m:r>
        </m:oMath>
      </m:oMathPara>
    </w:p>
    <w:p w14:paraId="276ED919">
      <w:pPr>
        <w:pStyle w:val="48"/>
        <w:ind w:firstLine="480"/>
      </w:pPr>
      <w:r>
        <w:t>全局特征可用于分类、回归、分割等任务，也可反馈优化每个点的表示。该结构具有以下优点：兼容任意顺序的点集输入；能够处理不规则、稀疏、非均匀采样的点云；学习能力强，适应性广泛。</w:t>
      </w:r>
    </w:p>
    <w:p w14:paraId="628B4AC7">
      <w:pPr>
        <w:pStyle w:val="4"/>
        <w:spacing w:before="120"/>
      </w:pPr>
      <w:bookmarkStart w:id="37" w:name="_Toc20925"/>
      <w:r>
        <w:t>3.3.3 在稀疏重建中的应用</w:t>
      </w:r>
      <w:bookmarkEnd w:id="37"/>
    </w:p>
    <w:p w14:paraId="14C0A510">
      <w:pPr>
        <w:pStyle w:val="48"/>
        <w:ind w:firstLine="480"/>
      </w:pPr>
      <w:r>
        <w:t>在 3DGS 系统中，我们可将 PointNet引入稀疏点云后处理阶段，用于完成以下任务：</w:t>
      </w:r>
    </w:p>
    <w:p w14:paraId="3D891873">
      <w:pPr>
        <w:pStyle w:val="48"/>
        <w:ind w:firstLine="480"/>
      </w:pPr>
      <w:r>
        <w:t>（1）点云去噪与剔除</w:t>
      </w:r>
    </w:p>
    <w:p w14:paraId="4F7BD21D">
      <w:pPr>
        <w:pStyle w:val="48"/>
        <w:ind w:firstLine="480"/>
      </w:pPr>
      <w:r>
        <w:t>训练一个分类器网络识别异常点，包括：配准失败的漂浮点；噪声图像特征产生的伪点；少视角支持的低可信度点。通过引入已知场景的先验数据，可将这些点识别为异常并剔除，提高点云的一致性与可控性。</w:t>
      </w:r>
    </w:p>
    <w:p w14:paraId="5C38704F">
      <w:pPr>
        <w:pStyle w:val="48"/>
        <w:ind w:firstLine="480"/>
      </w:pPr>
      <w:r>
        <w:t>（2）点云补全与插值</w:t>
      </w:r>
    </w:p>
    <w:p w14:paraId="7C39755D">
      <w:pPr>
        <w:pStyle w:val="48"/>
        <w:ind w:firstLine="480"/>
      </w:pPr>
      <w:r>
        <w:t>使用 Point Completion 网络（如 Point Completion Network、PCN）从已有点云中学习完整结构，插入缺失区域的点，有效提升稠密度。</w:t>
      </w:r>
    </w:p>
    <w:p w14:paraId="43587BDA">
      <w:pPr>
        <w:pStyle w:val="48"/>
        <w:ind w:firstLine="480"/>
      </w:pPr>
      <w:r>
        <w:t>（3）语义聚类与分类</w:t>
      </w:r>
    </w:p>
    <w:p w14:paraId="349438D5">
      <w:pPr>
        <w:pStyle w:val="48"/>
        <w:ind w:firstLine="480"/>
      </w:pPr>
      <w:r>
        <w:t>PointNet 可对点云进行空间聚类，为高斯模型赋予局部结构标签，如“边缘点”、“曲面点”、“角点”等。这一信息可在高斯参数初始化时用作先验。</w:t>
      </w:r>
    </w:p>
    <w:p w14:paraId="355506AA">
      <w:pPr>
        <w:pStyle w:val="48"/>
        <w:ind w:firstLine="480"/>
      </w:pPr>
      <w:r>
        <w:t>（4）多尺度结构理解</w:t>
      </w:r>
    </w:p>
    <w:p w14:paraId="19ED85F2">
      <w:pPr>
        <w:pStyle w:val="48"/>
        <w:ind w:firstLine="480"/>
      </w:pPr>
      <w:r>
        <w:t>通过扩展结构（如 PointNet++），可以在多尺度邻域中聚合特征，对不同尺度下的结构保持敏感，适应建筑、自然场景等多种不同类型数据。</w:t>
      </w:r>
    </w:p>
    <w:p w14:paraId="483854C1">
      <w:pPr>
        <w:pStyle w:val="4"/>
        <w:spacing w:before="120"/>
      </w:pPr>
      <w:bookmarkStart w:id="38" w:name="_Toc12863"/>
      <w:r>
        <w:t>3.3.4 训练与部署流程</w:t>
      </w:r>
      <w:bookmarkEnd w:id="38"/>
    </w:p>
    <w:p w14:paraId="341840AA">
      <w:pPr>
        <w:pStyle w:val="48"/>
        <w:ind w:firstLine="480"/>
      </w:pPr>
      <w:r>
        <w:t>部署 PointNet 模块需进行如下步骤：</w:t>
      </w:r>
    </w:p>
    <w:p w14:paraId="2175775A">
      <w:pPr>
        <w:pStyle w:val="48"/>
        <w:ind w:firstLine="480"/>
      </w:pPr>
      <w:r>
        <w:rPr>
          <w:rFonts w:hint="eastAsia"/>
        </w:rPr>
        <w:t>（1）</w:t>
      </w:r>
      <w:r>
        <w:t>数据准备：从 COLMAP 导出点云，标注或合成带标签的训练样本；</w:t>
      </w:r>
    </w:p>
    <w:p w14:paraId="32707703">
      <w:pPr>
        <w:pStyle w:val="48"/>
        <w:ind w:firstLine="480"/>
      </w:pPr>
      <w:r>
        <w:rPr>
          <w:rFonts w:hint="eastAsia"/>
        </w:rPr>
        <w:t>（2）</w:t>
      </w:r>
      <w:r>
        <w:t>训练阶段：使用 PyTorch 或 TensorFlow 实现 PointNet 模型，对任务（如二分类、补全）进行监督训练；</w:t>
      </w:r>
    </w:p>
    <w:p w14:paraId="1F92743A">
      <w:pPr>
        <w:pStyle w:val="48"/>
        <w:ind w:firstLine="480"/>
      </w:pPr>
      <w:r>
        <w:rPr>
          <w:rFonts w:hint="eastAsia"/>
        </w:rPr>
        <w:t>（3）</w:t>
      </w:r>
      <w:r>
        <w:t>推理与后处理：将处理结果应用于原始稀疏点云，实现剔除、插值或聚类，生成优化后的点云结构。</w:t>
      </w:r>
    </w:p>
    <w:p w14:paraId="50818925">
      <w:pPr>
        <w:pStyle w:val="2"/>
        <w:jc w:val="both"/>
      </w:pPr>
      <w:r>
        <w:br w:type="page"/>
      </w:r>
      <w:bookmarkStart w:id="39" w:name="_Toc3595"/>
      <w:commentRangeStart w:id="15"/>
      <w:r>
        <w:rPr>
          <w:rFonts w:hint="eastAsia"/>
        </w:rPr>
        <w:t>4  基于高斯泼溅的三维重建方法</w:t>
      </w:r>
      <w:bookmarkEnd w:id="39"/>
      <w:commentRangeEnd w:id="15"/>
      <w:r>
        <w:rPr>
          <w:rStyle w:val="29"/>
          <w:rFonts w:ascii="Times New Roman" w:eastAsia="宋体"/>
          <w:bCs w:val="0"/>
          <w:kern w:val="0"/>
        </w:rPr>
        <w:commentReference w:id="15"/>
      </w:r>
    </w:p>
    <w:p w14:paraId="14773380">
      <w:pPr>
        <w:pStyle w:val="2"/>
        <w:jc w:val="both"/>
        <w:rPr>
          <w:rStyle w:val="55"/>
          <w:bCs w:val="0"/>
        </w:rPr>
      </w:pPr>
      <w:bookmarkStart w:id="40" w:name="_Toc31837"/>
      <w:r>
        <w:rPr>
          <w:rStyle w:val="55"/>
          <w:bCs w:val="0"/>
        </w:rPr>
        <w:t>4.1 高斯泼溅表示</w:t>
      </w:r>
      <w:bookmarkEnd w:id="40"/>
    </w:p>
    <w:p w14:paraId="3BFF6DEC">
      <w:pPr>
        <w:pStyle w:val="48"/>
        <w:ind w:firstLine="480"/>
      </w:pPr>
      <w:r>
        <w:t>在传统的三维重建方法中，如三角网格（Mesh）、体素（Voxel）或点云（Point Cloud）表示方法，通常存在着建模灵活性有限、表示精度不足或者数据冗余等问题。而高斯泼溅（Gaussian Splatting，简称3DGS）提供了一种介于稀疏点云与连续体之间的中间表示形式，它通过各向异性的3D高斯函数来近似建模三维空间中表面的密度与颜色分布，能够以连续、可微且紧凑的方式表达复杂场景的细节和结构。</w:t>
      </w:r>
    </w:p>
    <w:p w14:paraId="5128C7F5">
      <w:pPr>
        <w:pStyle w:val="48"/>
        <w:ind w:firstLine="480"/>
      </w:pPr>
      <w:r>
        <w:t>在3DGS中，一个三维物体由多个“高斯点”组成，每个点表示为一个椭球形的三维高斯核。这些高斯核不仅记录了位置和颜色，还携带有方向、尺度、透明度等参数，用于在渲染过程中通过图像空间投影完成融合</w:t>
      </w:r>
      <w:r>
        <w:rPr>
          <w:rStyle w:val="51"/>
          <w:rFonts w:hint="eastAsia"/>
        </w:rPr>
        <w:t>[30]</w:t>
      </w:r>
      <w:r>
        <w:t>。</w:t>
      </w:r>
    </w:p>
    <w:p w14:paraId="248BD7F3">
      <w:pPr>
        <w:pStyle w:val="4"/>
        <w:spacing w:before="120"/>
      </w:pPr>
      <w:bookmarkStart w:id="41" w:name="_Toc32560"/>
      <w:r>
        <w:t>4.1.1 高斯分布的数学模型</w:t>
      </w:r>
      <w:bookmarkEnd w:id="41"/>
    </w:p>
    <w:p w14:paraId="23E845DE">
      <w:pPr>
        <w:pStyle w:val="48"/>
        <w:ind w:firstLine="480"/>
      </w:pPr>
      <w:commentRangeStart w:id="16"/>
      <w:r>
        <w:t>我们</w:t>
      </w:r>
      <w:commentRangeEnd w:id="16"/>
      <w:r>
        <w:rPr>
          <w:rStyle w:val="29"/>
        </w:rPr>
        <w:commentReference w:id="16"/>
      </w:r>
      <w:r>
        <w:t xml:space="preserve">用 </w:t>
      </w:r>
      <m:oMath>
        <m:sSub>
          <m:sSubPr>
            <m:ctrlPr>
              <w:rPr>
                <w:rFonts w:ascii="Cambria Math" w:hAnsi="Cambria Math"/>
              </w:rPr>
            </m:ctrlPr>
          </m:sSubPr>
          <m:e>
            <m:r>
              <m:rPr/>
              <w:rPr>
                <w:rFonts w:ascii="Cambria Math"/>
              </w:rPr>
              <m:t>G</m:t>
            </m:r>
            <m:ctrlPr>
              <w:rPr>
                <w:rFonts w:ascii="Cambria Math" w:hAnsi="Cambria Math"/>
              </w:rPr>
            </m:ctrlPr>
          </m:e>
          <m:sub>
            <m:r>
              <m:rPr/>
              <w:rPr>
                <w:rFonts w:ascii="Cambria Math"/>
              </w:rPr>
              <m:t>i</m:t>
            </m:r>
            <m:ctrlPr>
              <w:rPr>
                <w:rFonts w:ascii="Cambria Math" w:hAnsi="Cambria Math"/>
              </w:rPr>
            </m:ctrlPr>
          </m:sub>
        </m:sSub>
      </m:oMath>
      <w:r>
        <w:t>表示第i个高斯点，其核心参数包括：</w:t>
      </w:r>
    </w:p>
    <w:p w14:paraId="20CD1F28">
      <w:pPr>
        <w:pStyle w:val="48"/>
        <w:ind w:firstLine="480"/>
      </w:pPr>
      <w:r>
        <w:rPr>
          <w:rFonts w:hint="eastAsia"/>
        </w:rPr>
        <w:t>（1）</w:t>
      </w:r>
      <w:r>
        <w:t>位置：</w:t>
      </w:r>
      <m:oMath>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p>
    <w:p w14:paraId="7830FC46">
      <w:pPr>
        <w:pStyle w:val="48"/>
        <w:ind w:firstLine="480"/>
      </w:pPr>
      <w:r>
        <w:rPr>
          <w:rFonts w:hint="eastAsia"/>
        </w:rPr>
        <w:t>（2）</w:t>
      </w:r>
      <w:r>
        <w:t>尺度（协方差矩阵）：</w:t>
      </w:r>
      <m:oMath>
        <m:sSub>
          <m:sSubPr>
            <m:ctrlPr>
              <w:rPr>
                <w:rFonts w:ascii="Cambria Math" w:hAnsi="Cambria Math"/>
              </w:rPr>
            </m:ctrlPr>
          </m:sSub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3×3</m:t>
            </m:r>
            <m:ctrlPr>
              <w:rPr>
                <w:rFonts w:ascii="Cambria Math" w:hAnsi="Cambria Math"/>
              </w:rPr>
            </m:ctrlPr>
          </m:sup>
        </m:sSup>
      </m:oMath>
      <w:r>
        <w:t>，用于控制高斯在各方向上的扩展；</w:t>
      </w:r>
    </w:p>
    <w:p w14:paraId="0A4AF2DB">
      <w:pPr>
        <w:pStyle w:val="48"/>
        <w:ind w:firstLine="480"/>
      </w:pPr>
      <w:r>
        <w:rPr>
          <w:rFonts w:hint="eastAsia"/>
        </w:rPr>
        <w:t>（3）</w:t>
      </w:r>
      <w:r>
        <w:t>颜色：</w:t>
      </w:r>
      <m:oMath>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t>（RGB 格式）；</w:t>
      </w:r>
    </w:p>
    <w:p w14:paraId="785384E9">
      <w:pPr>
        <w:pStyle w:val="48"/>
        <w:ind w:firstLine="480"/>
      </w:pPr>
      <w:r>
        <w:rPr>
          <w:rFonts w:hint="eastAsia"/>
        </w:rPr>
        <w:t>（4）</w:t>
      </w:r>
      <w:r>
        <w:t>不透明度（density/opacity）：</w:t>
      </w:r>
      <m:oMath>
        <m:sSub>
          <m:sSubPr>
            <m:ctrlPr>
              <w:rPr>
                <w:rFonts w:ascii="Cambria Math" w:hAnsi="Cambria Math"/>
              </w:rPr>
            </m:ctrlPr>
          </m:sSubPr>
          <m:e>
            <m:r>
              <m:rPr/>
              <w:rPr>
                <w:rFonts w:ascii="Cambria Math"/>
              </w:rPr>
              <m:t>α</m:t>
            </m:r>
            <m:ctrlPr>
              <w:rPr>
                <w:rFonts w:ascii="Cambria Math" w:hAnsi="Cambria Math"/>
              </w:rPr>
            </m:ctrlPr>
          </m:e>
          <m:sub>
            <m:r>
              <m:rPr/>
              <w:rPr>
                <w:rFonts w:ascii="Cambria Math"/>
              </w:rPr>
              <m:t>i</m:t>
            </m:r>
            <m:ctrlPr>
              <w:rPr>
                <w:rFonts w:ascii="Cambria Math" w:hAnsi="Cambria Math"/>
              </w:rPr>
            </m:ctrlPr>
          </m:sub>
        </m:sSub>
        <m:r>
          <m:rPr/>
          <w:rPr>
            <w:rFonts w:ascii="Cambria Math"/>
          </w:rPr>
          <m:t>∈[0,1]</m:t>
        </m:r>
      </m:oMath>
      <w:r>
        <w:t>；</w:t>
      </w:r>
    </w:p>
    <w:p w14:paraId="371ED82E">
      <w:pPr>
        <w:pStyle w:val="48"/>
        <w:ind w:firstLine="480"/>
      </w:pPr>
      <w:r>
        <w:rPr>
          <w:rFonts w:hint="eastAsia"/>
        </w:rPr>
        <w:t>（5）</w:t>
      </w:r>
      <w:r>
        <w:t>朝向（由视锥约束的缩放系数）：用于描述点的可见性与方向性。</w:t>
      </w:r>
    </w:p>
    <w:p w14:paraId="3558282A">
      <w:pPr>
        <w:pStyle w:val="48"/>
        <w:ind w:firstLine="480"/>
      </w:pPr>
      <w:r>
        <w:t xml:space="preserve">在空间中，高斯点 </w:t>
      </w:r>
      <m:oMath>
        <m:sSub>
          <m:sSubPr>
            <m:ctrlPr>
              <w:rPr>
                <w:rFonts w:ascii="Cambria Math" w:hAnsi="Cambria Math"/>
              </w:rPr>
            </m:ctrlPr>
          </m:sSubPr>
          <m:e>
            <m:r>
              <m:rPr/>
              <w:rPr>
                <w:rFonts w:ascii="Cambria Math"/>
              </w:rPr>
              <m:t>G</m:t>
            </m:r>
            <m:ctrlPr>
              <w:rPr>
                <w:rFonts w:ascii="Cambria Math" w:hAnsi="Cambria Math"/>
              </w:rPr>
            </m:ctrlPr>
          </m:e>
          <m:sub>
            <m:r>
              <m:rPr/>
              <w:rPr>
                <w:rFonts w:ascii="Cambria Math"/>
              </w:rPr>
              <m:t>i</m:t>
            </m:r>
            <m:ctrlPr>
              <w:rPr>
                <w:rFonts w:ascii="Cambria Math" w:hAnsi="Cambria Math"/>
              </w:rPr>
            </m:ctrlPr>
          </m:sub>
        </m:sSub>
      </m:oMath>
      <w:r>
        <w:t xml:space="preserve">对任意采样位置 </w:t>
      </w:r>
      <m:oMath>
        <m:r>
          <m:rPr>
            <m:sty m:val="b"/>
          </m:rPr>
          <w:rPr>
            <w:rFonts w:ascii="Cambria Math"/>
          </w:rPr>
          <m:t>x</m:t>
        </m:r>
      </m:oMath>
      <w:r>
        <w:t xml:space="preserve"> 的贡献可由如下公式表示：</w:t>
      </w:r>
    </w:p>
    <w:p w14:paraId="1209A9BA">
      <w:pPr>
        <w:pStyle w:val="48"/>
        <w:ind w:firstLine="480"/>
        <w:jc w:val="center"/>
      </w:pPr>
      <w:commentRangeStart w:id="17"/>
      <m:oMath>
        <m:sSub>
          <m:sSubPr>
            <m:ctrlPr>
              <w:rPr>
                <w:rFonts w:ascii="Cambria Math" w:hAnsi="Cambria Math"/>
              </w:rPr>
            </m:ctrlPr>
          </m:sSubPr>
          <m:e>
            <m:r>
              <m:rPr/>
              <w:rPr>
                <w:rFonts w:ascii="Cambria Math"/>
              </w:rPr>
              <m:t>G</m:t>
            </m:r>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b"/>
          </m:rPr>
          <w:rPr>
            <w:rFonts w:ascii="Cambria Math"/>
          </w:rPr>
          <m:t>x</m:t>
        </m:r>
        <m:r>
          <m:rPr/>
          <w:rPr>
            <w:rFonts w:ascii="Cambria Math"/>
          </w:rPr>
          <m:t>)=</m:t>
        </m:r>
        <m:sSub>
          <m:sSubPr>
            <m:ctrlPr>
              <w:rPr>
                <w:rFonts w:ascii="Cambria Math" w:hAnsi="Cambria Math"/>
              </w:rPr>
            </m:ctrlPr>
          </m:sSubPr>
          <m:e>
            <m:r>
              <m:rPr/>
              <w:rPr>
                <w:rFonts w:ascii="Cambria Math"/>
              </w:rPr>
              <m:t>α</m:t>
            </m:r>
            <m:ctrlPr>
              <w:rPr>
                <w:rFonts w:ascii="Cambria Math" w:hAnsi="Cambria Math"/>
              </w:rPr>
            </m:ctrlPr>
          </m:e>
          <m:sub>
            <m:r>
              <m:rPr/>
              <w:rPr>
                <w:rFonts w:ascii="Cambria Math"/>
              </w:rPr>
              <m:t>i</m:t>
            </m:r>
            <m:ctrlPr>
              <w:rPr>
                <w:rFonts w:ascii="Cambria Math" w:hAnsi="Cambria Math"/>
              </w:rPr>
            </m:ctrlPr>
          </m:sub>
        </m:sSub>
        <m:r>
          <m:rPr/>
          <w:rPr>
            <w:rFonts w:ascii="Cambria Math"/>
          </w:rPr>
          <m:t>⋅</m:t>
        </m:r>
        <m:func>
          <m:funcPr>
            <m:ctrlPr>
              <w:rPr>
                <w:rFonts w:ascii="Cambria Math" w:hAnsi="Cambria Math"/>
              </w:rPr>
            </m:ctrlPr>
          </m:funcPr>
          <m:fName>
            <m:r>
              <m:rPr>
                <m:sty m:val="p"/>
              </m:rPr>
              <w:rPr>
                <w:rFonts w:ascii="Cambria Math"/>
              </w:rPr>
              <m:t>exp</m:t>
            </m:r>
            <m:ctrlPr>
              <w:rPr>
                <w:rFonts w:ascii="Cambria Math" w:hAnsi="Cambria Math"/>
              </w:rPr>
            </m:ctrlPr>
          </m:fName>
          <m:e>
            <m:d>
              <m:dPr>
                <m:ctrlPr>
                  <w:rPr>
                    <w:rFonts w:ascii="Cambria Math" w:hAnsi="Cambria Math"/>
                  </w:rPr>
                </m:ctrlPr>
              </m:dPr>
              <m:e>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2</m:t>
                    </m:r>
                    <m:ctrlPr>
                      <w:rPr>
                        <w:rFonts w:ascii="Cambria Math" w:hAnsi="Cambria Math"/>
                        <w:i/>
                      </w:rPr>
                    </m:ctrlPr>
                  </m:den>
                </m:f>
                <m:r>
                  <m:rPr/>
                  <w:rPr>
                    <w:rFonts w:ascii="Cambria Math"/>
                  </w:rPr>
                  <m:t>(</m:t>
                </m:r>
                <m:r>
                  <m:rPr>
                    <m:sty m:val="b"/>
                  </m:rPr>
                  <w:rPr>
                    <w:rFonts w:ascii="Cambria Math"/>
                  </w:rPr>
                  <m:t>x</m:t>
                </m:r>
                <m:r>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i</m:t>
                    </m:r>
                    <m:ctrlPr>
                      <w:rPr>
                        <w:rFonts w:ascii="Cambria Math" w:hAnsi="Cambria Math"/>
                      </w:rPr>
                    </m:ctrlPr>
                  </m:sub>
                </m:sSub>
                <m:sSup>
                  <m:sSupPr>
                    <m:ctrlPr>
                      <w:rPr>
                        <w:rFonts w:ascii="Cambria Math" w:hAnsi="Cambria Math"/>
                      </w:rPr>
                    </m:ctrlPr>
                  </m:sSupPr>
                  <m:e>
                    <m:r>
                      <m:rPr/>
                      <w:rPr>
                        <w:rFonts w:ascii="Cambria Math"/>
                      </w:rPr>
                      <m:t>)</m:t>
                    </m:r>
                    <m:ctrlPr>
                      <w:rPr>
                        <w:rFonts w:ascii="Cambria Math" w:hAnsi="Cambria Math"/>
                      </w:rPr>
                    </m:ctrlPr>
                  </m:e>
                  <m:sup>
                    <m:r>
                      <m:rPr/>
                      <w:rPr>
                        <w:rFonts w:ascii="Cambria Math"/>
                      </w:rPr>
                      <m:t>⊤</m:t>
                    </m:r>
                    <m:ctrlPr>
                      <w:rPr>
                        <w:rFonts w:ascii="Cambria Math" w:hAnsi="Cambria Math"/>
                      </w:rPr>
                    </m:ctrlPr>
                  </m:sup>
                </m:sSup>
                <m:sSubSup>
                  <m:sSubSupPr>
                    <m:ctrlPr>
                      <w:rPr>
                        <w:rFonts w:ascii="Cambria Math" w:hAnsi="Cambria Math"/>
                      </w:rPr>
                    </m:ctrlPr>
                  </m:sSubSup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up>
                    <m:r>
                      <m:rPr/>
                      <w:rPr>
                        <w:rFonts w:ascii="Cambria Math"/>
                      </w:rPr>
                      <m:t>−1</m:t>
                    </m:r>
                    <m:ctrlPr>
                      <w:rPr>
                        <w:rFonts w:ascii="Cambria Math" w:hAnsi="Cambria Math"/>
                      </w:rPr>
                    </m:ctrlPr>
                  </m:sup>
                </m:sSubSup>
                <m:r>
                  <m:rPr/>
                  <w:rPr>
                    <w:rFonts w:ascii="Cambria Math"/>
                  </w:rPr>
                  <m:t>(</m:t>
                </m:r>
                <m:r>
                  <m:rPr>
                    <m:sty m:val="b"/>
                  </m:rPr>
                  <w:rPr>
                    <w:rFonts w:ascii="Cambria Math"/>
                  </w:rPr>
                  <m:t>x</m:t>
                </m:r>
                <m:r>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i</m:t>
                    </m:r>
                    <m:ctrlPr>
                      <w:rPr>
                        <w:rFonts w:ascii="Cambria Math" w:hAnsi="Cambria Math"/>
                      </w:rPr>
                    </m:ctrlPr>
                  </m:sub>
                </m:sSub>
                <m:r>
                  <m:rPr/>
                  <w:rPr>
                    <w:rFonts w:ascii="Cambria Math"/>
                  </w:rPr>
                  <m:t>)</m:t>
                </m:r>
                <m:ctrlPr>
                  <w:rPr>
                    <w:rFonts w:ascii="Cambria Math" w:hAnsi="Cambria Math"/>
                  </w:rPr>
                </m:ctrlPr>
              </m:e>
            </m:d>
            <m:ctrlPr>
              <w:rPr>
                <w:rFonts w:ascii="Cambria Math" w:hAnsi="Cambria Math"/>
              </w:rPr>
            </m:ctrlPr>
          </m:e>
        </m:func>
        <m:r>
          <m:rPr/>
          <w:rPr>
            <w:rFonts w:ascii="Cambria Math"/>
          </w:rPr>
          <m:t>⋅</m:t>
        </m:r>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oMath>
      <w:r>
        <w:t>​</w:t>
      </w:r>
      <w:commentRangeEnd w:id="17"/>
      <w:r>
        <w:rPr>
          <w:rStyle w:val="29"/>
        </w:rPr>
        <w:commentReference w:id="17"/>
      </w:r>
    </w:p>
    <w:p w14:paraId="17C10F94">
      <w:pPr>
        <w:pStyle w:val="48"/>
        <w:ind w:firstLine="480"/>
      </w:pPr>
      <w:r>
        <w:t xml:space="preserve">这个函数在空间中形成一个带有颜色的“模糊球”，其影响范围由协方差矩阵 </w:t>
      </w:r>
      <m:oMath>
        <m:sSub>
          <m:sSubPr>
            <m:ctrlPr>
              <w:rPr>
                <w:rFonts w:ascii="Cambria Math" w:hAnsi="Cambria Math"/>
              </w:rPr>
            </m:ctrlPr>
          </m:sSub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Sub>
      </m:oMath>
      <w:r>
        <w:t>​ 控制。通过调节协方差可以让高斯核表现出各向异性的形状，从而更灵活地贴合场景中的不同几何细节。</w:t>
      </w:r>
    </w:p>
    <w:p w14:paraId="647F4D6C">
      <w:pPr>
        <w:pStyle w:val="4"/>
        <w:spacing w:before="120"/>
      </w:pPr>
      <w:bookmarkStart w:id="42" w:name="_Toc21648"/>
      <w:r>
        <w:t>4.1.2 向量化与效率优化</w:t>
      </w:r>
      <w:bookmarkEnd w:id="42"/>
    </w:p>
    <w:p w14:paraId="02CA0BF8">
      <w:pPr>
        <w:pStyle w:val="48"/>
        <w:ind w:firstLine="480"/>
      </w:pPr>
      <w:r>
        <w:t>由于重建场景常常包含数万个高斯点，直接计算其三维卷积代价极高，因此3DGS方法往往采用图像空间的二维渲染策略。具体做法是：</w:t>
      </w:r>
    </w:p>
    <w:p w14:paraId="1C39D381">
      <w:pPr>
        <w:pStyle w:val="48"/>
        <w:ind w:firstLine="480"/>
      </w:pPr>
      <w:r>
        <w:t>先将所有3D高斯投影到相机视平面；在屏幕空间按像素聚合其影响；最终通过透明度混合、球谐光照等方法合成颜色。这种做法兼顾了三维信息的准确性与二维渲染的高效性，并天然支持GPU并行化计算。</w:t>
      </w:r>
    </w:p>
    <w:p w14:paraId="7173CE5C">
      <w:pPr>
        <w:pStyle w:val="48"/>
        <w:ind w:firstLine="0" w:firstLineChars="0"/>
      </w:pPr>
      <w:r>
        <w:rPr>
          <w:rStyle w:val="29"/>
        </w:rPr>
        <w:commentReference w:id="18"/>
      </w:r>
    </w:p>
    <w:p w14:paraId="02C08FBE">
      <w:pPr>
        <w:pStyle w:val="3"/>
        <w:spacing w:before="120"/>
      </w:pPr>
      <w:bookmarkStart w:id="43" w:name="_Toc9559"/>
      <w:r>
        <w:t>4.</w:t>
      </w:r>
      <w:r>
        <w:rPr>
          <w:rFonts w:hint="eastAsia"/>
        </w:rPr>
        <w:t>2</w:t>
      </w:r>
      <w:r>
        <w:t xml:space="preserve"> 可微渲染过程</w:t>
      </w:r>
      <w:bookmarkEnd w:id="43"/>
    </w:p>
    <w:p w14:paraId="30572A4A">
      <w:pPr>
        <w:pStyle w:val="48"/>
        <w:ind w:firstLine="480"/>
      </w:pPr>
      <w:r>
        <w:t>高斯泼溅重建方法的重要特性之一是：其整个渲染过程是端到端可微的。这意味着渲染结果可以作为神经网络的输出参与损失函数计算，从而通过反向传播优化每个高斯点的参数（如位置、颜色、尺度等）。这种可微特性为无监督学习和图像到几何的端到端建模提供了基础。</w:t>
      </w:r>
    </w:p>
    <w:p w14:paraId="1AFE308E">
      <w:pPr>
        <w:pStyle w:val="4"/>
        <w:spacing w:before="120"/>
      </w:pPr>
      <w:bookmarkStart w:id="44" w:name="_Toc16633"/>
      <w:r>
        <w:t>4.</w:t>
      </w:r>
      <w:r>
        <w:rPr>
          <w:rFonts w:hint="eastAsia"/>
        </w:rPr>
        <w:t>2</w:t>
      </w:r>
      <w:r>
        <w:t>.1 渲染原理</w:t>
      </w:r>
      <w:bookmarkEnd w:id="44"/>
    </w:p>
    <w:p w14:paraId="24996FA2">
      <w:pPr>
        <w:pStyle w:val="48"/>
        <w:ind w:firstLine="480"/>
      </w:pPr>
      <w:r>
        <w:t>在渲染过程中，我们首先将每个高斯点</w:t>
      </w:r>
      <m:oMath>
        <m:sSub>
          <m:sSubPr>
            <m:ctrlPr>
              <w:rPr>
                <w:rFonts w:ascii="Cambria Math" w:hAnsi="Cambria Math"/>
              </w:rPr>
            </m:ctrlPr>
          </m:sSubPr>
          <m:e>
            <m:r>
              <m:rPr/>
              <w:rPr>
                <w:rFonts w:ascii="Cambria Math"/>
              </w:rPr>
              <m:t>G</m:t>
            </m:r>
            <m:ctrlPr>
              <w:rPr>
                <w:rFonts w:ascii="Cambria Math" w:hAnsi="Cambria Math"/>
              </w:rPr>
            </m:ctrlPr>
          </m:e>
          <m:sub>
            <m:r>
              <m:rPr/>
              <w:rPr>
                <w:rFonts w:ascii="Cambria Math"/>
              </w:rPr>
              <m:t>i</m:t>
            </m:r>
            <m:ctrlPr>
              <w:rPr>
                <w:rFonts w:ascii="Cambria Math" w:hAnsi="Cambria Math"/>
              </w:rPr>
            </m:ctrlPr>
          </m:sub>
        </m:sSub>
      </m:oMath>
      <w:r>
        <w:t>投影到图像平面上，并根据其空间位置、尺寸和视角确定其在屏幕上形成的覆盖区域（即2D椭圆）。每个像素的颜色最终由多个高斯点在该像素位置的贡献加权融合而成。</w:t>
      </w:r>
    </w:p>
    <w:p w14:paraId="2D5C6E99">
      <w:pPr>
        <w:pStyle w:val="48"/>
        <w:ind w:firstLine="480"/>
      </w:pPr>
      <w:r>
        <w:t>具体渲染过程可表述如下：</w:t>
      </w:r>
    </w:p>
    <w:p w14:paraId="4E0BA7C4">
      <w:pPr>
        <w:pStyle w:val="48"/>
        <w:ind w:firstLine="482"/>
      </w:pPr>
      <w:commentRangeStart w:id="19"/>
      <m:oMathPara>
        <m:oMath>
          <m:r>
            <m:rPr>
              <m:sty m:val="b"/>
            </m:rPr>
            <w:rPr>
              <w:rFonts w:ascii="Cambria Math"/>
            </w:rPr>
            <m:t>I</m:t>
          </m:r>
          <m:r>
            <m:rPr/>
            <w:rPr>
              <w:rFonts w:ascii="Cambria Math"/>
            </w:rPr>
            <m:t>(</m:t>
          </m:r>
          <m:r>
            <m:rPr>
              <m:sty m:val="b"/>
            </m:rPr>
            <w:rPr>
              <w:rFonts w:ascii="Cambria Math"/>
            </w:rPr>
            <m:t>u</m:t>
          </m:r>
          <m:r>
            <m:rPr/>
            <w:rPr>
              <w:rFonts w:ascii="Cambria Math"/>
            </w:rPr>
            <m:t>)=</m:t>
          </m:r>
          <m:nary>
            <m:naryPr>
              <m:chr m:val="∑"/>
              <m:limLoc m:val="undOvr"/>
              <m:ctrlPr>
                <w:rPr>
                  <w:rFonts w:ascii="Cambria Math" w:hAnsi="Cambria Math"/>
                </w:rPr>
              </m:ctrlPr>
            </m:naryPr>
            <m:sub>
              <m:r>
                <m:rPr/>
                <w:rPr>
                  <w:rFonts w:ascii="Cambria Math"/>
                </w:rPr>
                <m:t>i=1</m:t>
              </m:r>
              <m:ctrlPr>
                <w:rPr>
                  <w:rFonts w:ascii="Cambria Math" w:hAnsi="Cambria Math"/>
                </w:rPr>
              </m:ctrlPr>
            </m:sub>
            <m:sup>
              <m:r>
                <m:rPr/>
                <w:rPr>
                  <w:rFonts w:ascii="Cambria Math"/>
                </w:rPr>
                <m:t>N</m:t>
              </m:r>
              <m:ctrlPr>
                <w:rPr>
                  <w:rFonts w:ascii="Cambria Math" w:hAnsi="Cambria Math"/>
                </w:rPr>
              </m:ctrlPr>
            </m:sup>
            <m:e>
              <m:sSub>
                <m:sSubPr>
                  <m:ctrlPr>
                    <w:rPr>
                      <w:rFonts w:ascii="Cambria Math" w:hAnsi="Cambria Math"/>
                    </w:rPr>
                  </m:ctrlPr>
                </m:sSubPr>
                <m:e>
                  <m:r>
                    <m:rPr/>
                    <w:rPr>
                      <w:rFonts w:ascii="Cambria Math"/>
                    </w:rPr>
                    <m:t>α</m:t>
                  </m:r>
                  <m:ctrlPr>
                    <w:rPr>
                      <w:rFonts w:ascii="Cambria Math" w:hAnsi="Cambria Math"/>
                    </w:rPr>
                  </m:ctrlPr>
                </m:e>
                <m:sub>
                  <m:r>
                    <m:rPr/>
                    <w:rPr>
                      <w:rFonts w:ascii="Cambria Math"/>
                    </w:rPr>
                    <m:t>i</m:t>
                  </m:r>
                  <m:ctrlPr>
                    <w:rPr>
                      <w:rFonts w:ascii="Cambria Math" w:hAnsi="Cambria Math"/>
                    </w:rPr>
                  </m:ctrlPr>
                </m:sub>
              </m:sSub>
              <m:ctrlPr>
                <w:rPr>
                  <w:rFonts w:ascii="Cambria Math" w:hAnsi="Cambria Math"/>
                </w:rPr>
              </m:ctrlPr>
            </m:e>
          </m:nary>
          <m:r>
            <m:rPr/>
            <w:rPr>
              <w:rFonts w:ascii="Cambria Math"/>
            </w:rPr>
            <m:t>(</m:t>
          </m:r>
          <m:r>
            <m:rPr>
              <m:sty m:val="b"/>
            </m:rPr>
            <w:rPr>
              <w:rFonts w:ascii="Cambria Math"/>
            </w:rPr>
            <m:t>u</m:t>
          </m:r>
          <m:r>
            <m:rPr/>
            <w:rPr>
              <w:rFonts w:ascii="Cambria Math"/>
            </w:rPr>
            <m:t>)⋅</m:t>
          </m:r>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b>
            <m:sSubPr>
              <m:ctrlPr>
                <w:rPr>
                  <w:rFonts w:ascii="Cambria Math" w:hAnsi="Cambria Math"/>
                </w:rPr>
              </m:ctrlPr>
            </m:sSubPr>
            <m:e>
              <m:r>
                <m:rPr/>
                <w:rPr>
                  <w:rFonts w:ascii="Cambria Math"/>
                </w:rPr>
                <m:t>T</m:t>
              </m:r>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b"/>
            </m:rPr>
            <w:rPr>
              <w:rFonts w:ascii="Cambria Math"/>
            </w:rPr>
            <m:t>u</m:t>
          </m:r>
          <m:r>
            <m:rPr/>
            <w:rPr>
              <w:rFonts w:ascii="Cambria Math"/>
            </w:rPr>
            <m:t>)</m:t>
          </m:r>
          <w:commentRangeEnd w:id="19"/>
          <m:r>
            <m:rPr>
              <m:sty m:val="p"/>
            </m:rPr>
            <w:rPr>
              <w:rStyle w:val="29"/>
            </w:rPr>
            <w:commentReference w:id="19"/>
          </m:r>
        </m:oMath>
      </m:oMathPara>
    </w:p>
    <w:p w14:paraId="302FEF48">
      <w:pPr>
        <w:pStyle w:val="48"/>
        <w:ind w:firstLine="0" w:firstLineChars="0"/>
      </w:pPr>
      <w:r>
        <w:t>其中：</w:t>
      </w:r>
    </w:p>
    <w:p w14:paraId="39FB7845">
      <w:pPr>
        <w:pStyle w:val="48"/>
        <w:ind w:firstLine="482"/>
      </w:pPr>
      <m:oMath>
        <m:r>
          <m:rPr>
            <m:sty m:val="b"/>
          </m:rPr>
          <w:rPr>
            <w:rFonts w:ascii="Cambria Math"/>
          </w:rPr>
          <m:t>u</m:t>
        </m:r>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2</m:t>
            </m:r>
            <m:ctrlPr>
              <w:rPr>
                <w:rFonts w:ascii="Cambria Math" w:hAnsi="Cambria Math"/>
              </w:rPr>
            </m:ctrlPr>
          </m:sup>
        </m:sSup>
      </m:oMath>
      <w:r>
        <w:t>：像素坐标；</w:t>
      </w:r>
    </w:p>
    <w:p w14:paraId="7F41C41B">
      <w:pPr>
        <w:pStyle w:val="48"/>
        <w:ind w:firstLine="480"/>
      </w:pPr>
      <w:r>
        <w:t>N：所有参与该像素渲染的高斯点数目；</w:t>
      </w:r>
    </w:p>
    <w:p w14:paraId="190D463C">
      <w:pPr>
        <w:pStyle w:val="48"/>
        <w:ind w:firstLine="480"/>
      </w:pPr>
      <m:oMath>
        <m:sSub>
          <m:sSubPr>
            <m:ctrlPr>
              <w:rPr>
                <w:rFonts w:ascii="Cambria Math" w:hAnsi="Cambria Math"/>
              </w:rPr>
            </m:ctrlPr>
          </m:sSubPr>
          <m:e>
            <m:r>
              <m:rPr/>
              <w:rPr>
                <w:rFonts w:ascii="Cambria Math"/>
              </w:rPr>
              <m:t>α</m:t>
            </m:r>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b"/>
          </m:rPr>
          <w:rPr>
            <w:rFonts w:ascii="Cambria Math"/>
          </w:rPr>
          <m:t>u</m:t>
        </m:r>
        <m:r>
          <m:rPr/>
          <w:rPr>
            <w:rFonts w:ascii="Cambria Math"/>
          </w:rPr>
          <m:t>)</m:t>
        </m:r>
      </m:oMath>
      <w:r>
        <w:t xml:space="preserve">：第i个高斯点在像素 </w:t>
      </w:r>
      <m:oMath>
        <m:r>
          <m:rPr>
            <m:sty m:val="b"/>
          </m:rPr>
          <w:rPr>
            <w:rFonts w:ascii="Cambria Math"/>
          </w:rPr>
          <m:t>u</m:t>
        </m:r>
      </m:oMath>
      <w:r>
        <w:t xml:space="preserve"> 的覆盖透明度（依据其投影与协方差矩阵计算）；</w:t>
      </w:r>
    </w:p>
    <w:p w14:paraId="2D4C1A2E">
      <w:pPr>
        <w:pStyle w:val="48"/>
        <w:ind w:firstLine="480"/>
      </w:pPr>
      <m:oMath>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oMath>
      <w:r>
        <w:rPr>
          <w:rFonts w:hint="eastAsia"/>
        </w:rPr>
        <w:t>：</w:t>
      </w:r>
      <w:r>
        <w:t>该点的颜色</w:t>
      </w:r>
      <w:r>
        <w:rPr>
          <w:rFonts w:hint="eastAsia"/>
        </w:rPr>
        <w:t>；</w:t>
      </w:r>
    </w:p>
    <w:p w14:paraId="5B951AE5">
      <w:pPr>
        <w:pStyle w:val="48"/>
        <w:ind w:firstLine="480"/>
      </w:pPr>
      <m:oMath>
        <m:sSub>
          <m:sSubPr>
            <m:ctrlPr>
              <w:rPr>
                <w:rFonts w:ascii="Cambria Math" w:hAnsi="Cambria Math"/>
              </w:rPr>
            </m:ctrlPr>
          </m:sSubPr>
          <m:e>
            <m:r>
              <m:rPr/>
              <w:rPr>
                <w:rFonts w:ascii="Cambria Math"/>
              </w:rPr>
              <m:t>T</m:t>
            </m:r>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b"/>
          </m:rPr>
          <w:rPr>
            <w:rFonts w:ascii="Cambria Math"/>
          </w:rPr>
          <m:t>u</m:t>
        </m:r>
        <m:r>
          <m:rPr/>
          <w:rPr>
            <w:rFonts w:ascii="Cambria Math"/>
          </w:rPr>
          <m:t>)</m:t>
        </m:r>
      </m:oMath>
      <w:r>
        <w:t xml:space="preserve">：该像素未被前方高斯点遮挡的概率（光线穿透率），按如下方式近似建模： </w:t>
      </w:r>
    </w:p>
    <w:p w14:paraId="0235A846">
      <w:pPr>
        <w:pStyle w:val="48"/>
        <w:ind w:firstLine="480"/>
      </w:pPr>
      <w:r>
        <w:t>此公式表示从前往后叠加的透明度，体现了前方点的遮挡作用，类似体积渲染中的光线累积透明度计算。</w:t>
      </w:r>
    </w:p>
    <w:p w14:paraId="5F853A2D">
      <w:pPr>
        <w:pStyle w:val="4"/>
        <w:spacing w:before="120"/>
      </w:pPr>
      <w:bookmarkStart w:id="45" w:name="_Toc545"/>
      <w:r>
        <w:rPr>
          <w:rFonts w:hint="eastAsia"/>
        </w:rPr>
        <w:t>4.2.2 可微渲染计算与梯度传播</w:t>
      </w:r>
      <w:bookmarkEnd w:id="45"/>
    </w:p>
    <w:p w14:paraId="1515CBC3">
      <w:pPr>
        <w:pStyle w:val="48"/>
        <w:ind w:firstLine="480"/>
      </w:pPr>
      <w:r>
        <w:rPr>
          <w:rFonts w:hint="eastAsia"/>
        </w:rPr>
        <w:t xml:space="preserve">由于上述渲染公式中每一部分（高斯投影、遮挡概率、透明度混合）均为连续可导函数，故可以对损失函数 </w:t>
      </w:r>
      <m:oMath>
        <m:r>
          <m:rPr>
            <m:scr m:val="script"/>
          </m:rPr>
          <w:rPr>
            <w:rFonts w:ascii="Cambria Math"/>
          </w:rPr>
          <m:t>ℒ</m:t>
        </m:r>
        <m:r>
          <m:rPr/>
          <w:rPr>
            <w:rFonts w:ascii="Cambria Math"/>
          </w:rPr>
          <m:t>=||</m:t>
        </m:r>
        <m:r>
          <m:rPr>
            <m:sty m:val="b"/>
          </m:rPr>
          <w:rPr>
            <w:rFonts w:ascii="Cambria Math"/>
          </w:rPr>
          <m:t>I</m:t>
        </m:r>
        <m:r>
          <m:rPr/>
          <w:rPr>
            <w:rFonts w:ascii="Cambria Math"/>
          </w:rPr>
          <m:t>(</m:t>
        </m:r>
        <m:r>
          <m:rPr>
            <m:sty m:val="b"/>
          </m:rPr>
          <w:rPr>
            <w:rFonts w:ascii="Cambria Math"/>
          </w:rPr>
          <m:t>u</m:t>
        </m:r>
        <m:r>
          <m:rPr/>
          <w:rPr>
            <w:rFonts w:ascii="Cambria Math"/>
          </w:rPr>
          <m:t>)−</m:t>
        </m:r>
        <m:sSub>
          <m:sSubPr>
            <m:ctrlPr>
              <w:rPr>
                <w:rFonts w:ascii="Cambria Math" w:hAnsi="Cambria Math"/>
              </w:rPr>
            </m:ctrlPr>
          </m:sSubPr>
          <m:e>
            <m:r>
              <m:rPr>
                <m:sty m:val="b"/>
              </m:rPr>
              <w:rPr>
                <w:rFonts w:ascii="Cambria Math"/>
              </w:rPr>
              <m:t>I</m:t>
            </m:r>
            <m:ctrlPr>
              <w:rPr>
                <w:rFonts w:ascii="Cambria Math" w:hAnsi="Cambria Math"/>
              </w:rPr>
            </m:ctrlPr>
          </m:e>
          <m:sub>
            <m:r>
              <m:rPr>
                <m:sty m:val="p"/>
              </m:rPr>
              <w:rPr>
                <w:rFonts w:ascii="Cambria Math"/>
              </w:rPr>
              <m:t>gt</m:t>
            </m:r>
            <m:ctrlPr>
              <w:rPr>
                <w:rFonts w:ascii="Cambria Math" w:hAnsi="Cambria Math"/>
              </w:rPr>
            </m:ctrlPr>
          </m:sub>
        </m:sSub>
        <m:r>
          <m:rPr/>
          <w:rPr>
            <w:rFonts w:ascii="Cambria Math"/>
          </w:rPr>
          <m:t>(</m:t>
        </m:r>
        <m:r>
          <m:rPr>
            <m:sty m:val="b"/>
          </m:rPr>
          <w:rPr>
            <w:rFonts w:ascii="Cambria Math"/>
          </w:rPr>
          <m:t>u</m:t>
        </m:r>
        <m:r>
          <m:rPr/>
          <w:rPr>
            <w:rFonts w:ascii="Cambria Math"/>
          </w:rPr>
          <m:t>)|</m:t>
        </m:r>
        <m:sSup>
          <m:sSupPr>
            <m:ctrlPr>
              <w:rPr>
                <w:rFonts w:ascii="Cambria Math" w:hAnsi="Cambria Math"/>
              </w:rPr>
            </m:ctrlPr>
          </m:sSupPr>
          <m:e>
            <m:r>
              <m:rPr/>
              <w:rPr>
                <w:rFonts w:ascii="Cambria Math"/>
              </w:rPr>
              <m:t>|</m:t>
            </m:r>
            <m:ctrlPr>
              <w:rPr>
                <w:rFonts w:ascii="Cambria Math" w:hAnsi="Cambria Math"/>
              </w:rPr>
            </m:ctrlPr>
          </m:e>
          <m:sup>
            <m:r>
              <m:rPr/>
              <w:rPr>
                <w:rFonts w:ascii="Cambria Math"/>
              </w:rPr>
              <m:t>2</m:t>
            </m:r>
            <m:ctrlPr>
              <w:rPr>
                <w:rFonts w:ascii="Cambria Math" w:hAnsi="Cambria Math"/>
              </w:rPr>
            </m:ctrlPr>
          </m:sup>
        </m:sSup>
      </m:oMath>
      <w:r>
        <w:rPr>
          <w:rFonts w:hint="eastAsia"/>
        </w:rPr>
        <w:t xml:space="preserve"> 求偏导，得到高斯点参数的梯度：</w:t>
      </w:r>
    </w:p>
    <w:p w14:paraId="0036A22E">
      <w:pPr>
        <w:pStyle w:val="48"/>
        <w:ind w:firstLine="480"/>
        <w:jc w:val="center"/>
      </w:pPr>
      <m:oMath>
        <m:f>
          <m:fPr>
            <m:ctrlPr>
              <w:rPr>
                <w:rFonts w:ascii="Cambria Math" w:hAnsi="Cambria Math"/>
                <w:i/>
              </w:rPr>
            </m:ctrlPr>
          </m:fPr>
          <m:num>
            <m:r>
              <m:rPr/>
              <w:rPr>
                <w:rFonts w:ascii="Cambria Math"/>
              </w:rPr>
              <m:t>∂</m:t>
            </m:r>
            <m:r>
              <m:rPr>
                <m:scr m:val="script"/>
              </m:rPr>
              <w:rPr>
                <w:rFonts w:ascii="Cambria Math"/>
              </w:rPr>
              <m:t>ℒ</m:t>
            </m:r>
            <m:ctrlPr>
              <w:rPr>
                <w:rFonts w:ascii="Cambria Math" w:hAnsi="Cambria Math"/>
                <w:i/>
              </w:rPr>
            </m:ctrlPr>
          </m:num>
          <m:den>
            <m:r>
              <m:rPr/>
              <w:rPr>
                <w:rFonts w:ascii="Cambria Math"/>
              </w:rPr>
              <m:t>∂</m:t>
            </m:r>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i</m:t>
                </m:r>
                <m:ctrlPr>
                  <w:rPr>
                    <w:rFonts w:ascii="Cambria Math" w:hAnsi="Cambria Math"/>
                  </w:rPr>
                </m:ctrlPr>
              </m:sub>
            </m:sSub>
            <m:ctrlPr>
              <w:rPr>
                <w:rFonts w:ascii="Cambria Math" w:hAnsi="Cambria Math"/>
              </w:rPr>
            </m:ctrlPr>
          </m:den>
        </m:f>
        <m:r>
          <m:rPr/>
          <w:rPr>
            <w:rFonts w:ascii="Cambria Math"/>
          </w:rPr>
          <m:t>,</m:t>
        </m:r>
        <m:r>
          <m:rPr>
            <m:sty m:val="p"/>
          </m:rPr>
          <w:rPr>
            <w:rFonts w:ascii="Cambria Math"/>
          </w:rPr>
          <m:t xml:space="preserve">  </m:t>
        </m:r>
        <m:f>
          <m:fPr>
            <m:ctrlPr>
              <w:rPr>
                <w:rFonts w:ascii="Cambria Math" w:hAnsi="Cambria Math"/>
                <w:i/>
              </w:rPr>
            </m:ctrlPr>
          </m:fPr>
          <m:num>
            <m:r>
              <m:rPr/>
              <w:rPr>
                <w:rFonts w:ascii="Cambria Math"/>
              </w:rPr>
              <m:t>∂</m:t>
            </m:r>
            <m:r>
              <m:rPr>
                <m:scr m:val="script"/>
              </m:rPr>
              <w:rPr>
                <w:rFonts w:ascii="Cambria Math"/>
              </w:rPr>
              <m:t>ℒ</m:t>
            </m:r>
            <m:ctrlPr>
              <w:rPr>
                <w:rFonts w:ascii="Cambria Math" w:hAnsi="Cambria Math"/>
              </w:rPr>
            </m:ctrlPr>
          </m:num>
          <m:den>
            <m:r>
              <m:rPr/>
              <w:rPr>
                <w:rFonts w:ascii="Cambria Math"/>
              </w:rPr>
              <m:t>∂</m:t>
            </m:r>
            <m:sSub>
              <m:sSubPr>
                <m:ctrlPr>
                  <w:rPr>
                    <w:rFonts w:ascii="Cambria Math" w:hAnsi="Cambria Math"/>
                  </w:rPr>
                </m:ctrlPr>
              </m:sSub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Sub>
            <m:ctrlPr>
              <w:rPr>
                <w:rFonts w:ascii="Cambria Math" w:hAnsi="Cambria Math"/>
              </w:rPr>
            </m:ctrlPr>
          </m:den>
        </m:f>
        <m:r>
          <m:rPr/>
          <w:rPr>
            <w:rFonts w:ascii="Cambria Math"/>
          </w:rPr>
          <m:t>,</m:t>
        </m:r>
        <m:r>
          <m:rPr>
            <m:sty m:val="p"/>
          </m:rPr>
          <w:rPr>
            <w:rFonts w:ascii="Cambria Math"/>
          </w:rPr>
          <m:t xml:space="preserve">  </m:t>
        </m:r>
        <m:f>
          <m:fPr>
            <m:ctrlPr>
              <w:rPr>
                <w:rFonts w:ascii="Cambria Math" w:hAnsi="Cambria Math"/>
                <w:i/>
              </w:rPr>
            </m:ctrlPr>
          </m:fPr>
          <m:num>
            <m:r>
              <m:rPr/>
              <w:rPr>
                <w:rFonts w:ascii="Cambria Math"/>
              </w:rPr>
              <m:t>∂</m:t>
            </m:r>
            <m:r>
              <m:rPr>
                <m:scr m:val="script"/>
              </m:rPr>
              <w:rPr>
                <w:rFonts w:ascii="Cambria Math"/>
              </w:rPr>
              <m:t>ℒ</m:t>
            </m:r>
            <m:ctrlPr>
              <w:rPr>
                <w:rFonts w:ascii="Cambria Math" w:hAnsi="Cambria Math"/>
              </w:rPr>
            </m:ctrlPr>
          </m:num>
          <m:den>
            <m:r>
              <m:rPr/>
              <w:rPr>
                <w:rFonts w:ascii="Cambria Math"/>
              </w:rPr>
              <m:t>∂</m:t>
            </m:r>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ctrlPr>
              <w:rPr>
                <w:rFonts w:ascii="Cambria Math" w:hAnsi="Cambria Math"/>
              </w:rPr>
            </m:ctrlPr>
          </m:den>
        </m:f>
        <m:r>
          <m:rPr/>
          <w:rPr>
            <w:rFonts w:ascii="Cambria Math"/>
          </w:rPr>
          <m:t>,</m:t>
        </m:r>
        <m:r>
          <m:rPr>
            <m:sty m:val="p"/>
          </m:rPr>
          <w:rPr>
            <w:rFonts w:ascii="Cambria Math"/>
          </w:rPr>
          <m:t xml:space="preserve">  </m:t>
        </m:r>
        <m:f>
          <m:fPr>
            <m:ctrlPr>
              <w:rPr>
                <w:rFonts w:ascii="Cambria Math" w:hAnsi="Cambria Math"/>
                <w:i/>
              </w:rPr>
            </m:ctrlPr>
          </m:fPr>
          <m:num>
            <m:r>
              <m:rPr/>
              <w:rPr>
                <w:rFonts w:ascii="Cambria Math"/>
              </w:rPr>
              <m:t>∂</m:t>
            </m:r>
            <m:r>
              <m:rPr>
                <m:scr m:val="script"/>
              </m:rPr>
              <w:rPr>
                <w:rFonts w:ascii="Cambria Math"/>
              </w:rPr>
              <m:t>ℒ</m:t>
            </m:r>
            <m:ctrlPr>
              <w:rPr>
                <w:rFonts w:ascii="Cambria Math" w:hAnsi="Cambria Math"/>
              </w:rPr>
            </m:ctrlPr>
          </m:num>
          <m:den>
            <m:r>
              <m:rPr/>
              <w:rPr>
                <w:rFonts w:ascii="Cambria Math"/>
              </w:rPr>
              <m:t>∂</m:t>
            </m:r>
            <m:sSub>
              <m:sSubPr>
                <m:ctrlPr>
                  <w:rPr>
                    <w:rFonts w:ascii="Cambria Math" w:hAnsi="Cambria Math"/>
                  </w:rPr>
                </m:ctrlPr>
              </m:sSubPr>
              <m:e>
                <m:r>
                  <m:rPr/>
                  <w:rPr>
                    <w:rFonts w:ascii="Cambria Math"/>
                  </w:rPr>
                  <m:t>α</m:t>
                </m:r>
                <m:ctrlPr>
                  <w:rPr>
                    <w:rFonts w:ascii="Cambria Math" w:hAnsi="Cambria Math"/>
                  </w:rPr>
                </m:ctrlPr>
              </m:e>
              <m:sub>
                <m:r>
                  <m:rPr/>
                  <w:rPr>
                    <w:rFonts w:ascii="Cambria Math"/>
                  </w:rPr>
                  <m:t>i</m:t>
                </m:r>
                <m:ctrlPr>
                  <w:rPr>
                    <w:rFonts w:ascii="Cambria Math" w:hAnsi="Cambria Math"/>
                  </w:rPr>
                </m:ctrlPr>
              </m:sub>
            </m:sSub>
            <m:ctrlPr>
              <w:rPr>
                <w:rFonts w:ascii="Cambria Math" w:hAnsi="Cambria Math"/>
              </w:rPr>
            </m:ctrlPr>
          </m:den>
        </m:f>
      </m:oMath>
      <w:r>
        <w:rPr>
          <w:rFonts w:hint="eastAsia"/>
        </w:rPr>
        <w:t>​</w:t>
      </w:r>
    </w:p>
    <w:p w14:paraId="4AF863E0">
      <w:pPr>
        <w:pStyle w:val="48"/>
        <w:ind w:firstLine="480"/>
      </w:pPr>
      <w:r>
        <w:rPr>
          <w:rFonts w:hint="eastAsia"/>
        </w:rPr>
        <w:t>这些梯度可以通过反向传播机制送回神经网络或优化器，用于更新模型参数。高斯点的位置调整将推动重建表面更贴近真实几何，而颜色和透明度的优化则提升了渲染图像的视觉一致性。</w:t>
      </w:r>
    </w:p>
    <w:p w14:paraId="361C65D0">
      <w:pPr>
        <w:pStyle w:val="4"/>
        <w:spacing w:before="120"/>
      </w:pPr>
      <w:bookmarkStart w:id="46" w:name="_Toc2228"/>
      <w:r>
        <w:rPr>
          <w:rFonts w:hint="eastAsia"/>
        </w:rPr>
        <w:t>4.2.3 引入球谐函数进行光照建模</w:t>
      </w:r>
      <w:bookmarkEnd w:id="46"/>
    </w:p>
    <w:p w14:paraId="7A7AB1D4">
      <w:pPr>
        <w:pStyle w:val="48"/>
        <w:ind w:firstLine="480"/>
      </w:pPr>
      <w:r>
        <w:rPr>
          <w:rFonts w:hint="eastAsia"/>
        </w:rPr>
        <w:t>在高斯泼溅方法中，为了进一步增强渲染过程中对真实光照变化的模拟，尤其是方向性反射的建模能力，研究者引入了球谐函数（Spherical Harmonics, SH）来表达每个高斯点的颜色响应与观察方向之间的关系。该方法能够在保持较低计算开销的同时有效地捕捉复杂的光照变化，成为高斯泼溅渲染中的重要组成部分。</w:t>
      </w:r>
    </w:p>
    <w:p w14:paraId="500506FA">
      <w:pPr>
        <w:pStyle w:val="48"/>
        <w:ind w:firstLine="480"/>
        <w:rPr>
          <w:rFonts w:hint="eastAsia" w:ascii="宋体" w:hAnsi="宋体" w:cs="宋体"/>
          <w:color w:val="FF0000"/>
          <w:szCs w:val="24"/>
        </w:rPr>
      </w:pPr>
      <w:r>
        <w:rPr>
          <w:rFonts w:hint="eastAsia" w:ascii="宋体" w:hAnsi="宋体" w:cs="宋体"/>
          <w:color w:val="FF0000"/>
          <w:szCs w:val="24"/>
        </w:rPr>
        <w:t>（1）</w:t>
      </w:r>
      <w:r>
        <w:rPr>
          <w:rFonts w:ascii="宋体" w:hAnsi="宋体" w:cs="宋体"/>
          <w:color w:val="FF0000"/>
          <w:szCs w:val="24"/>
        </w:rPr>
        <w:t>球谐函数概述</w:t>
      </w:r>
      <w:r>
        <w:rPr>
          <w:rFonts w:hint="eastAsia" w:ascii="宋体" w:hAnsi="宋体" w:cs="宋体"/>
          <w:color w:val="FF0000"/>
          <w:szCs w:val="24"/>
        </w:rPr>
        <w:tab/>
      </w:r>
    </w:p>
    <w:p w14:paraId="6BE9937D">
      <w:pPr>
        <w:pStyle w:val="48"/>
        <w:ind w:firstLine="0" w:firstLineChars="0"/>
        <w:rPr>
          <w:rFonts w:hint="eastAsia" w:ascii="宋体" w:hAnsi="宋体" w:cs="宋体"/>
          <w:szCs w:val="24"/>
        </w:rPr>
      </w:pPr>
      <w:r>
        <w:rPr>
          <w:rFonts w:hint="eastAsia" w:ascii="宋体" w:hAnsi="宋体" w:cs="宋体"/>
          <w:szCs w:val="24"/>
        </w:rPr>
        <w:tab/>
      </w:r>
      <w:r>
        <w:rPr>
          <w:rFonts w:hint="eastAsia" w:ascii="宋体" w:hAnsi="宋体" w:cs="宋体"/>
          <w:szCs w:val="24"/>
        </w:rPr>
        <w:t xml:space="preserve"> </w:t>
      </w:r>
      <w:r>
        <w:rPr>
          <w:rFonts w:ascii="宋体" w:hAnsi="宋体" w:cs="宋体"/>
          <w:szCs w:val="24"/>
        </w:rPr>
        <w:t>球谐函数是定义在单位球面上的一组正交函数系，可看作是傅里叶级数在球面坐标系上的推广。它们广泛用于计算机图形学、物理学、量子力学中的球面对称问题中。</w:t>
      </w:r>
    </w:p>
    <w:p w14:paraId="7ACC071C">
      <w:pPr>
        <w:pStyle w:val="48"/>
        <w:ind w:firstLine="0" w:firstLineChars="0"/>
        <w:rPr>
          <w:rFonts w:hint="eastAsia" w:ascii="宋体" w:hAnsi="宋体" w:cs="宋体"/>
          <w:szCs w:val="24"/>
        </w:rPr>
      </w:pPr>
      <w:r>
        <w:rPr>
          <w:rFonts w:ascii="宋体" w:hAnsi="宋体" w:cs="宋体"/>
          <w:szCs w:val="24"/>
        </w:rPr>
        <w:t>球谐函数的标准形式为：</w:t>
      </w:r>
    </w:p>
    <w:p w14:paraId="0039C22C">
      <w:pPr>
        <w:pStyle w:val="48"/>
        <w:ind w:firstLine="0" w:firstLineChars="0"/>
        <w:rPr>
          <w:rFonts w:hAnsi="Cambria Math"/>
        </w:rPr>
      </w:pPr>
      <m:oMathPara>
        <m:oMath>
          <m:sSubSup>
            <m:sSubSupPr>
              <m:ctrlPr>
                <w:rPr>
                  <w:rFonts w:ascii="Cambria Math" w:hAnsi="Cambria Math"/>
                </w:rPr>
              </m:ctrlPr>
            </m:sSubSupPr>
            <m:e>
              <m:r>
                <m:rPr/>
                <w:rPr>
                  <w:rFonts w:ascii="Cambria Math" w:hAnsi="Cambria Math"/>
                </w:rPr>
                <m:t>Y</m:t>
              </m:r>
              <m:ctrlPr>
                <w:rPr>
                  <w:rFonts w:ascii="Cambria Math" w:hAnsi="Cambria Math"/>
                </w:rPr>
              </m:ctrlPr>
            </m:e>
            <m:sub>
              <m:r>
                <m:rPr/>
                <w:rPr>
                  <w:rFonts w:ascii="Cambria Math" w:hAnsi="Cambria Math"/>
                </w:rPr>
                <m:t>l</m:t>
              </m:r>
              <m:ctrlPr>
                <w:rPr>
                  <w:rFonts w:ascii="Cambria Math" w:hAnsi="Cambria Math"/>
                </w:rPr>
              </m:ctrlPr>
            </m:sub>
            <m:sup>
              <m:r>
                <m:rPr/>
                <w:rPr>
                  <w:rFonts w:ascii="Cambria Math" w:hAnsi="Cambria Math"/>
                </w:rPr>
                <m:t>m</m:t>
              </m:r>
              <m:ctrlPr>
                <w:rPr>
                  <w:rFonts w:ascii="Cambria Math" w:hAnsi="Cambria Math"/>
                </w:rPr>
              </m:ctrlPr>
            </m:sup>
          </m:sSubSup>
          <m:r>
            <m:rPr/>
            <w:rPr>
              <w:rFonts w:ascii="Cambria Math" w:hAnsi="Cambria Math"/>
            </w:rPr>
            <m:t>(θ,ϕ)=</m:t>
          </m:r>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l</m:t>
              </m:r>
              <m:ctrlPr>
                <w:rPr>
                  <w:rFonts w:ascii="Cambria Math" w:hAnsi="Cambria Math"/>
                </w:rPr>
              </m:ctrlPr>
            </m:sub>
            <m:sup>
              <m:r>
                <m:rPr/>
                <w:rPr>
                  <w:rFonts w:ascii="Cambria Math" w:hAnsi="Cambria Math"/>
                </w:rPr>
                <m:t>m</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P</m:t>
              </m:r>
              <m:ctrlPr>
                <w:rPr>
                  <w:rFonts w:ascii="Cambria Math" w:hAnsi="Cambria Math"/>
                </w:rPr>
              </m:ctrlPr>
            </m:e>
            <m:sub>
              <m:r>
                <m:rPr/>
                <w:rPr>
                  <w:rFonts w:ascii="Cambria Math" w:hAnsi="Cambria Math"/>
                </w:rPr>
                <m:t>l</m:t>
              </m:r>
              <m:ctrlPr>
                <w:rPr>
                  <w:rFonts w:ascii="Cambria Math" w:hAnsi="Cambria Math"/>
                </w:rPr>
              </m:ctrlPr>
            </m:sub>
            <m:sup>
              <m:r>
                <m:rPr/>
                <w:rPr>
                  <w:rFonts w:ascii="Cambria Math" w:hAnsi="Cambria Math"/>
                </w:rPr>
                <m:t>m</m:t>
              </m:r>
              <m:ctrlPr>
                <w:rPr>
                  <w:rFonts w:ascii="Cambria Math" w:hAnsi="Cambria Math"/>
                </w:rPr>
              </m:ctrlPr>
            </m:sup>
          </m:sSubSup>
          <m:r>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w:rPr>
                  <w:rFonts w:ascii="Cambria Math" w:hAnsi="Cambria Math"/>
                </w:rPr>
                <m:t>θ</m:t>
              </m:r>
              <m:ctrlPr>
                <w:rPr>
                  <w:rFonts w:ascii="Cambria Math" w:hAnsi="Cambria Math"/>
                </w:rPr>
              </m:ctrlPr>
            </m:e>
          </m:func>
          <m:r>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imϕ</m:t>
              </m:r>
              <m:ctrlPr>
                <w:rPr>
                  <w:rFonts w:ascii="Cambria Math" w:hAnsi="Cambria Math"/>
                </w:rPr>
              </m:ctrlPr>
            </m:sup>
          </m:sSup>
        </m:oMath>
      </m:oMathPara>
    </w:p>
    <w:p w14:paraId="42DAD558">
      <w:pPr>
        <w:pStyle w:val="48"/>
        <w:ind w:firstLine="0" w:firstLineChars="0"/>
        <w:rPr>
          <w:rFonts w:hAnsi="Cambria Math"/>
        </w:rPr>
      </w:pPr>
      <w:r>
        <w:rPr>
          <w:rFonts w:hAnsi="Cambria Math"/>
        </w:rPr>
        <w:t>其中：</w:t>
      </w:r>
    </w:p>
    <w:p w14:paraId="6037761F">
      <w:pPr>
        <w:pStyle w:val="48"/>
        <w:ind w:firstLine="0" w:firstLineChars="0"/>
        <w:rPr>
          <w:rFonts w:hAnsi="Cambria Math"/>
        </w:rPr>
      </w:pPr>
      <m:oMath>
        <m:r>
          <m:rPr/>
          <w:rPr>
            <w:rFonts w:ascii="Cambria Math" w:hAnsi="Cambria Math"/>
          </w:rPr>
          <m:t>l∈</m:t>
        </m:r>
        <m:sSub>
          <m:sSubPr>
            <m:ctrlPr>
              <w:rPr>
                <w:rFonts w:ascii="Cambria Math" w:hAnsi="Cambria Math"/>
              </w:rPr>
            </m:ctrlPr>
          </m:sSubPr>
          <m:e>
            <m:r>
              <m:rPr>
                <m:scr m:val="double-struck"/>
              </m:rPr>
              <w:rPr>
                <w:rFonts w:ascii="Cambria Math" w:hAnsi="Cambria Math" w:eastAsia="MS Mincho"/>
              </w:rPr>
              <m:t>ℕ</m:t>
            </m:r>
            <m:ctrlPr>
              <w:rPr>
                <w:rFonts w:ascii="Cambria Math" w:hAnsi="Cambria Math"/>
              </w:rPr>
            </m:ctrlPr>
          </m:e>
          <m:sub>
            <m:r>
              <m:rPr/>
              <w:rPr>
                <w:rFonts w:ascii="Cambria Math" w:hAnsi="Cambria Math"/>
              </w:rPr>
              <m:t>0</m:t>
            </m:r>
            <m:ctrlPr>
              <w:rPr>
                <w:rFonts w:ascii="Cambria Math" w:hAnsi="Cambria Math"/>
              </w:rPr>
            </m:ctrlPr>
          </m:sub>
        </m:sSub>
      </m:oMath>
      <w:r>
        <w:rPr>
          <w:rFonts w:hAnsi="Cambria Math"/>
        </w:rPr>
        <w:t>：阶数，表示频率层次；</w:t>
      </w:r>
    </w:p>
    <w:p w14:paraId="4ABB73BB">
      <w:pPr>
        <w:pStyle w:val="48"/>
        <w:ind w:firstLine="0" w:firstLineChars="0"/>
        <w:rPr>
          <w:rFonts w:hAnsi="Cambria Math"/>
        </w:rPr>
      </w:pPr>
      <m:oMath>
        <m:r>
          <m:rPr/>
          <w:rPr>
            <w:rFonts w:ascii="Cambria Math" w:hAnsi="Cambria Math"/>
          </w:rPr>
          <m:t>m∈[−l,l]</m:t>
        </m:r>
      </m:oMath>
      <w:r>
        <w:rPr>
          <w:rFonts w:hAnsi="Cambria Math"/>
        </w:rPr>
        <w:t>：次数；</w:t>
      </w:r>
    </w:p>
    <w:p w14:paraId="14539910">
      <w:pPr>
        <w:pStyle w:val="48"/>
        <w:ind w:firstLine="0" w:firstLineChars="0"/>
        <w:rPr>
          <w:rFonts w:hAnsi="Cambria Math"/>
        </w:rPr>
      </w:pPr>
      <m:oMath>
        <m:r>
          <m:rPr/>
          <w:rPr>
            <w:rFonts w:ascii="Cambria Math" w:hAnsi="Cambria Math"/>
          </w:rPr>
          <m:t>θ∈[0,π]</m:t>
        </m:r>
        <m:r>
          <m:rPr>
            <m:sty m:val="p"/>
          </m:rPr>
          <w:rPr>
            <w:rFonts w:ascii="Cambria Math" w:hAnsi="Cambria Math"/>
          </w:rPr>
          <m:t>、</m:t>
        </m:r>
        <m:r>
          <m:rPr/>
          <w:rPr>
            <w:rFonts w:ascii="Cambria Math" w:hAnsi="Cambria Math"/>
          </w:rPr>
          <m:t>ϕ∈[0,2π]</m:t>
        </m:r>
      </m:oMath>
      <w:r>
        <w:rPr>
          <w:rFonts w:hAnsi="Cambria Math"/>
        </w:rPr>
        <w:t>：分别为球坐标系中的极角（zenith）与方位角（azimuth）；</w:t>
      </w:r>
    </w:p>
    <w:p w14:paraId="6623C344">
      <w:pPr>
        <w:pStyle w:val="48"/>
        <w:ind w:firstLine="0" w:firstLineChars="0"/>
        <w:rPr>
          <w:rFonts w:hAnsi="Cambria Math"/>
        </w:rPr>
      </w:pPr>
      <m:oMath>
        <m:sSubSup>
          <m:sSubSupPr>
            <m:ctrlPr>
              <w:rPr>
                <w:rFonts w:ascii="Cambria Math" w:hAnsi="Cambria Math"/>
              </w:rPr>
            </m:ctrlPr>
          </m:sSubSupPr>
          <m:e>
            <m:r>
              <m:rPr/>
              <w:rPr>
                <w:rFonts w:ascii="Cambria Math" w:hAnsi="Cambria Math"/>
              </w:rPr>
              <m:t>P</m:t>
            </m:r>
            <m:ctrlPr>
              <w:rPr>
                <w:rFonts w:ascii="Cambria Math" w:hAnsi="Cambria Math"/>
              </w:rPr>
            </m:ctrlPr>
          </m:e>
          <m:sub>
            <m:r>
              <m:rPr/>
              <w:rPr>
                <w:rFonts w:ascii="Cambria Math" w:hAnsi="Cambria Math"/>
              </w:rPr>
              <m:t>l</m:t>
            </m:r>
            <m:ctrlPr>
              <w:rPr>
                <w:rFonts w:ascii="Cambria Math" w:hAnsi="Cambria Math"/>
              </w:rPr>
            </m:ctrlPr>
          </m:sub>
          <m:sup>
            <m:r>
              <m:rPr/>
              <w:rPr>
                <w:rFonts w:ascii="Cambria Math" w:hAnsi="Cambria Math"/>
              </w:rPr>
              <m:t>m</m:t>
            </m:r>
            <m:ctrlPr>
              <w:rPr>
                <w:rFonts w:ascii="Cambria Math" w:hAnsi="Cambria Math"/>
              </w:rPr>
            </m:ctrlPr>
          </m:sup>
        </m:sSubSup>
      </m:oMath>
      <w:r>
        <w:rPr>
          <w:rFonts w:hAnsi="Cambria Math"/>
        </w:rPr>
        <w:t>​：关联勒让德多项式；</w:t>
      </w:r>
    </w:p>
    <w:p w14:paraId="0506FA59">
      <w:pPr>
        <w:pStyle w:val="48"/>
        <w:ind w:firstLine="0" w:firstLineChars="0"/>
        <w:rPr>
          <w:rFonts w:hAnsi="Cambria Math"/>
        </w:rPr>
      </w:pPr>
      <m:oMath>
        <m:sSubSup>
          <m:sSubSupPr>
            <m:ctrlPr>
              <w:rPr>
                <w:rFonts w:ascii="Cambria Math" w:hAnsi="Cambria Math"/>
              </w:rPr>
            </m:ctrlPr>
          </m:sSubSupPr>
          <m:e>
            <m:r>
              <m:rPr/>
              <w:rPr>
                <w:rFonts w:ascii="Cambria Math" w:hAnsi="Cambria Math"/>
              </w:rPr>
              <m:t>N</m:t>
            </m:r>
            <m:ctrlPr>
              <w:rPr>
                <w:rFonts w:ascii="Cambria Math" w:hAnsi="Cambria Math"/>
              </w:rPr>
            </m:ctrlPr>
          </m:e>
          <m:sub>
            <m:r>
              <m:rPr/>
              <w:rPr>
                <w:rFonts w:ascii="Cambria Math" w:hAnsi="Cambria Math"/>
              </w:rPr>
              <m:t>l</m:t>
            </m:r>
            <m:ctrlPr>
              <w:rPr>
                <w:rFonts w:ascii="Cambria Math" w:hAnsi="Cambria Math"/>
              </w:rPr>
            </m:ctrlPr>
          </m:sub>
          <m:sup>
            <m:r>
              <m:rPr/>
              <w:rPr>
                <w:rFonts w:ascii="Cambria Math" w:hAnsi="Cambria Math"/>
              </w:rPr>
              <m:t>m</m:t>
            </m:r>
            <m:ctrlPr>
              <w:rPr>
                <w:rFonts w:ascii="Cambria Math" w:hAnsi="Cambria Math"/>
              </w:rPr>
            </m:ctrlPr>
          </m:sup>
        </m:sSubSup>
      </m:oMath>
      <w:r>
        <w:rPr>
          <w:rFonts w:hAnsi="Cambria Math"/>
        </w:rPr>
        <w:t>​：归一化系数，确保函数正交性。</w:t>
      </w:r>
    </w:p>
    <w:p w14:paraId="77BED85C">
      <w:pPr>
        <w:pStyle w:val="48"/>
        <w:ind w:firstLine="480"/>
        <w:rPr>
          <w:rFonts w:hAnsi="Cambria Math"/>
        </w:rPr>
      </w:pPr>
      <w:r>
        <w:rPr>
          <w:rFonts w:hint="eastAsia" w:hAnsi="Cambria Math"/>
        </w:rPr>
        <w:t>球谐函数具有如下重要性质：</w:t>
      </w:r>
    </w:p>
    <w:p w14:paraId="6F7F2BD1">
      <w:pPr>
        <w:pStyle w:val="48"/>
        <w:ind w:firstLine="480"/>
        <w:rPr>
          <w:rFonts w:hAnsi="Cambria Math"/>
        </w:rPr>
      </w:pPr>
      <w:r>
        <w:rPr>
          <w:rFonts w:hint="eastAsia" w:ascii="宋体" w:hAnsi="宋体"/>
        </w:rPr>
        <w:t xml:space="preserve">① </w:t>
      </w:r>
      <w:r>
        <w:rPr>
          <w:rFonts w:hint="eastAsia" w:hAnsi="Cambria Math"/>
        </w:rPr>
        <w:t xml:space="preserve">完备性：任意在球面上的连续函数 </w:t>
      </w:r>
      <m:oMath>
        <m:r>
          <m:rPr/>
          <w:rPr>
            <w:rFonts w:ascii="Cambria Math" w:hAnsi="Cambria Math"/>
          </w:rPr>
          <m:t>f(θ,ϕ)</m:t>
        </m:r>
      </m:oMath>
      <w:r>
        <w:rPr>
          <w:rFonts w:hint="eastAsia" w:hAnsi="Cambria Math"/>
        </w:rPr>
        <w:t xml:space="preserve"> 都可以展开为球谐函数的加权和；</w:t>
      </w:r>
    </w:p>
    <w:p w14:paraId="7CC0EE6D">
      <w:pPr>
        <w:pStyle w:val="48"/>
        <w:ind w:firstLine="0" w:firstLineChars="0"/>
        <w:rPr>
          <w:rFonts w:hAnsi="Cambria Math"/>
        </w:rPr>
      </w:pPr>
    </w:p>
    <w:p w14:paraId="461238AA">
      <w:pPr>
        <w:pStyle w:val="48"/>
        <w:ind w:firstLine="480"/>
        <w:rPr>
          <w:rFonts w:hAnsi="Cambria Math"/>
        </w:rPr>
      </w:pPr>
      <w:r>
        <w:rPr>
          <w:rFonts w:hint="eastAsia" w:ascii="隶书" w:hAnsi="Cambria Math" w:eastAsia="隶书"/>
        </w:rPr>
        <w:t>②</w:t>
      </w:r>
      <w:r>
        <w:rPr>
          <w:rFonts w:hAnsi="Cambria Math"/>
        </w:rPr>
        <w:t xml:space="preserve"> </w:t>
      </w:r>
      <w:r>
        <w:rPr>
          <w:rFonts w:hint="eastAsia" w:hAnsi="Cambria Math"/>
        </w:rPr>
        <w:t>方向建模能力：能够表示随方向变化的函数（如反射、光照）；</w:t>
      </w:r>
    </w:p>
    <w:p w14:paraId="4414BBB5">
      <w:pPr>
        <w:pStyle w:val="48"/>
        <w:ind w:firstLine="480"/>
        <w:rPr>
          <w:rFonts w:hAnsi="Cambria Math"/>
        </w:rPr>
      </w:pPr>
      <w:r>
        <w:rPr>
          <w:rFonts w:hint="eastAsia" w:ascii="隶书" w:hAnsi="Cambria Math" w:eastAsia="隶书"/>
        </w:rPr>
        <w:t>③</w:t>
      </w:r>
      <w:r>
        <w:rPr>
          <w:rFonts w:hint="eastAsia" w:hAnsi="Cambria Math"/>
        </w:rPr>
        <w:t xml:space="preserve"> 低频有效性：在渲染中常用 </w:t>
      </w:r>
      <m:oMath>
        <m:r>
          <m:rPr/>
          <w:rPr>
            <w:rFonts w:ascii="Cambria Math" w:hAnsi="Cambria Math"/>
          </w:rPr>
          <m:t>l=0∼2</m:t>
        </m:r>
      </m:oMath>
      <w:r>
        <w:rPr>
          <w:rFonts w:hint="eastAsia" w:hAnsi="Cambria Math"/>
        </w:rPr>
        <w:t>的低阶球谐来逼近光照与反射函数，计算高效且表达力强。</w:t>
      </w:r>
    </w:p>
    <w:p w14:paraId="6A71E272">
      <w:pPr>
        <w:pStyle w:val="48"/>
        <w:ind w:firstLine="0" w:firstLineChars="0"/>
        <w:jc w:val="center"/>
      </w:pPr>
      <w:r>
        <w:drawing>
          <wp:inline distT="0" distB="0" distL="114300" distR="114300">
            <wp:extent cx="3134995" cy="1948815"/>
            <wp:effectExtent l="0" t="0" r="635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3134995" cy="1948815"/>
                    </a:xfrm>
                    <a:prstGeom prst="rect">
                      <a:avLst/>
                    </a:prstGeom>
                    <a:noFill/>
                    <a:ln>
                      <a:noFill/>
                    </a:ln>
                  </pic:spPr>
                </pic:pic>
              </a:graphicData>
            </a:graphic>
          </wp:inline>
        </w:drawing>
      </w:r>
    </w:p>
    <w:p w14:paraId="2E092B7F">
      <w:pPr>
        <w:pStyle w:val="48"/>
        <w:ind w:firstLine="0" w:firstLineChars="0"/>
        <w:jc w:val="center"/>
      </w:pPr>
      <w:r>
        <w:rPr>
          <w:rFonts w:hint="eastAsia"/>
        </w:rPr>
        <w:tab/>
      </w:r>
      <w:r>
        <w:rPr>
          <w:rFonts w:hint="eastAsia"/>
        </w:rPr>
        <w:t>图4.1 球谐函数示意图</w:t>
      </w:r>
    </w:p>
    <w:p w14:paraId="30D6792F">
      <w:pPr>
        <w:pStyle w:val="48"/>
        <w:ind w:firstLine="480"/>
        <w:rPr>
          <w:rFonts w:hAnsi="Cambria Math"/>
        </w:rPr>
      </w:pPr>
      <w:r>
        <w:rPr>
          <w:rFonts w:hint="eastAsia" w:hAnsi="Cambria Math"/>
          <w:color w:val="FF0000"/>
        </w:rPr>
        <w:t>（2）球谐函数在3DGS中的应用</w:t>
      </w:r>
    </w:p>
    <w:p w14:paraId="2EF3D5F2">
      <w:pPr>
        <w:pStyle w:val="48"/>
        <w:ind w:firstLine="0" w:firstLineChars="0"/>
        <w:rPr>
          <w:rFonts w:hAnsi="Cambria Math"/>
        </w:rPr>
      </w:pPr>
      <w:r>
        <w:rPr>
          <w:rFonts w:hint="eastAsia" w:hAnsi="Cambria Math"/>
        </w:rPr>
        <w:tab/>
      </w:r>
      <w:r>
        <w:rPr>
          <w:rFonts w:hint="eastAsia" w:hAnsi="Cambria Math"/>
        </w:rPr>
        <w:t xml:space="preserve"> 在高斯泼溅的可微渲染中，每个高斯点不仅携带一个静态颜色 </w:t>
      </w:r>
      <m:oMath>
        <m:sSub>
          <m:sSubPr>
            <m:ctrlPr>
              <w:rPr>
                <w:rFonts w:ascii="Cambria Math" w:hAnsi="Cambria Math"/>
              </w:rPr>
            </m:ctrlPr>
          </m:sSubPr>
          <m:e>
            <m:r>
              <m:rPr>
                <m:sty m:val="b"/>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r>
          <m:rPr/>
          <w:rPr>
            <w:rFonts w:ascii="Cambria Math" w:hAnsi="Cambria Math"/>
          </w:rPr>
          <m:t>∈</m:t>
        </m:r>
        <m:sSup>
          <m:sSupPr>
            <m:ctrlPr>
              <w:rPr>
                <w:rFonts w:ascii="Cambria Math" w:hAnsi="Cambria Math"/>
              </w:rPr>
            </m:ctrlPr>
          </m:sSupPr>
          <m:e>
            <m:r>
              <m:rPr>
                <m:scr m:val="double-struck"/>
              </m:rPr>
              <w:rPr>
                <w:rFonts w:ascii="Cambria Math" w:hAnsi="Cambria Math" w:eastAsia="MS Mincho"/>
              </w:rPr>
              <m:t>ℝ</m:t>
            </m:r>
            <m:ctrlPr>
              <w:rPr>
                <w:rFonts w:ascii="Cambria Math" w:hAnsi="Cambria Math"/>
              </w:rPr>
            </m:ctrlPr>
          </m:e>
          <m:sup>
            <m:r>
              <m:rPr/>
              <w:rPr>
                <w:rFonts w:ascii="Cambria Math" w:hAnsi="Cambria Math"/>
              </w:rPr>
              <m:t>3</m:t>
            </m:r>
            <m:ctrlPr>
              <w:rPr>
                <w:rFonts w:ascii="Cambria Math" w:hAnsi="Cambria Math"/>
              </w:rPr>
            </m:ctrlPr>
          </m:sup>
        </m:sSup>
      </m:oMath>
      <w:r>
        <w:rPr>
          <w:rFonts w:hint="eastAsia" w:hAnsi="Cambria Math"/>
        </w:rPr>
        <w:t xml:space="preserve">，而是拥有一组用于描述方向性反射的球谐系数 </w:t>
      </w:r>
      <m:oMath>
        <m:sSubSup>
          <m:sSubSupPr>
            <m:ctrlPr>
              <w:rPr>
                <w:rFonts w:ascii="Cambria Math" w:hAnsi="Cambria Math"/>
              </w:rPr>
            </m:ctrlPr>
          </m:sSubSupPr>
          <m:e>
            <m:r>
              <m:rPr>
                <m:sty m:val="b"/>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up>
            <m:r>
              <m:rPr/>
              <w:rPr>
                <w:rFonts w:ascii="Cambria Math" w:hAnsi="Cambria Math"/>
              </w:rPr>
              <m:t>SH</m:t>
            </m:r>
            <m:ctrlPr>
              <w:rPr>
                <w:rFonts w:ascii="Cambria Math" w:hAnsi="Cambria Math"/>
              </w:rPr>
            </m:ctrlPr>
          </m:sup>
        </m:sSubSup>
        <m:r>
          <m:rPr/>
          <w:rPr>
            <w:rFonts w:ascii="Cambria Math" w:hAnsi="Cambria Math"/>
          </w:rPr>
          <m:t>={</m:t>
        </m:r>
        <m:sSubSup>
          <m:sSubSupPr>
            <m:ctrlPr>
              <w:rPr>
                <w:rFonts w:ascii="Cambria Math" w:hAnsi="Cambria Math"/>
              </w:rPr>
            </m:ctrlPr>
          </m:sSubSupPr>
          <m:e>
            <m:r>
              <m:rPr/>
              <w:rPr>
                <w:rFonts w:ascii="Cambria Math" w:hAnsi="Cambria Math"/>
              </w:rPr>
              <m:t>c</m:t>
            </m:r>
            <m:ctrlPr>
              <w:rPr>
                <w:rFonts w:ascii="Cambria Math" w:hAnsi="Cambria Math"/>
              </w:rPr>
            </m:ctrlPr>
          </m:e>
          <m:sub>
            <m:r>
              <m:rPr/>
              <w:rPr>
                <w:rFonts w:ascii="Cambria Math" w:hAnsi="Cambria Math"/>
              </w:rPr>
              <m:t>lm</m:t>
            </m:r>
            <m:ctrlPr>
              <w:rPr>
                <w:rFonts w:ascii="Cambria Math" w:hAnsi="Cambria Math"/>
              </w:rPr>
            </m:ctrlPr>
          </m:sub>
          <m:sup>
            <m:r>
              <m:rPr/>
              <w:rPr>
                <w:rFonts w:ascii="Cambria Math" w:hAnsi="Cambria Math"/>
              </w:rPr>
              <m:t>i</m:t>
            </m:r>
            <m:ctrlPr>
              <w:rPr>
                <w:rFonts w:ascii="Cambria Math" w:hAnsi="Cambria Math"/>
              </w:rPr>
            </m:ctrlPr>
          </m:sup>
        </m:sSubSup>
        <m:r>
          <m:rPr/>
          <w:rPr>
            <w:rFonts w:ascii="Cambria Math" w:hAnsi="Cambria Math"/>
          </w:rPr>
          <m:t>}</m:t>
        </m:r>
      </m:oMath>
      <w:r>
        <w:rPr>
          <w:rFonts w:hint="eastAsia" w:hAnsi="Cambria Math"/>
        </w:rPr>
        <w:t xml:space="preserve">。渲染时，针对当前像素的视角方向 </w:t>
      </w:r>
      <m:oMath>
        <m:r>
          <m:rPr>
            <m:sty m:val="b"/>
          </m:rPr>
          <w:rPr>
            <w:rFonts w:ascii="Cambria Math" w:hAnsi="Cambria Math"/>
          </w:rPr>
          <m:t>v</m:t>
        </m:r>
      </m:oMath>
      <w:r>
        <w:rPr>
          <w:rFonts w:hint="eastAsia" w:hAnsi="Cambria Math"/>
        </w:rPr>
        <w:t xml:space="preserve">，我们用其在单位球面上的方向向量 </w:t>
      </w:r>
      <m:oMath>
        <m:r>
          <m:rPr/>
          <w:rPr>
            <w:rFonts w:ascii="Cambria Math" w:hAnsi="Cambria Math"/>
          </w:rPr>
          <m:t>(θ,ϕ)</m:t>
        </m:r>
      </m:oMath>
      <w:r>
        <w:rPr>
          <w:rFonts w:hint="eastAsia" w:hAnsi="Cambria Math"/>
        </w:rPr>
        <w:t xml:space="preserve"> 作为自变量，计算该点在该方向下的颜色响应：</w:t>
      </w:r>
    </w:p>
    <w:p w14:paraId="5B635E88">
      <w:pPr>
        <w:pStyle w:val="48"/>
        <w:ind w:firstLine="480"/>
      </w:pPr>
      <w:r>
        <w:rPr>
          <w:rFonts w:hint="eastAsia"/>
        </w:rPr>
        <w:t>具体做法是引入球谐函数（Spherical Harmonics, SH） 作为点的颜色表示的一部分：</w:t>
      </w:r>
    </w:p>
    <w:p w14:paraId="0E2E7B66">
      <w:pPr>
        <w:pStyle w:val="48"/>
        <w:ind w:firstLine="480"/>
        <w:jc w:val="center"/>
      </w:pPr>
      <w:commentRangeStart w:id="20"/>
      <m:oMathPara>
        <m:oMath>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b"/>
            </m:rPr>
            <w:rPr>
              <w:rFonts w:ascii="Cambria Math"/>
            </w:rPr>
            <m:t>n</m:t>
          </m:r>
          <m:r>
            <m:rPr/>
            <w:rPr>
              <w:rFonts w:ascii="Cambria Math"/>
            </w:rPr>
            <m:t>)=</m:t>
          </m:r>
          <m:nary>
            <m:naryPr>
              <m:chr m:val="∑"/>
              <m:limLoc m:val="undOvr"/>
              <m:ctrlPr>
                <w:rPr>
                  <w:rFonts w:ascii="Cambria Math" w:hAnsi="Cambria Math"/>
                </w:rPr>
              </m:ctrlPr>
            </m:naryPr>
            <m:sub>
              <m:r>
                <m:rPr/>
                <w:rPr>
                  <w:rFonts w:ascii="Cambria Math"/>
                </w:rPr>
                <m:t>l=0</m:t>
              </m:r>
              <m:ctrlPr>
                <w:rPr>
                  <w:rFonts w:ascii="Cambria Math" w:hAnsi="Cambria Math"/>
                </w:rPr>
              </m:ctrlPr>
            </m:sub>
            <m:sup>
              <m:r>
                <m:rPr/>
                <w:rPr>
                  <w:rFonts w:ascii="Cambria Math"/>
                </w:rPr>
                <m:t>L</m:t>
              </m:r>
              <m:ctrlPr>
                <w:rPr>
                  <w:rFonts w:ascii="Cambria Math" w:hAnsi="Cambria Math"/>
                </w:rPr>
              </m:ctrlPr>
            </m:sup>
            <m:e>
              <m:nary>
                <m:naryPr>
                  <m:chr m:val="∑"/>
                  <m:limLoc m:val="undOvr"/>
                  <m:ctrlPr>
                    <w:rPr>
                      <w:rFonts w:ascii="Cambria Math" w:hAnsi="Cambria Math"/>
                    </w:rPr>
                  </m:ctrlPr>
                </m:naryPr>
                <m:sub>
                  <m:r>
                    <m:rPr/>
                    <w:rPr>
                      <w:rFonts w:ascii="Cambria Math"/>
                    </w:rPr>
                    <m:t>m=−l</m:t>
                  </m:r>
                  <m:ctrlPr>
                    <w:rPr>
                      <w:rFonts w:ascii="Cambria Math" w:hAnsi="Cambria Math"/>
                    </w:rPr>
                  </m:ctrlPr>
                </m:sub>
                <m:sup>
                  <m:r>
                    <m:rPr/>
                    <w:rPr>
                      <w:rFonts w:ascii="Cambria Math"/>
                    </w:rPr>
                    <m:t>l</m:t>
                  </m:r>
                  <m:ctrlPr>
                    <w:rPr>
                      <w:rFonts w:ascii="Cambria Math" w:hAnsi="Cambria Math"/>
                    </w:rPr>
                  </m:ctrlPr>
                </m:sup>
                <m:e>
                  <m:sSubSup>
                    <m:sSubSupPr>
                      <m:ctrlPr>
                        <w:rPr>
                          <w:rFonts w:ascii="Cambria Math" w:hAnsi="Cambria Math"/>
                        </w:rPr>
                      </m:ctrlPr>
                    </m:sSubSupPr>
                    <m:e>
                      <m:r>
                        <m:rPr/>
                        <w:rPr>
                          <w:rFonts w:ascii="Cambria Math"/>
                        </w:rPr>
                        <m:t>c</m:t>
                      </m:r>
                      <m:ctrlPr>
                        <w:rPr>
                          <w:rFonts w:ascii="Cambria Math" w:hAnsi="Cambria Math"/>
                        </w:rPr>
                      </m:ctrlPr>
                    </m:e>
                    <m:sub>
                      <m:r>
                        <m:rPr/>
                        <w:rPr>
                          <w:rFonts w:ascii="Cambria Math"/>
                        </w:rPr>
                        <m:t>lm</m:t>
                      </m:r>
                      <m:ctrlPr>
                        <w:rPr>
                          <w:rFonts w:ascii="Cambria Math" w:hAnsi="Cambria Math"/>
                        </w:rPr>
                      </m:ctrlPr>
                    </m:sub>
                    <m:sup>
                      <m:r>
                        <m:rPr/>
                        <w:rPr>
                          <w:rFonts w:ascii="Cambria Math"/>
                        </w:rPr>
                        <m:t>i</m:t>
                      </m:r>
                      <m:ctrlPr>
                        <w:rPr>
                          <w:rFonts w:ascii="Cambria Math" w:hAnsi="Cambria Math"/>
                        </w:rPr>
                      </m:ctrlPr>
                    </m:sup>
                  </m:sSubSup>
                  <m:ctrlPr>
                    <w:rPr>
                      <w:rFonts w:ascii="Cambria Math" w:hAnsi="Cambria Math"/>
                    </w:rPr>
                  </m:ctrlPr>
                </m:e>
              </m:nary>
              <m:ctrlPr>
                <w:rPr>
                  <w:rFonts w:ascii="Cambria Math" w:hAnsi="Cambria Math"/>
                </w:rPr>
              </m:ctrlPr>
            </m:e>
          </m:nary>
          <m:sSub>
            <m:sSubPr>
              <m:ctrlPr>
                <w:rPr>
                  <w:rFonts w:ascii="Cambria Math" w:hAnsi="Cambria Math"/>
                </w:rPr>
              </m:ctrlPr>
            </m:sSubPr>
            <m:e>
              <m:r>
                <m:rPr/>
                <w:rPr>
                  <w:rFonts w:ascii="Cambria Math"/>
                </w:rPr>
                <m:t>Y</m:t>
              </m:r>
              <m:ctrlPr>
                <w:rPr>
                  <w:rFonts w:ascii="Cambria Math" w:hAnsi="Cambria Math"/>
                </w:rPr>
              </m:ctrlPr>
            </m:e>
            <m:sub>
              <m:r>
                <m:rPr/>
                <w:rPr>
                  <w:rFonts w:ascii="Cambria Math"/>
                </w:rPr>
                <m:t>lm</m:t>
              </m:r>
              <m:ctrlPr>
                <w:rPr>
                  <w:rFonts w:ascii="Cambria Math" w:hAnsi="Cambria Math"/>
                </w:rPr>
              </m:ctrlPr>
            </m:sub>
          </m:sSub>
          <m:r>
            <m:rPr/>
            <w:rPr>
              <w:rFonts w:ascii="Cambria Math"/>
            </w:rPr>
            <m:t>(</m:t>
          </m:r>
          <m:r>
            <m:rPr>
              <m:sty m:val="b"/>
            </m:rPr>
            <w:rPr>
              <w:rFonts w:ascii="Cambria Math"/>
            </w:rPr>
            <m:t>n</m:t>
          </m:r>
          <m:r>
            <m:rPr/>
            <w:rPr>
              <w:rFonts w:ascii="Cambria Math"/>
            </w:rPr>
            <m:t>)</m:t>
          </m:r>
          <w:commentRangeEnd w:id="20"/>
          <m:r>
            <m:rPr>
              <m:sty m:val="p"/>
            </m:rPr>
            <w:rPr>
              <w:rStyle w:val="29"/>
            </w:rPr>
            <w:commentReference w:id="20"/>
          </m:r>
        </m:oMath>
      </m:oMathPara>
    </w:p>
    <w:p w14:paraId="2840B26D">
      <w:pPr>
        <w:pStyle w:val="48"/>
        <w:ind w:firstLine="0" w:firstLineChars="0"/>
      </w:pPr>
      <w:r>
        <w:rPr>
          <w:rFonts w:hint="eastAsia"/>
        </w:rPr>
        <w:t>其中：</w:t>
      </w:r>
    </w:p>
    <w:p w14:paraId="5509C62E">
      <w:pPr>
        <w:pStyle w:val="48"/>
        <w:ind w:firstLine="0" w:firstLineChars="0"/>
      </w:pPr>
      <w:r>
        <w:rPr>
          <w:rFonts w:hint="eastAsia"/>
        </w:rPr>
        <w:tab/>
      </w:r>
      <w:r>
        <w:rPr>
          <w:rFonts w:hint="eastAsia"/>
        </w:rPr>
        <w:tab/>
      </w:r>
      <w:r>
        <w:rPr>
          <w:rFonts w:hint="eastAsia"/>
        </w:rPr>
        <w:t xml:space="preserve"> </w:t>
      </w:r>
      <m:oMath>
        <m:r>
          <m:rPr/>
          <w:rPr>
            <w:rFonts w:ascii="Cambria Math"/>
          </w:rPr>
          <m:t>L</m:t>
        </m:r>
      </m:oMath>
      <w:r>
        <w:rPr>
          <w:rFonts w:hint="eastAsia"/>
        </w:rPr>
        <w:t xml:space="preserve"> 是球谐展开的最大阶数（一般为2或3）；</w:t>
      </w:r>
    </w:p>
    <w:p w14:paraId="7304B098">
      <w:pPr>
        <w:pStyle w:val="48"/>
        <w:ind w:firstLine="480"/>
      </w:pPr>
      <m:oMath>
        <m:sSubSup>
          <m:sSubSupPr>
            <m:ctrlPr>
              <w:rPr>
                <w:rFonts w:ascii="Cambria Math" w:hAnsi="Cambria Math"/>
              </w:rPr>
            </m:ctrlPr>
          </m:sSubSupPr>
          <m:e>
            <m:r>
              <m:rPr/>
              <w:rPr>
                <w:rFonts w:ascii="Cambria Math"/>
              </w:rPr>
              <m:t>c</m:t>
            </m:r>
            <m:ctrlPr>
              <w:rPr>
                <w:rFonts w:ascii="Cambria Math" w:hAnsi="Cambria Math"/>
              </w:rPr>
            </m:ctrlPr>
          </m:e>
          <m:sub>
            <m:r>
              <m:rPr/>
              <w:rPr>
                <w:rFonts w:ascii="Cambria Math"/>
              </w:rPr>
              <m:t>lm</m:t>
            </m:r>
            <m:ctrlPr>
              <w:rPr>
                <w:rFonts w:ascii="Cambria Math" w:hAnsi="Cambria Math"/>
              </w:rPr>
            </m:ctrlPr>
          </m:sub>
          <m:sup>
            <m:r>
              <m:rPr/>
              <w:rPr>
                <w:rFonts w:ascii="Cambria Math"/>
              </w:rPr>
              <m:t>i</m:t>
            </m:r>
            <m:ctrlPr>
              <w:rPr>
                <w:rFonts w:ascii="Cambria Math" w:hAnsi="Cambria Math"/>
              </w:rPr>
            </m:ctrlPr>
          </m:sup>
        </m:sSubSup>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rPr>
          <w:rFonts w:hint="eastAsia"/>
        </w:rPr>
        <w:t>：每个频率分量上的RGB系数；</w:t>
      </w:r>
    </w:p>
    <w:p w14:paraId="15F7A7EA">
      <w:pPr>
        <w:pStyle w:val="48"/>
        <w:ind w:firstLine="480"/>
      </w:pPr>
      <w:commentRangeStart w:id="21"/>
      <m:oMath>
        <m:sSubSup>
          <m:sSubSupPr>
            <m:ctrlPr>
              <w:rPr>
                <w:rFonts w:ascii="Cambria Math" w:hAnsi="Cambria Math"/>
              </w:rPr>
            </m:ctrlPr>
          </m:sSubSupPr>
          <m:e>
            <m:r>
              <m:rPr/>
              <w:rPr>
                <w:rFonts w:ascii="Cambria Math"/>
              </w:rPr>
              <m:t>Y</m:t>
            </m:r>
            <m:ctrlPr>
              <w:rPr>
                <w:rFonts w:ascii="Cambria Math" w:hAnsi="Cambria Math"/>
              </w:rPr>
            </m:ctrlPr>
          </m:e>
          <m:sub>
            <m:r>
              <m:rPr/>
              <w:rPr>
                <w:rFonts w:ascii="Cambria Math"/>
              </w:rPr>
              <m:t>l</m:t>
            </m:r>
            <m:ctrlPr>
              <w:rPr>
                <w:rFonts w:ascii="Cambria Math" w:hAnsi="Cambria Math"/>
              </w:rPr>
            </m:ctrlPr>
          </m:sub>
          <m:sup>
            <m:r>
              <m:rPr/>
              <w:rPr>
                <w:rFonts w:ascii="Cambria Math"/>
              </w:rPr>
              <m:t>m</m:t>
            </m:r>
            <m:ctrlPr>
              <w:rPr>
                <w:rFonts w:ascii="Cambria Math" w:hAnsi="Cambria Math"/>
              </w:rPr>
            </m:ctrlPr>
          </m:sup>
        </m:sSubSup>
        <m:r>
          <m:rPr/>
          <w:rPr>
            <w:rFonts w:ascii="Cambria Math"/>
          </w:rPr>
          <m:t>(θ,ϕ)</m:t>
        </m:r>
        <w:commentRangeEnd w:id="21"/>
        <m:r>
          <m:rPr>
            <m:sty m:val="p"/>
          </m:rPr>
          <w:rPr>
            <w:rStyle w:val="29"/>
          </w:rPr>
          <w:commentReference w:id="21"/>
        </m:r>
      </m:oMath>
      <w:r>
        <w:rPr>
          <w:rFonts w:hint="eastAsia"/>
        </w:rPr>
        <w:t>：球谐基函数，输入为当前相机与点之间的方向角。</w:t>
      </w:r>
    </w:p>
    <w:p w14:paraId="58F176AD">
      <w:pPr>
        <w:pStyle w:val="48"/>
        <w:ind w:firstLine="480"/>
      </w:pPr>
      <w:r>
        <w:rPr>
          <w:rFonts w:hint="eastAsia"/>
        </w:rPr>
        <w:t>通过这种方法，每个点的颜色可以动态地随着光照或视角发生变化，实现更真实的BRDF（双向反射分布函数）效果。这一机制在3DGS中用于拟合更复杂的光照环境，增强点云渲染的真实性。</w:t>
      </w:r>
    </w:p>
    <w:p w14:paraId="4262AD4E">
      <w:pPr>
        <w:pStyle w:val="48"/>
        <w:ind w:firstLine="480"/>
      </w:pPr>
    </w:p>
    <w:p w14:paraId="5E9F56BC">
      <w:pPr>
        <w:pStyle w:val="48"/>
        <w:ind w:firstLine="482"/>
        <w:rPr>
          <w:b/>
          <w:bCs/>
          <w:color w:val="FF0000"/>
        </w:rPr>
      </w:pPr>
      <w:r>
        <w:rPr>
          <w:rFonts w:hint="eastAsia"/>
          <w:b/>
          <w:bCs/>
          <w:color w:val="FF0000"/>
        </w:rPr>
        <w:t>（3）SH建模在渲染中的实际应用</w:t>
      </w:r>
    </w:p>
    <w:p w14:paraId="21CF5C7D">
      <w:pPr>
        <w:pStyle w:val="48"/>
        <w:ind w:firstLine="480"/>
      </w:pPr>
      <w:r>
        <w:rPr>
          <w:rFonts w:hint="eastAsia"/>
        </w:rPr>
        <w:t>引入球谐光照建模后，3DGS在渲染过程中表现出更真实的视觉特性，特别适用于下列场景：</w:t>
      </w:r>
    </w:p>
    <w:p w14:paraId="2B1BFA5B">
      <w:pPr>
        <w:pStyle w:val="48"/>
        <w:ind w:firstLine="480"/>
      </w:pPr>
      <w:r>
        <w:rPr>
          <w:rFonts w:hint="eastAsia"/>
        </w:rPr>
        <w:t>自然光照环境（IBL）：球谐函数非常适合用来拟合自然图像中的低频全局光照。</w:t>
      </w:r>
    </w:p>
    <w:p w14:paraId="6B6051D1">
      <w:pPr>
        <w:pStyle w:val="48"/>
        <w:ind w:firstLine="480"/>
      </w:pPr>
      <w:r>
        <w:rPr>
          <w:rFonts w:hint="eastAsia"/>
        </w:rPr>
        <w:t>细节可控：通过调节球谐展开的阶数0020L，可以平衡渲染真实感与计算效率；</w:t>
      </w:r>
    </w:p>
    <w:p w14:paraId="692FBA2E">
      <w:pPr>
        <w:pStyle w:val="48"/>
        <w:ind w:firstLine="480"/>
      </w:pPr>
      <w:r>
        <w:rPr>
          <w:rFonts w:hint="eastAsia"/>
        </w:rPr>
        <w:t>与神经网络兼容：SH系数可以作为高斯点的一部分，在网络训练中直接回传梯度进行优化，从而实现基于图像监督的三维重建。</w:t>
      </w:r>
    </w:p>
    <w:p w14:paraId="67066F45">
      <w:pPr>
        <w:pStyle w:val="48"/>
        <w:ind w:firstLine="480"/>
      </w:pPr>
      <w:r>
        <w:rPr>
          <w:rFonts w:hint="eastAsia"/>
        </w:rPr>
        <w:t>图形学中，使用三阶球谐（</w:t>
      </w:r>
      <m:oMath>
        <m:r>
          <m:rPr/>
          <w:rPr>
            <w:rFonts w:ascii="Cambria Math"/>
          </w:rPr>
          <m:t>L=2</m:t>
        </m:r>
      </m:oMath>
      <w:r>
        <w:rPr>
          <w:rFonts w:hint="eastAsia"/>
        </w:rPr>
        <w:t>）通常就能获得较好的方向感知效果，只需9个SH基函数即可表示每个点的光照响应曲线，相比传统BRDF或微面模型，成本极低。</w:t>
      </w:r>
    </w:p>
    <w:p w14:paraId="7CE78DDE">
      <w:pPr>
        <w:pStyle w:val="48"/>
        <w:ind w:firstLine="480"/>
      </w:pPr>
      <w:r>
        <w:rPr>
          <w:rFonts w:hint="eastAsia"/>
        </w:rPr>
        <w:t>通过引入球谐函数，高斯泼溅方法不仅能表示更丰富的几何结构，同时具备更强的光照建模能力，显著提升了重建结果在视觉感知上的真实度与一致性，为高质量、实时可视化的三维重建提供了强有力的支持。</w:t>
      </w:r>
    </w:p>
    <w:p w14:paraId="5A3A7BC0">
      <w:pPr>
        <w:pStyle w:val="48"/>
        <w:ind w:firstLine="420"/>
      </w:pPr>
      <w:r>
        <w:rPr>
          <w:rStyle w:val="29"/>
        </w:rPr>
        <w:commentReference w:id="22"/>
      </w:r>
    </w:p>
    <w:p w14:paraId="10AA6991">
      <w:pPr>
        <w:pStyle w:val="3"/>
        <w:spacing w:before="120"/>
      </w:pPr>
      <w:bookmarkStart w:id="47" w:name="_Toc17477"/>
      <w:r>
        <w:t>4.</w:t>
      </w:r>
      <w:r>
        <w:rPr>
          <w:rFonts w:hint="eastAsia"/>
        </w:rPr>
        <w:t>3</w:t>
      </w:r>
      <w:r>
        <w:t xml:space="preserve"> 参数初始化与训练策略</w:t>
      </w:r>
      <w:bookmarkEnd w:id="47"/>
    </w:p>
    <w:p w14:paraId="74A099F8">
      <w:pPr>
        <w:pStyle w:val="48"/>
        <w:ind w:firstLine="480"/>
      </w:pPr>
      <w:r>
        <w:t>高质量的三维重建不仅依赖于强大的模型结构，还依赖于良好的参数初始化和合理的训练策略。在高斯泼溅表示中，每一个高斯点都携带多种参数，包括位置、尺度、方向、透明度、颜色和可能的球谐系数（SH），这些参数的初始值对于收敛速度和最终效果都有重要影响。</w:t>
      </w:r>
    </w:p>
    <w:p w14:paraId="503FA512">
      <w:pPr>
        <w:pStyle w:val="48"/>
        <w:ind w:firstLine="0" w:firstLineChars="0"/>
        <w:jc w:val="center"/>
      </w:pPr>
      <w:r>
        <w:drawing>
          <wp:inline distT="0" distB="0" distL="114300" distR="114300">
            <wp:extent cx="5977890" cy="3122930"/>
            <wp:effectExtent l="0" t="0" r="254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5977890" cy="3122930"/>
                    </a:xfrm>
                    <a:prstGeom prst="rect">
                      <a:avLst/>
                    </a:prstGeom>
                    <a:noFill/>
                    <a:ln>
                      <a:noFill/>
                    </a:ln>
                  </pic:spPr>
                </pic:pic>
              </a:graphicData>
            </a:graphic>
          </wp:inline>
        </w:drawing>
      </w:r>
    </w:p>
    <w:p w14:paraId="34AC859F">
      <w:pPr>
        <w:pStyle w:val="48"/>
        <w:ind w:firstLine="0" w:firstLineChars="0"/>
        <w:jc w:val="center"/>
      </w:pPr>
      <w:r>
        <w:rPr>
          <w:rFonts w:hint="eastAsia"/>
        </w:rPr>
        <w:t>图4.2 高斯泼溅核心算法流程</w:t>
      </w:r>
    </w:p>
    <w:p w14:paraId="598EF5AF">
      <w:pPr>
        <w:pStyle w:val="4"/>
        <w:spacing w:before="120"/>
      </w:pPr>
      <w:bookmarkStart w:id="48" w:name="_Toc23396"/>
      <w:r>
        <w:t>4.</w:t>
      </w:r>
      <w:r>
        <w:rPr>
          <w:rFonts w:hint="eastAsia"/>
        </w:rPr>
        <w:t>3</w:t>
      </w:r>
      <w:r>
        <w:t>.1 初始化策略</w:t>
      </w:r>
      <w:bookmarkEnd w:id="48"/>
    </w:p>
    <w:p w14:paraId="5C741B01">
      <w:pPr>
        <w:pStyle w:val="48"/>
        <w:ind w:firstLine="480"/>
      </w:pPr>
      <w:r>
        <w:t>在训练开始之前，通常需要通过稀疏点云（例如来自 COLMAP 的 SfM 结果）来初始化高斯点的位置。这些初始化点是三维空间中稀疏且较为准确的特征点，具有较强的几何结构信息。</w:t>
      </w:r>
    </w:p>
    <w:p w14:paraId="6D3CECCC">
      <w:pPr>
        <w:pStyle w:val="48"/>
        <w:ind w:firstLine="480"/>
      </w:pPr>
      <w:r>
        <w:t>每个点的初始参数如下：</w:t>
      </w:r>
    </w:p>
    <w:p w14:paraId="55553C7A">
      <w:pPr>
        <w:pStyle w:val="48"/>
        <w:ind w:firstLine="480"/>
      </w:pPr>
      <w:r>
        <w:rPr>
          <w:rFonts w:hint="eastAsia"/>
        </w:rPr>
        <w:t>（1）</w:t>
      </w:r>
      <w:r>
        <w:t xml:space="preserve">位置 </w:t>
      </w:r>
      <m:oMath>
        <m:sSub>
          <m:sSubPr>
            <m:ctrlPr>
              <w:rPr>
                <w:rFonts w:ascii="Cambria Math" w:hAnsi="Cambria Math"/>
              </w:rPr>
            </m:ctrlPr>
          </m:sSubPr>
          <m:e>
            <m:r>
              <m:rPr>
                <m:sty m:val="b"/>
              </m:rPr>
              <w:rPr>
                <w:rFonts w:ascii="Cambria Math"/>
              </w:rPr>
              <m:t>x</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t>：由 COLMAP 稀疏点云直接提供；</w:t>
      </w:r>
    </w:p>
    <w:p w14:paraId="41FE0397">
      <w:pPr>
        <w:pStyle w:val="48"/>
        <w:ind w:firstLine="480"/>
      </w:pPr>
      <w:r>
        <w:rPr>
          <w:rFonts w:hint="eastAsia"/>
        </w:rPr>
        <w:t>（2）</w:t>
      </w:r>
      <w:r>
        <w:t>尺度（协方差）</w:t>
      </w:r>
      <m:oMath>
        <m:sSub>
          <m:sSubPr>
            <m:ctrlPr>
              <w:rPr>
                <w:rFonts w:ascii="Cambria Math" w:hAnsi="Cambria Math"/>
              </w:rPr>
            </m:ctrlPr>
          </m:sSub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Sub>
      </m:oMath>
      <w:r>
        <w:t xml:space="preserve">：通常初始化为各向同性小球，即 </w:t>
      </w:r>
      <m:oMath>
        <m:sSub>
          <m:sSubPr>
            <m:ctrlPr>
              <w:rPr>
                <w:rFonts w:ascii="Cambria Math" w:hAnsi="Cambria Math"/>
              </w:rPr>
            </m:ctrlPr>
          </m:sSubPr>
          <m:e>
            <m:r>
              <m:rPr>
                <m:sty m:val="p"/>
              </m:rPr>
              <w:rPr>
                <w:rFonts w:ascii="Cambria Math"/>
              </w:rPr>
              <m:t>Σ</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bSup>
          <m:sSubSupPr>
            <m:ctrlPr>
              <w:rPr>
                <w:rFonts w:ascii="Cambria Math" w:hAnsi="Cambria Math"/>
              </w:rPr>
            </m:ctrlPr>
          </m:sSubSupPr>
          <m:e>
            <m:r>
              <m:rPr/>
              <w:rPr>
                <w:rFonts w:ascii="Cambria Math"/>
              </w:rPr>
              <m:t>σ</m:t>
            </m:r>
            <m:ctrlPr>
              <w:rPr>
                <w:rFonts w:ascii="Cambria Math" w:hAnsi="Cambria Math"/>
              </w:rPr>
            </m:ctrlPr>
          </m:e>
          <m:sub>
            <m:r>
              <m:rPr/>
              <w:rPr>
                <w:rFonts w:ascii="Cambria Math"/>
              </w:rPr>
              <m:t>0</m:t>
            </m:r>
            <m:ctrlPr>
              <w:rPr>
                <w:rFonts w:ascii="Cambria Math" w:hAnsi="Cambria Math"/>
              </w:rPr>
            </m:ctrlPr>
          </m:sub>
          <m:sup>
            <m:r>
              <m:rPr/>
              <w:rPr>
                <w:rFonts w:ascii="Cambria Math"/>
              </w:rPr>
              <m:t>2</m:t>
            </m:r>
            <m:ctrlPr>
              <w:rPr>
                <w:rFonts w:ascii="Cambria Math" w:hAnsi="Cambria Math"/>
              </w:rPr>
            </m:ctrlPr>
          </m:sup>
        </m:sSubSup>
        <m:r>
          <m:rPr>
            <m:sty m:val="b"/>
          </m:rPr>
          <w:rPr>
            <w:rFonts w:ascii="Cambria Math"/>
          </w:rPr>
          <m:t>I</m:t>
        </m:r>
      </m:oMath>
      <w:r>
        <w:t xml:space="preserve">，其中 </w:t>
      </w:r>
      <m:oMath>
        <m:sSub>
          <m:sSubPr>
            <m:ctrlPr>
              <w:rPr>
                <w:rFonts w:ascii="Cambria Math" w:hAnsi="Cambria Math"/>
              </w:rPr>
            </m:ctrlPr>
          </m:sSubPr>
          <m:e>
            <m:r>
              <m:rPr/>
              <w:rPr>
                <w:rFonts w:ascii="Cambria Math"/>
              </w:rPr>
              <m:t>σ</m:t>
            </m:r>
            <m:ctrlPr>
              <w:rPr>
                <w:rFonts w:ascii="Cambria Math" w:hAnsi="Cambria Math"/>
              </w:rPr>
            </m:ctrlPr>
          </m:e>
          <m:sub>
            <m:r>
              <m:rPr/>
              <w:rPr>
                <w:rFonts w:ascii="Cambria Math"/>
              </w:rPr>
              <m:t>0</m:t>
            </m:r>
            <m:ctrlPr>
              <w:rPr>
                <w:rFonts w:ascii="Cambria Math" w:hAnsi="Cambria Math"/>
              </w:rPr>
            </m:ctrlPr>
          </m:sub>
        </m:sSub>
      </m:oMath>
      <w:r>
        <w:t>是一个小的常数；</w:t>
      </w:r>
    </w:p>
    <w:p w14:paraId="48DC8794">
      <w:pPr>
        <w:pStyle w:val="48"/>
        <w:ind w:firstLine="480"/>
      </w:pPr>
      <w:r>
        <w:rPr>
          <w:rFonts w:hint="eastAsia"/>
        </w:rPr>
        <w:t>（3）</w:t>
      </w:r>
      <w:r>
        <w:t xml:space="preserve">颜色 </w:t>
      </w:r>
      <m:oMath>
        <m:sSub>
          <m:sSubPr>
            <m:ctrlPr>
              <w:rPr>
                <w:rFonts w:ascii="Cambria Math" w:hAnsi="Cambria Math"/>
              </w:rPr>
            </m:ctrlPr>
          </m:sSubPr>
          <m:e>
            <m:r>
              <m:rPr>
                <m:sty m:val="b"/>
              </m:rPr>
              <w:rPr>
                <w:rFonts w:ascii="Cambria Math"/>
              </w:rPr>
              <m:t>c</m:t>
            </m:r>
            <m:ctrlPr>
              <w:rPr>
                <w:rFonts w:ascii="Cambria Math" w:hAnsi="Cambria Math"/>
              </w:rPr>
            </m:ctrlPr>
          </m:e>
          <m:sub>
            <m:r>
              <m:rPr/>
              <w:rPr>
                <w:rFonts w:ascii="Cambria Math"/>
              </w:rPr>
              <m:t>i</m:t>
            </m:r>
            <m:ctrlPr>
              <w:rPr>
                <w:rFonts w:ascii="Cambria Math" w:hAnsi="Cambria Math"/>
              </w:rPr>
            </m:ctrlPr>
          </m:sub>
        </m:sSub>
        <m:r>
          <m:rPr/>
          <w:rPr>
            <w:rFonts w:ascii="Cambria Math"/>
          </w:rPr>
          <m:t>∈</m:t>
        </m:r>
        <m:sSup>
          <m:sSupPr>
            <m:ctrlPr>
              <w:rPr>
                <w:rFonts w:ascii="Cambria Math" w:hAnsi="Cambria Math"/>
              </w:rPr>
            </m:ctrlPr>
          </m:sSupPr>
          <m:e>
            <m:r>
              <m:rPr>
                <m:scr m:val="double-struck"/>
              </m:rPr>
              <w:rPr>
                <w:rFonts w:ascii="Cambria Math"/>
              </w:rPr>
              <m:t>ℝ</m:t>
            </m:r>
            <m:ctrlPr>
              <w:rPr>
                <w:rFonts w:ascii="Cambria Math" w:hAnsi="Cambria Math"/>
              </w:rPr>
            </m:ctrlPr>
          </m:e>
          <m:sup>
            <m:r>
              <m:rPr/>
              <w:rPr>
                <w:rFonts w:ascii="Cambria Math"/>
              </w:rPr>
              <m:t>3</m:t>
            </m:r>
            <m:ctrlPr>
              <w:rPr>
                <w:rFonts w:ascii="Cambria Math" w:hAnsi="Cambria Math"/>
              </w:rPr>
            </m:ctrlPr>
          </m:sup>
        </m:sSup>
      </m:oMath>
      <w:r>
        <w:t>：可通过多个视角图像投影并平均采样得到；</w:t>
      </w:r>
    </w:p>
    <w:p w14:paraId="4F4A1CCB">
      <w:pPr>
        <w:pStyle w:val="48"/>
        <w:ind w:firstLine="480"/>
      </w:pPr>
      <w:r>
        <w:rPr>
          <w:rFonts w:hint="eastAsia"/>
        </w:rPr>
        <w:t>（4）</w:t>
      </w:r>
      <w:r>
        <w:t>方向（用于椭球分布）：初始设为单位向量或者从 PCA 中估计；</w:t>
      </w:r>
    </w:p>
    <w:p w14:paraId="693F8464">
      <w:pPr>
        <w:pStyle w:val="48"/>
        <w:ind w:firstLine="480"/>
      </w:pPr>
      <w:r>
        <w:rPr>
          <w:rFonts w:hint="eastAsia"/>
        </w:rPr>
        <w:t>（5）</w:t>
      </w:r>
      <w:r>
        <w:t xml:space="preserve">透明度或密度参数 </w:t>
      </w:r>
      <m:oMath>
        <m:sSub>
          <m:sSubPr>
            <m:ctrlPr>
              <w:rPr>
                <w:rFonts w:ascii="Cambria Math" w:hAnsi="Cambria Math"/>
              </w:rPr>
            </m:ctrlPr>
          </m:sSubPr>
          <m:e>
            <m:r>
              <m:rPr/>
              <w:rPr>
                <w:rFonts w:ascii="Cambria Math"/>
              </w:rPr>
              <m:t>σ</m:t>
            </m:r>
            <m:ctrlPr>
              <w:rPr>
                <w:rFonts w:ascii="Cambria Math" w:hAnsi="Cambria Math"/>
              </w:rPr>
            </m:ctrlPr>
          </m:e>
          <m:sub>
            <m:r>
              <m:rPr/>
              <w:rPr>
                <w:rFonts w:ascii="Cambria Math"/>
              </w:rPr>
              <m:t>i</m:t>
            </m:r>
            <m:ctrlPr>
              <w:rPr>
                <w:rFonts w:ascii="Cambria Math" w:hAnsi="Cambria Math"/>
              </w:rPr>
            </m:ctrlPr>
          </m:sub>
        </m:sSub>
      </m:oMath>
      <w:r>
        <w:t>：初始化为常数或与深度成反比；</w:t>
      </w:r>
    </w:p>
    <w:p w14:paraId="44C6D8B4">
      <w:pPr>
        <w:pStyle w:val="48"/>
        <w:ind w:firstLine="480"/>
      </w:pPr>
      <w:r>
        <w:rPr>
          <w:rFonts w:hint="eastAsia"/>
        </w:rPr>
        <w:t>（6）</w:t>
      </w:r>
      <w:r>
        <w:t>球谐系数：常设为均值颜色乘以一个经验常数或零。这种初始化策略可以保证模型在一开始就拥有基本的几何和颜色一致性，从而有效减少训练初期的不稳定性。</w:t>
      </w:r>
    </w:p>
    <w:p w14:paraId="1B744C35">
      <w:pPr>
        <w:pStyle w:val="4"/>
        <w:spacing w:before="120"/>
      </w:pPr>
      <w:bookmarkStart w:id="49" w:name="_Toc20867"/>
      <w:r>
        <w:t>4.</w:t>
      </w:r>
      <w:r>
        <w:rPr>
          <w:rFonts w:hint="eastAsia"/>
        </w:rPr>
        <w:t>3</w:t>
      </w:r>
      <w:r>
        <w:t>.2 训练损失与优化目标</w:t>
      </w:r>
      <w:bookmarkEnd w:id="49"/>
    </w:p>
    <w:p w14:paraId="579C466C">
      <w:pPr>
        <w:pStyle w:val="48"/>
        <w:ind w:firstLine="480"/>
      </w:pPr>
      <w:r>
        <w:t>高斯点的训练目标是最小化渲染图像与真实图像之间的差异。常见的损失函数包括：</w:t>
      </w:r>
    </w:p>
    <w:p w14:paraId="21468DC7">
      <w:pPr>
        <w:pStyle w:val="48"/>
        <w:ind w:firstLine="480"/>
      </w:pPr>
      <w:r>
        <w:t>像素级重建损失（MSE）：</w:t>
      </w:r>
    </w:p>
    <w:p w14:paraId="2AB9DE64">
      <w:pPr>
        <w:pStyle w:val="48"/>
        <w:ind w:firstLine="480"/>
      </w:pPr>
      <w:commentRangeStart w:id="23"/>
      <m:oMathPara>
        <m:oMath>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pixel</m:t>
              </m:r>
              <m:ctrlPr>
                <w:rPr>
                  <w:rFonts w:ascii="Cambria Math" w:hAnsi="Cambria Math"/>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rPr>
              </m:ctrlPr>
            </m:num>
            <m:den>
              <m:r>
                <m:rPr/>
                <w:rPr>
                  <w:rFonts w:ascii="Cambria Math" w:hAnsi="Cambria Math"/>
                </w:rPr>
                <m:t>HW</m:t>
              </m:r>
              <m:ctrlPr>
                <w:rPr>
                  <w:rFonts w:ascii="Cambria Math" w:hAnsi="Cambria Math"/>
                </w:rPr>
              </m:ctrlPr>
            </m:den>
          </m:f>
          <m:sSup>
            <m:sSupPr>
              <m:ctrlPr>
                <w:rPr>
                  <w:rFonts w:ascii="Cambria Math" w:hAnsi="Cambria Math"/>
                </w:rPr>
              </m:ctrlPr>
            </m:sSupPr>
            <m:e>
              <m:nary>
                <m:naryPr>
                  <m:chr m:val="∑"/>
                  <m:limLoc m:val="undOvr"/>
                  <m:supHide m:val="1"/>
                  <m:ctrlPr>
                    <w:rPr>
                      <w:rFonts w:ascii="Cambria Math" w:hAnsi="Cambria Math"/>
                    </w:rPr>
                  </m:ctrlPr>
                </m:naryPr>
                <m:sub>
                  <m:r>
                    <m:rPr/>
                    <w:rPr>
                      <w:rFonts w:ascii="Cambria Math" w:hAnsi="Cambria Math"/>
                    </w:rPr>
                    <m:t>u,v</m:t>
                  </m:r>
                  <m:ctrlPr>
                    <w:rPr>
                      <w:rFonts w:ascii="Cambria Math" w:hAnsi="Cambria Math"/>
                    </w:rPr>
                  </m:ctrlPr>
                </m:sub>
                <m:sup>
                  <m:ctrlPr>
                    <w:rPr>
                      <w:rFonts w:ascii="Cambria Math" w:hAnsi="Cambria Math"/>
                    </w:rPr>
                  </m:ctrlPr>
                </m:sup>
                <m:e>
                  <m:d>
                    <m:dPr>
                      <m:ctrlPr>
                        <w:rPr>
                          <w:rFonts w:ascii="Cambria Math" w:hAnsi="Cambria Math"/>
                        </w:rPr>
                      </m:ctrlPr>
                    </m:d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render</m:t>
                          </m:r>
                          <m:ctrlPr>
                            <w:rPr>
                              <w:rFonts w:ascii="Cambria Math" w:hAnsi="Cambria Math"/>
                            </w:rPr>
                          </m:ctrlPr>
                        </m:sub>
                      </m:sSub>
                      <m:r>
                        <m:rPr/>
                        <w:rPr>
                          <w:rFonts w:ascii="Cambria Math" w:hAnsi="Cambria Math"/>
                        </w:rPr>
                        <m:t>(u,v)−</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gt</m:t>
                          </m:r>
                          <m:ctrlPr>
                            <w:rPr>
                              <w:rFonts w:ascii="Cambria Math" w:hAnsi="Cambria Math"/>
                            </w:rPr>
                          </m:ctrlPr>
                        </m:sub>
                      </m:sSub>
                      <m:r>
                        <m:rPr/>
                        <w:rPr>
                          <w:rFonts w:ascii="Cambria Math" w:hAnsi="Cambria Math"/>
                        </w:rPr>
                        <m:t>(u,v)</m:t>
                      </m:r>
                      <m:ctrlPr>
                        <w:rPr>
                          <w:rFonts w:ascii="Cambria Math" w:hAnsi="Cambria Math"/>
                        </w:rPr>
                      </m:ctrlPr>
                    </m:e>
                  </m:d>
                  <m:ctrlPr>
                    <w:rPr>
                      <w:rFonts w:ascii="Cambria Math" w:hAnsi="Cambria Math"/>
                    </w:rPr>
                  </m:ctrlPr>
                </m:e>
              </m:nary>
              <m:ctrlPr>
                <w:rPr>
                  <w:rFonts w:ascii="Cambria Math" w:hAnsi="Cambria Math"/>
                </w:rPr>
              </m:ctrlPr>
            </m:e>
            <m:sup>
              <m:r>
                <m:rPr/>
                <w:rPr>
                  <w:rFonts w:ascii="Cambria Math" w:hAnsi="Cambria Math"/>
                </w:rPr>
                <m:t>2</m:t>
              </m:r>
              <m:ctrlPr>
                <w:rPr>
                  <w:rFonts w:ascii="Cambria Math" w:hAnsi="Cambria Math"/>
                </w:rPr>
              </m:ctrlPr>
            </m:sup>
          </m:sSup>
          <w:commentRangeEnd w:id="23"/>
          <m:r>
            <m:rPr>
              <m:sty m:val="p"/>
            </m:rPr>
            <w:rPr>
              <w:rStyle w:val="29"/>
            </w:rPr>
            <w:commentReference w:id="23"/>
          </m:r>
        </m:oMath>
      </m:oMathPara>
    </w:p>
    <w:p w14:paraId="379566AA">
      <w:pPr>
        <w:pStyle w:val="48"/>
        <w:ind w:firstLine="480"/>
      </w:pPr>
      <w:r>
        <w:t>感知损失（Perceptual / LPIPS）：利用预训练网络提取图像特征，衡量图像相似性</w:t>
      </w:r>
      <w:r>
        <w:rPr>
          <w:rFonts w:hint="eastAsia"/>
        </w:rPr>
        <w:t>。</w:t>
      </w:r>
    </w:p>
    <w:p w14:paraId="79905468">
      <w:pPr>
        <w:pStyle w:val="48"/>
        <w:ind w:firstLine="480"/>
      </w:pPr>
      <w:r>
        <w:t>深度一致性损失：可选，在有深度图 supervision 时使用</w:t>
      </w:r>
      <w:r>
        <w:rPr>
          <w:rFonts w:hint="eastAsia"/>
        </w:rPr>
        <w:t>。</w:t>
      </w:r>
    </w:p>
    <w:p w14:paraId="31031304">
      <w:pPr>
        <w:pStyle w:val="48"/>
        <w:ind w:firstLine="480"/>
      </w:pPr>
      <w:r>
        <w:t>正则项：限制点的尺度、密度、方向，避免训练时的参数发散：</w:t>
      </w:r>
    </w:p>
    <w:p w14:paraId="5DFD5665">
      <w:pPr>
        <w:pStyle w:val="48"/>
        <w:ind w:firstLine="480"/>
        <w:jc w:val="center"/>
        <w:rPr>
          <w:rFonts w:hAnsi="Cambria Math"/>
        </w:rPr>
      </w:pPr>
      <w:commentRangeStart w:id="24"/>
      <m:oMathPara>
        <m:oMath>
          <m:sSub>
            <m:sSubPr>
              <m:ctrlPr>
                <w:rPr>
                  <w:rFonts w:ascii="Cambria Math" w:hAnsi="Cambria Math"/>
                </w:rPr>
              </m:ctrlPr>
            </m:sSubPr>
            <m:e>
              <m:r>
                <m:rPr/>
                <w:rPr>
                  <w:rFonts w:ascii="Cambria Math" w:hAnsi="Cambria Math"/>
                </w:rPr>
                <m:t>L</m:t>
              </m:r>
              <m:ctrlPr>
                <w:rPr>
                  <w:rFonts w:ascii="Cambria Math" w:hAnsi="Cambria Math"/>
                </w:rPr>
              </m:ctrlPr>
            </m:e>
            <m:sub>
              <m:r>
                <m:rPr/>
                <w:rPr>
                  <w:rFonts w:ascii="Cambria Math" w:hAnsi="Cambria Math"/>
                </w:rPr>
                <m:t>reg</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sSup>
            <m:sSupPr>
              <m:ctrlPr>
                <w:rPr>
                  <w:rFonts w:ascii="Cambria Math" w:hAnsi="Cambria Math"/>
                </w:rPr>
              </m:ctrlPr>
            </m:sSupPr>
            <m:e>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nary>
              <m:ctrlPr>
                <w:rPr>
                  <w:rFonts w:ascii="Cambria Math" w:hAnsi="Cambria Math"/>
                </w:rPr>
              </m:ctrlPr>
            </m:e>
            <m:sup>
              <m:r>
                <m:rPr/>
                <w:rPr>
                  <w:rFonts w:ascii="Cambria Math" w:hAnsi="Cambria Math"/>
                </w:rPr>
                <m:t>2</m:t>
              </m:r>
              <m:ctrlPr>
                <w:rPr>
                  <w:rFonts w:ascii="Cambria Math" w:hAnsi="Cambria Math"/>
                </w:rPr>
              </m:ctrlPr>
            </m:sup>
          </m:sSup>
          <m:r>
            <m:rPr/>
            <w:rPr>
              <w:rFonts w:ascii="Cambria Math" w:hAnsi="Cambria Math"/>
            </w:rPr>
            <m:t>+</m:t>
          </m:r>
          <m:sSub>
            <m:sSubPr>
              <m:ctrlPr>
                <w:rPr>
                  <w:rFonts w:ascii="Cambria Math" w:hAnsi="Cambria Math"/>
                </w:rPr>
              </m:ctrlPr>
            </m:sSubPr>
            <m:e>
              <m:r>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sSup>
            <m:sSupPr>
              <m:ctrlPr>
                <w:rPr>
                  <w:rFonts w:ascii="Cambria Math" w:hAnsi="Cambria Math"/>
                </w:rPr>
              </m:ctrlPr>
            </m:sSupPr>
            <m:e>
              <m:nary>
                <m:naryPr>
                  <m:chr m:val="∑"/>
                  <m:limLoc m:val="undOvr"/>
                  <m:supHide m:val="1"/>
                  <m:ctrlPr>
                    <w:rPr>
                      <w:rFonts w:ascii="Cambria Math" w:hAnsi="Cambria Math"/>
                    </w:rPr>
                  </m:ctrlPr>
                </m:naryPr>
                <m:sub>
                  <m:r>
                    <m:rPr/>
                    <w:rPr>
                      <w:rFonts w:ascii="Cambria Math" w:hAnsi="Cambria Math"/>
                    </w:rPr>
                    <m:t>i</m:t>
                  </m:r>
                  <m:ctrlPr>
                    <w:rPr>
                      <w:rFonts w:ascii="Cambria Math" w:hAnsi="Cambria Math"/>
                    </w:rPr>
                  </m:ctrlPr>
                </m:sub>
                <m:sup>
                  <m:ctrlPr>
                    <w:rPr>
                      <w:rFonts w:ascii="Cambria Math" w:hAnsi="Cambria Math"/>
                    </w:rPr>
                  </m:ctrlPr>
                </m:sup>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c</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nary>
              <m:ctrlPr>
                <w:rPr>
                  <w:rFonts w:ascii="Cambria Math" w:hAnsi="Cambria Math"/>
                </w:rPr>
              </m:ctrlPr>
            </m:e>
            <m:sup>
              <m:r>
                <m:rPr/>
                <w:rPr>
                  <w:rFonts w:ascii="Cambria Math" w:hAnsi="Cambria Math"/>
                </w:rPr>
                <m:t>2</m:t>
              </m:r>
              <m:ctrlPr>
                <w:rPr>
                  <w:rFonts w:ascii="Cambria Math" w:hAnsi="Cambria Math"/>
                </w:rPr>
              </m:ctrlPr>
            </m:sup>
          </m:sSup>
          <w:commentRangeEnd w:id="24"/>
          <m:r>
            <m:rPr>
              <m:sty m:val="p"/>
            </m:rPr>
            <w:rPr>
              <w:rStyle w:val="29"/>
            </w:rPr>
            <w:commentReference w:id="24"/>
          </m:r>
        </m:oMath>
      </m:oMathPara>
    </w:p>
    <w:p w14:paraId="5AE847A4">
      <w:pPr>
        <w:pStyle w:val="48"/>
        <w:ind w:firstLine="420"/>
        <w:jc w:val="center"/>
        <w:rPr>
          <w:rFonts w:hAnsi="Cambria Math"/>
        </w:rPr>
      </w:pPr>
      <w:r>
        <w:rPr>
          <w:rStyle w:val="29"/>
        </w:rPr>
        <w:commentReference w:id="25"/>
      </w:r>
    </w:p>
    <w:p w14:paraId="1C114E73">
      <w:pPr>
        <w:pStyle w:val="4"/>
        <w:spacing w:before="120"/>
      </w:pPr>
      <w:bookmarkStart w:id="50" w:name="_Toc12770"/>
      <w:r>
        <w:t>4.</w:t>
      </w:r>
      <w:r>
        <w:rPr>
          <w:rFonts w:hint="eastAsia"/>
        </w:rPr>
        <w:t>3</w:t>
      </w:r>
      <w:r>
        <w:t>.3 多阶段训练策略</w:t>
      </w:r>
      <w:bookmarkEnd w:id="50"/>
    </w:p>
    <w:p w14:paraId="5EFB4C85">
      <w:pPr>
        <w:pStyle w:val="48"/>
        <w:ind w:firstLine="480"/>
      </w:pPr>
      <w:r>
        <w:t>为提升训练稳定性与最终质量，3DGS 采用逐步细化的训练流程：</w:t>
      </w:r>
    </w:p>
    <w:p w14:paraId="69B373BD">
      <w:pPr>
        <w:pStyle w:val="48"/>
        <w:ind w:firstLine="480"/>
      </w:pPr>
      <w:r>
        <w:t>初始阶段：仅训练位置和颜色；</w:t>
      </w:r>
    </w:p>
    <w:p w14:paraId="246C094E">
      <w:pPr>
        <w:pStyle w:val="48"/>
        <w:ind w:firstLine="480"/>
      </w:pPr>
      <w:r>
        <w:t>中期阶段：引入方向和尺度参数优化；</w:t>
      </w:r>
    </w:p>
    <w:p w14:paraId="5FADC189">
      <w:pPr>
        <w:pStyle w:val="48"/>
        <w:ind w:firstLine="480"/>
      </w:pPr>
      <w:r>
        <w:t>后期阶段：加入球谐系数、密度参数的联合优化；</w:t>
      </w:r>
    </w:p>
    <w:p w14:paraId="27E69A8F">
      <w:pPr>
        <w:pStyle w:val="48"/>
        <w:ind w:firstLine="480"/>
      </w:pPr>
      <w:r>
        <w:t>分辨率提升：逐步引入高分辨率图像和更复杂视角；</w:t>
      </w:r>
    </w:p>
    <w:p w14:paraId="54C4281B">
      <w:pPr>
        <w:pStyle w:val="48"/>
        <w:ind w:firstLine="480"/>
      </w:pPr>
      <w:r>
        <w:t>每一步训练都可以使用不同的学习率和调度策略。常用优化器为 Adam，搭配 Cosine Annealing 或 Exponential Decay 学习率下降曲线。</w:t>
      </w:r>
    </w:p>
    <w:p w14:paraId="04436A94">
      <w:pPr>
        <w:pStyle w:val="48"/>
        <w:ind w:firstLine="420"/>
      </w:pPr>
      <w:r>
        <w:rPr>
          <w:rStyle w:val="29"/>
        </w:rPr>
        <w:commentReference w:id="26"/>
      </w:r>
    </w:p>
    <w:p w14:paraId="295C7048">
      <w:pPr>
        <w:pStyle w:val="3"/>
        <w:spacing w:before="120"/>
      </w:pPr>
      <w:bookmarkStart w:id="51" w:name="_Toc10493"/>
      <w:r>
        <w:t>4.</w:t>
      </w:r>
      <w:r>
        <w:rPr>
          <w:rFonts w:hint="eastAsia"/>
        </w:rPr>
        <w:t>4</w:t>
      </w:r>
      <w:r>
        <w:t xml:space="preserve"> 优化与高斯压缩策略</w:t>
      </w:r>
      <w:bookmarkEnd w:id="51"/>
    </w:p>
    <w:p w14:paraId="5A4C3CB1">
      <w:pPr>
        <w:pStyle w:val="48"/>
        <w:ind w:firstLine="480"/>
      </w:pPr>
      <w:r>
        <w:t>在训练过程中，高斯点的数量和精度会不断提升。若无优化和压缩机制，模型将面临渲染速度慢、显存占用高、训练不稳定等问题。因此，动态点数管理成为 3DGS 成功的关键之一。</w:t>
      </w:r>
    </w:p>
    <w:p w14:paraId="39C13788">
      <w:pPr>
        <w:pStyle w:val="4"/>
        <w:spacing w:before="120"/>
      </w:pPr>
      <w:bookmarkStart w:id="52" w:name="_Toc6580"/>
      <w:r>
        <w:t>4.</w:t>
      </w:r>
      <w:r>
        <w:rPr>
          <w:rFonts w:hint="eastAsia"/>
        </w:rPr>
        <w:t>4</w:t>
      </w:r>
      <w:r>
        <w:t>.1 点密度增长策略（Density-Guided Splitting）</w:t>
      </w:r>
      <w:bookmarkEnd w:id="52"/>
    </w:p>
    <w:p w14:paraId="447C1F18">
      <w:pPr>
        <w:pStyle w:val="48"/>
        <w:ind w:firstLine="480"/>
      </w:pPr>
      <w:commentRangeStart w:id="27"/>
      <w:r>
        <w:t>随着训练深入，需要在图像细节丰富或重建误差大的区域增加更多点。通常的点增长方式包括：</w:t>
      </w:r>
    </w:p>
    <w:p w14:paraId="68C1A885">
      <w:pPr>
        <w:pStyle w:val="48"/>
        <w:ind w:firstLine="480"/>
      </w:pPr>
      <w:r>
        <w:t>图像误差驱动：在重建误差大的区域插入新点；</w:t>
      </w:r>
    </w:p>
    <w:p w14:paraId="686AD71F">
      <w:pPr>
        <w:pStyle w:val="48"/>
        <w:ind w:firstLine="480"/>
      </w:pPr>
      <w:r>
        <w:t>梯度驱动法：使用点的梯度大小判断其重要性；</w:t>
      </w:r>
    </w:p>
    <w:p w14:paraId="65CBB42C">
      <w:pPr>
        <w:pStyle w:val="48"/>
        <w:ind w:firstLine="480"/>
      </w:pPr>
      <w:r>
        <w:t>光线采样密度控制：增加点来覆盖疏采样区域；</w:t>
      </w:r>
    </w:p>
    <w:p w14:paraId="52CBFC1C">
      <w:pPr>
        <w:pStyle w:val="48"/>
        <w:ind w:firstLine="480"/>
      </w:pPr>
      <w:r>
        <w:t>椭球拉伸复制：将一个尺度较大的点拉伸方向复制多个点（split），细化边缘结构。</w:t>
      </w:r>
    </w:p>
    <w:p w14:paraId="7693AF3C">
      <w:pPr>
        <w:pStyle w:val="48"/>
        <w:ind w:firstLine="480"/>
      </w:pPr>
      <w:r>
        <w:t>每次新增点后，其初始化可通过邻域插值、权重传播或使用图像特征嵌入网络生成。</w:t>
      </w:r>
      <w:commentRangeEnd w:id="27"/>
      <w:r>
        <w:rPr>
          <w:rStyle w:val="29"/>
        </w:rPr>
        <w:commentReference w:id="27"/>
      </w:r>
    </w:p>
    <w:p w14:paraId="1AB694AC">
      <w:pPr>
        <w:pStyle w:val="4"/>
        <w:spacing w:before="120"/>
      </w:pPr>
      <w:bookmarkStart w:id="53" w:name="_Toc10598"/>
      <w:r>
        <w:t>4.</w:t>
      </w:r>
      <w:r>
        <w:rPr>
          <w:rFonts w:hint="eastAsia"/>
        </w:rPr>
        <w:t>4</w:t>
      </w:r>
      <w:r>
        <w:t>.2 点合并与压缩策略（Gaussian Pruning）</w:t>
      </w:r>
      <w:bookmarkEnd w:id="53"/>
    </w:p>
    <w:p w14:paraId="69725855">
      <w:pPr>
        <w:pStyle w:val="48"/>
        <w:ind w:firstLine="480"/>
      </w:pPr>
      <w:r>
        <w:t>为了压缩模型体积，提高渲染效率，需要周期性压缩或合并冗余点：</w:t>
      </w:r>
    </w:p>
    <w:p w14:paraId="62B3AA84">
      <w:pPr>
        <w:pStyle w:val="48"/>
        <w:ind w:firstLine="480"/>
      </w:pPr>
      <w:r>
        <w:t>空间聚类合并（Spatial Clustering）：将空间上邻近、颜色和尺度接近的点合并为一个点：</w:t>
      </w:r>
    </w:p>
    <w:p w14:paraId="21A16A8A">
      <w:pPr>
        <w:pStyle w:val="48"/>
        <w:ind w:firstLine="480"/>
        <w:jc w:val="center"/>
      </w:pPr>
      <w:commentRangeStart w:id="28"/>
      <m:oMath>
        <m:sSub>
          <m:sSubPr>
            <m:ctrlPr>
              <w:rPr>
                <w:rFonts w:ascii="Cambria Math" w:hAnsi="Cambria Math"/>
              </w:rPr>
            </m:ctrlPr>
          </m:sSubPr>
          <m:e>
            <m:r>
              <m:rPr>
                <m:sty m:val="b"/>
              </m:rPr>
              <w:rPr>
                <w:rFonts w:ascii="Cambria Math"/>
              </w:rPr>
              <m:t>x</m:t>
            </m:r>
            <m:ctrlPr>
              <w:rPr>
                <w:rFonts w:ascii="Cambria Math" w:hAnsi="Cambria Math"/>
              </w:rPr>
            </m:ctrlPr>
          </m:e>
          <m:sub>
            <m:r>
              <m:rPr>
                <m:sty m:val="p"/>
              </m:rPr>
              <w:rPr>
                <w:rFonts w:ascii="Cambria Math"/>
              </w:rPr>
              <m:t>new</m:t>
            </m:r>
            <m:ctrlPr>
              <w:rPr>
                <w:rFonts w:ascii="Cambria Math" w:hAnsi="Cambria Math"/>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i/>
              </w:rPr>
            </m:ctrlPr>
          </m:num>
          <m:den>
            <m:r>
              <m:rPr/>
              <w:rPr>
                <w:rFonts w:ascii="Cambria Math"/>
              </w:rPr>
              <m:t>n</m:t>
            </m:r>
            <m:ctrlPr>
              <w:rPr>
                <w:rFonts w:ascii="Cambria Math" w:hAnsi="Cambria Math"/>
                <w:i/>
              </w:rPr>
            </m:ctrlPr>
          </m:den>
        </m:f>
        <m:sSub>
          <m:sSubPr>
            <m:ctrlPr>
              <w:rPr>
                <w:rFonts w:ascii="Cambria Math" w:hAnsi="Cambria Math"/>
              </w:rPr>
            </m:ctrlPr>
          </m:sSubPr>
          <m:e>
            <m:nary>
              <m:naryPr>
                <m:chr m:val="∑"/>
                <m:limLoc m:val="undOvr"/>
                <m:ctrlPr>
                  <w:rPr>
                    <w:rFonts w:ascii="Cambria Math" w:hAnsi="Cambria Math"/>
                  </w:rPr>
                </m:ctrlPr>
              </m:naryPr>
              <m:sub>
                <m:r>
                  <m:rPr/>
                  <w:rPr>
                    <w:rFonts w:ascii="Cambria Math"/>
                  </w:rPr>
                  <m:t>i=1</m:t>
                </m:r>
                <m:ctrlPr>
                  <w:rPr>
                    <w:rFonts w:ascii="Cambria Math" w:hAnsi="Cambria Math"/>
                  </w:rPr>
                </m:ctrlPr>
              </m:sub>
              <m:sup>
                <m:r>
                  <m:rPr/>
                  <w:rPr>
                    <w:rFonts w:ascii="Cambria Math"/>
                  </w:rPr>
                  <m:t>n</m:t>
                </m:r>
                <m:ctrlPr>
                  <w:rPr>
                    <w:rFonts w:ascii="Cambria Math" w:hAnsi="Cambria Math"/>
                  </w:rPr>
                </m:ctrlPr>
              </m:sup>
              <m:e>
                <m:r>
                  <m:rPr>
                    <m:sty m:val="b"/>
                  </m:rPr>
                  <w:rPr>
                    <w:rFonts w:ascii="Cambria Math"/>
                  </w:rPr>
                  <m:t>x</m:t>
                </m:r>
                <m:ctrlPr>
                  <w:rPr>
                    <w:rFonts w:ascii="Cambria Math" w:hAnsi="Cambria Math"/>
                  </w:rPr>
                </m:ctrlPr>
              </m:e>
            </m:nary>
            <m:ctrlPr>
              <w:rPr>
                <w:rFonts w:ascii="Cambria Math" w:hAnsi="Cambria Math"/>
              </w:rPr>
            </m:ctrlPr>
          </m:e>
          <m:sub>
            <m:r>
              <m:rPr/>
              <w:rPr>
                <w:rFonts w:ascii="Cambria Math"/>
              </w:rPr>
              <m:t>i</m:t>
            </m:r>
            <m:ctrlPr>
              <w:rPr>
                <w:rFonts w:ascii="Cambria Math" w:hAnsi="Cambria Math"/>
              </w:rPr>
            </m:ctrlPr>
          </m:sub>
        </m:sSub>
        <m:r>
          <m:rPr/>
          <w:rPr>
            <w:rFonts w:ascii="Cambria Math"/>
          </w:rPr>
          <m:t>,</m:t>
        </m:r>
        <m:r>
          <m:rPr>
            <m:sty m:val="p"/>
          </m:rPr>
          <w:rPr>
            <w:rFonts w:ascii="Cambria Math"/>
          </w:rPr>
          <m:t xml:space="preserve">   </m:t>
        </m:r>
        <m:sSub>
          <m:sSubPr>
            <m:ctrlPr>
              <w:rPr>
                <w:rFonts w:ascii="Cambria Math" w:hAnsi="Cambria Math"/>
              </w:rPr>
            </m:ctrlPr>
          </m:sSubPr>
          <m:e>
            <m:r>
              <m:rPr>
                <m:sty m:val="b"/>
              </m:rPr>
              <w:rPr>
                <w:rFonts w:ascii="Cambria Math"/>
              </w:rPr>
              <m:t>c</m:t>
            </m:r>
            <m:ctrlPr>
              <w:rPr>
                <w:rFonts w:ascii="Cambria Math" w:hAnsi="Cambria Math"/>
              </w:rPr>
            </m:ctrlPr>
          </m:e>
          <m:sub>
            <m:r>
              <m:rPr>
                <m:sty m:val="p"/>
              </m:rPr>
              <w:rPr>
                <w:rFonts w:ascii="Cambria Math"/>
              </w:rPr>
              <m:t>new</m:t>
            </m:r>
            <m:ctrlPr>
              <w:rPr>
                <w:rFonts w:ascii="Cambria Math" w:hAnsi="Cambria Math"/>
              </w:rPr>
            </m:ctrlPr>
          </m:sub>
        </m:sSub>
        <m:r>
          <m:rPr/>
          <w:rPr>
            <w:rFonts w:ascii="Cambria Math"/>
          </w:rPr>
          <m:t>=</m:t>
        </m:r>
        <m:f>
          <m:fPr>
            <m:ctrlPr>
              <w:rPr>
                <w:rFonts w:ascii="Cambria Math" w:hAnsi="Cambria Math"/>
                <w:i/>
              </w:rPr>
            </m:ctrlPr>
          </m:fPr>
          <m:num>
            <m:r>
              <m:rPr/>
              <w:rPr>
                <w:rFonts w:ascii="Cambria Math"/>
              </w:rPr>
              <m:t>1</m:t>
            </m:r>
            <m:ctrlPr>
              <w:rPr>
                <w:rFonts w:ascii="Cambria Math" w:hAnsi="Cambria Math"/>
              </w:rPr>
            </m:ctrlPr>
          </m:num>
          <m:den>
            <m:r>
              <m:rPr/>
              <w:rPr>
                <w:rFonts w:ascii="Cambria Math"/>
              </w:rPr>
              <m:t>n</m:t>
            </m:r>
            <m:ctrlPr>
              <w:rPr>
                <w:rFonts w:ascii="Cambria Math" w:hAnsi="Cambria Math"/>
              </w:rPr>
            </m:ctrlPr>
          </m:den>
        </m:f>
        <m:sSub>
          <m:sSubPr>
            <m:ctrlPr>
              <w:rPr>
                <w:rFonts w:ascii="Cambria Math" w:hAnsi="Cambria Math"/>
              </w:rPr>
            </m:ctrlPr>
          </m:sSubPr>
          <m:e>
            <m:nary>
              <m:naryPr>
                <m:chr m:val="∑"/>
                <m:limLoc m:val="undOvr"/>
                <m:ctrlPr>
                  <w:rPr>
                    <w:rFonts w:ascii="Cambria Math" w:hAnsi="Cambria Math"/>
                  </w:rPr>
                </m:ctrlPr>
              </m:naryPr>
              <m:sub>
                <m:r>
                  <m:rPr/>
                  <w:rPr>
                    <w:rFonts w:ascii="Cambria Math"/>
                  </w:rPr>
                  <m:t>i=1</m:t>
                </m:r>
                <m:ctrlPr>
                  <w:rPr>
                    <w:rFonts w:ascii="Cambria Math" w:hAnsi="Cambria Math"/>
                  </w:rPr>
                </m:ctrlPr>
              </m:sub>
              <m:sup>
                <m:r>
                  <m:rPr/>
                  <w:rPr>
                    <w:rFonts w:ascii="Cambria Math"/>
                  </w:rPr>
                  <m:t>n</m:t>
                </m:r>
                <m:ctrlPr>
                  <w:rPr>
                    <w:rFonts w:ascii="Cambria Math" w:hAnsi="Cambria Math"/>
                  </w:rPr>
                </m:ctrlPr>
              </m:sup>
              <m:e>
                <m:r>
                  <m:rPr>
                    <m:sty m:val="b"/>
                  </m:rPr>
                  <w:rPr>
                    <w:rFonts w:ascii="Cambria Math"/>
                  </w:rPr>
                  <m:t>c</m:t>
                </m:r>
                <m:ctrlPr>
                  <w:rPr>
                    <w:rFonts w:ascii="Cambria Math" w:hAnsi="Cambria Math"/>
                  </w:rPr>
                </m:ctrlPr>
              </m:e>
            </m:nary>
            <m:ctrlPr>
              <w:rPr>
                <w:rFonts w:ascii="Cambria Math" w:hAnsi="Cambria Math"/>
              </w:rPr>
            </m:ctrlPr>
          </m:e>
          <m:sub>
            <m:r>
              <m:rPr/>
              <w:rPr>
                <w:rFonts w:ascii="Cambria Math"/>
              </w:rPr>
              <m:t>i</m:t>
            </m:r>
            <m:ctrlPr>
              <w:rPr>
                <w:rFonts w:ascii="Cambria Math" w:hAnsi="Cambria Math"/>
              </w:rPr>
            </m:ctrlPr>
          </m:sub>
        </m:sSub>
      </m:oMath>
      <w:r>
        <w:t>​</w:t>
      </w:r>
      <w:commentRangeEnd w:id="28"/>
      <w:r>
        <w:rPr>
          <w:rStyle w:val="29"/>
        </w:rPr>
        <w:commentReference w:id="28"/>
      </w:r>
    </w:p>
    <w:p w14:paraId="4880E8C7">
      <w:pPr>
        <w:pStyle w:val="48"/>
        <w:ind w:firstLine="420"/>
      </w:pPr>
      <w:r>
        <w:rPr>
          <w:rStyle w:val="29"/>
        </w:rPr>
        <w:commentReference w:id="29"/>
      </w:r>
    </w:p>
    <w:p w14:paraId="146F006C">
      <w:pPr>
        <w:pStyle w:val="48"/>
        <w:ind w:firstLine="480"/>
      </w:pPr>
      <w:r>
        <w:t>不可见点删除（Visibility Culling）：统计每个点在训练图像中可见帧数，若低于阈值则剔除；</w:t>
      </w:r>
    </w:p>
    <w:p w14:paraId="016FF8D1">
      <w:pPr>
        <w:pStyle w:val="48"/>
        <w:ind w:firstLine="480"/>
      </w:pPr>
      <w:r>
        <w:t>权重贡献剔除：根据每个点在渲染图像中所占权重，对低权重点执行惩罚或删除；</w:t>
      </w:r>
    </w:p>
    <w:p w14:paraId="3FA92BA3">
      <w:pPr>
        <w:pStyle w:val="48"/>
        <w:ind w:firstLine="480"/>
      </w:pPr>
      <w:r>
        <w:t>SH 活跃性检测：若球谐系数长期未更新，可认定该点贡献小而移除。</w:t>
      </w:r>
    </w:p>
    <w:p w14:paraId="57FBF185">
      <w:pPr>
        <w:pStyle w:val="4"/>
        <w:spacing w:before="120"/>
      </w:pPr>
      <w:bookmarkStart w:id="54" w:name="_Toc26874"/>
      <w:r>
        <w:t>4.</w:t>
      </w:r>
      <w:r>
        <w:rPr>
          <w:rFonts w:hint="eastAsia"/>
        </w:rPr>
        <w:t>4</w:t>
      </w:r>
      <w:r>
        <w:t>.3 性能优化与加速策略</w:t>
      </w:r>
      <w:bookmarkEnd w:id="54"/>
    </w:p>
    <w:p w14:paraId="776D506F">
      <w:pPr>
        <w:pStyle w:val="48"/>
        <w:ind w:firstLine="480"/>
      </w:pPr>
      <w:r>
        <w:t>为了平衡质量与效率，可进一步引入以下技术：</w:t>
      </w:r>
    </w:p>
    <w:p w14:paraId="37B3995A">
      <w:pPr>
        <w:pStyle w:val="48"/>
        <w:ind w:firstLine="480"/>
      </w:pPr>
      <w:commentRangeStart w:id="30"/>
      <w:r>
        <w:t>分块渲染（Tile-based Splats Rendering）：将图像划分为 tile，按需加载高斯点；</w:t>
      </w:r>
    </w:p>
    <w:p w14:paraId="000EE23F">
      <w:pPr>
        <w:pStyle w:val="48"/>
        <w:ind w:firstLine="480"/>
      </w:pPr>
      <w:r>
        <w:t>视锥裁剪（Frustum Culling）：仅加载当前视角下可见高斯点；</w:t>
      </w:r>
    </w:p>
    <w:p w14:paraId="560A487A">
      <w:pPr>
        <w:pStyle w:val="48"/>
        <w:ind w:firstLine="480"/>
      </w:pPr>
      <w:r>
        <w:t>KD-tree / Octree 加速结构：快速查询局部点邻域，提高渲染速度；</w:t>
      </w:r>
    </w:p>
    <w:p w14:paraId="638B55FF">
      <w:pPr>
        <w:pStyle w:val="48"/>
        <w:ind w:firstLine="480"/>
      </w:pPr>
      <w:r>
        <w:t>混合显存与磁盘缓存：将不活跃点转存磁盘，释放 GPU 显存；</w:t>
      </w:r>
      <w:commentRangeEnd w:id="30"/>
      <w:r>
        <w:rPr>
          <w:rStyle w:val="29"/>
        </w:rPr>
        <w:commentReference w:id="30"/>
      </w:r>
    </w:p>
    <w:p w14:paraId="736F11C4">
      <w:pPr>
        <w:pStyle w:val="4"/>
        <w:spacing w:before="120"/>
      </w:pPr>
      <w:bookmarkStart w:id="55" w:name="_Toc25008"/>
      <w:r>
        <w:t>4.</w:t>
      </w:r>
      <w:r>
        <w:rPr>
          <w:rFonts w:hint="eastAsia"/>
        </w:rPr>
        <w:t>4</w:t>
      </w:r>
      <w:r>
        <w:t>.4 压缩率与质量的权衡</w:t>
      </w:r>
      <w:bookmarkEnd w:id="55"/>
    </w:p>
    <w:p w14:paraId="07098F42">
      <w:pPr>
        <w:pStyle w:val="48"/>
        <w:ind w:firstLine="480"/>
      </w:pPr>
      <w:r>
        <w:t>在部署阶段，模型大小和渲染速度成为关键性能指标：</w:t>
      </w:r>
    </w:p>
    <w:p w14:paraId="14C97E9E">
      <w:pPr>
        <w:pStyle w:val="48"/>
        <w:ind w:firstLine="480"/>
      </w:pPr>
      <w:r>
        <w:t>高压缩率意味着少量高质量的点；</w:t>
      </w:r>
    </w:p>
    <w:p w14:paraId="110B2A40">
      <w:pPr>
        <w:pStyle w:val="48"/>
        <w:ind w:firstLine="480"/>
      </w:pPr>
      <w:r>
        <w:t>高质量需求则要求保留更多局部细节点；</w:t>
      </w:r>
    </w:p>
    <w:p w14:paraId="74608B39">
      <w:pPr>
        <w:pStyle w:val="48"/>
        <w:ind w:firstLine="480"/>
      </w:pPr>
      <w:r>
        <w:t>通常使用 PSNR、LPIPS 与FPS等多指标综合评估最终效果。</w:t>
      </w:r>
    </w:p>
    <w:p w14:paraId="36CA0FD4">
      <w:pPr>
        <w:pStyle w:val="48"/>
        <w:ind w:firstLine="0" w:firstLineChars="0"/>
      </w:pPr>
    </w:p>
    <w:p w14:paraId="00CE1741">
      <w:pPr>
        <w:pStyle w:val="2"/>
      </w:pPr>
      <w:commentRangeStart w:id="31"/>
      <w:r>
        <w:rPr>
          <w:rFonts w:hint="eastAsia"/>
        </w:rPr>
        <w:t>5  三维重建系统设计与实现</w:t>
      </w:r>
      <w:commentRangeEnd w:id="31"/>
      <w:r>
        <w:rPr>
          <w:rStyle w:val="29"/>
          <w:rFonts w:ascii="Times New Roman" w:eastAsia="宋体"/>
          <w:bCs w:val="0"/>
          <w:kern w:val="0"/>
        </w:rPr>
        <w:commentReference w:id="31"/>
      </w:r>
    </w:p>
    <w:p w14:paraId="7D5EC6EA">
      <w:pPr>
        <w:pStyle w:val="48"/>
        <w:ind w:firstLine="480"/>
      </w:pPr>
      <w:commentRangeStart w:id="32"/>
      <w:r>
        <w:rPr>
          <w:rFonts w:hint="eastAsia"/>
        </w:rPr>
        <w:t>本系统旨在</w:t>
      </w:r>
      <w:commentRangeEnd w:id="32"/>
      <w:r>
        <w:rPr>
          <w:rStyle w:val="29"/>
        </w:rPr>
        <w:commentReference w:id="32"/>
      </w:r>
      <w:r>
        <w:rPr>
          <w:rFonts w:hint="eastAsia"/>
        </w:rPr>
        <w:t>实现一个基于 Web 的三维高斯泼溅（3D Gaussian Splatting, 3DGS）可视化与编辑平台，支持从 COLMAP 导出的稀疏点云与位姿信息出发，通过加载训练好的 3DGS 模型，在浏览器中实现实时渲染与交互，并为研究者和用户提供可视化调试、参数调节与数据分析的工具。</w:t>
      </w:r>
    </w:p>
    <w:p w14:paraId="380208F4">
      <w:pPr>
        <w:pStyle w:val="3"/>
        <w:spacing w:before="120"/>
      </w:pPr>
      <w:bookmarkStart w:id="56" w:name="_Toc5522"/>
      <w:r>
        <w:t>5.1 系统</w:t>
      </w:r>
      <w:commentRangeStart w:id="33"/>
      <w:r>
        <w:t>需求与分析</w:t>
      </w:r>
      <w:commentRangeEnd w:id="33"/>
      <w:bookmarkEnd w:id="56"/>
      <w:r>
        <w:rPr>
          <w:rStyle w:val="29"/>
          <w:rFonts w:ascii="Times New Roman" w:eastAsia="宋体"/>
          <w:bCs w:val="0"/>
        </w:rPr>
        <w:commentReference w:id="33"/>
      </w:r>
    </w:p>
    <w:p w14:paraId="411E4717">
      <w:pPr>
        <w:pStyle w:val="4"/>
        <w:spacing w:before="120"/>
      </w:pPr>
      <w:bookmarkStart w:id="57" w:name="_Toc2567"/>
      <w:r>
        <w:t xml:space="preserve">5.1.1 </w:t>
      </w:r>
      <w:commentRangeStart w:id="34"/>
      <w:r>
        <w:t>功能需求</w:t>
      </w:r>
      <w:bookmarkEnd w:id="57"/>
      <w:commentRangeEnd w:id="34"/>
      <w:r>
        <w:rPr>
          <w:rStyle w:val="29"/>
          <w:rFonts w:ascii="Times New Roman" w:eastAsia="宋体"/>
          <w:bCs w:val="0"/>
        </w:rPr>
        <w:commentReference w:id="34"/>
      </w:r>
    </w:p>
    <w:p w14:paraId="419A1E03">
      <w:pPr>
        <w:pStyle w:val="48"/>
        <w:ind w:firstLine="480"/>
      </w:pPr>
      <w:r>
        <w:t>为了满足三维重建的教学、科研和应用展示等需求，系统应具备以下功能模块：</w:t>
      </w:r>
    </w:p>
    <w:p w14:paraId="507E3F11">
      <w:pPr>
        <w:pStyle w:val="48"/>
        <w:ind w:firstLine="480"/>
      </w:pPr>
      <w:r>
        <w:rPr>
          <w:rFonts w:hint="eastAsia"/>
          <w:color w:val="FF0000"/>
        </w:rPr>
        <w:t>（1）</w:t>
      </w:r>
      <w:r>
        <w:rPr>
          <w:color w:val="FF0000"/>
        </w:rPr>
        <w:t>相机姿态与稀疏点云获取：</w:t>
      </w:r>
      <w:r>
        <w:t>借助 COLMAP 工具实现稀疏点云重建，并解析获取相机位姿，用于初始化场景相机</w:t>
      </w:r>
      <w:r>
        <w:rPr>
          <w:rFonts w:hint="eastAsia"/>
        </w:rPr>
        <w:t>。</w:t>
      </w:r>
    </w:p>
    <w:p w14:paraId="1646512F">
      <w:pPr>
        <w:pStyle w:val="48"/>
        <w:ind w:firstLine="480"/>
      </w:pPr>
      <w:r>
        <w:rPr>
          <w:rFonts w:hint="eastAsia"/>
          <w:color w:val="FF0000"/>
        </w:rPr>
        <w:t>（2）</w:t>
      </w:r>
      <w:r>
        <w:rPr>
          <w:color w:val="FF0000"/>
        </w:rPr>
        <w:t>DGS 模型加载与渲染：</w:t>
      </w:r>
      <w:r>
        <w:t>支持用户本地上传训练好的 .splat 或 .ksplat 格式高斯点数据，系统能解析并还原三维场景</w:t>
      </w:r>
      <w:r>
        <w:rPr>
          <w:rFonts w:hint="eastAsia"/>
        </w:rPr>
        <w:t>。</w:t>
      </w:r>
    </w:p>
    <w:p w14:paraId="22A54208">
      <w:pPr>
        <w:pStyle w:val="48"/>
        <w:ind w:firstLine="480"/>
      </w:pPr>
      <w:r>
        <w:rPr>
          <w:rFonts w:hint="eastAsia"/>
          <w:color w:val="FF0000"/>
        </w:rPr>
        <w:t>（3）</w:t>
      </w:r>
      <w:r>
        <w:rPr>
          <w:color w:val="FF0000"/>
        </w:rPr>
        <w:t>三维可视化与漫游：</w:t>
      </w:r>
      <w:r>
        <w:t>提供 Web 端交互式三维场景浏览，用户可通过鼠标旋转、缩放、拖动等方式进行漫游</w:t>
      </w:r>
      <w:r>
        <w:rPr>
          <w:rFonts w:hint="eastAsia"/>
        </w:rPr>
        <w:t>。</w:t>
      </w:r>
    </w:p>
    <w:p w14:paraId="38E2EB19">
      <w:pPr>
        <w:pStyle w:val="48"/>
        <w:ind w:firstLine="480"/>
      </w:pPr>
      <w:r>
        <w:rPr>
          <w:rFonts w:hint="eastAsia"/>
          <w:color w:val="FF0000"/>
        </w:rPr>
        <w:t>（4）</w:t>
      </w:r>
      <w:r>
        <w:rPr>
          <w:color w:val="FF0000"/>
        </w:rPr>
        <w:t>高斯泼溅参数调节：支</w:t>
      </w:r>
      <w:r>
        <w:t>持对高斯点的尺寸、颜色、方向、透明度等属性进行可视化调整</w:t>
      </w:r>
      <w:r>
        <w:rPr>
          <w:rFonts w:hint="eastAsia"/>
        </w:rPr>
        <w:t>。</w:t>
      </w:r>
    </w:p>
    <w:p w14:paraId="7461EEC7">
      <w:pPr>
        <w:pStyle w:val="48"/>
        <w:ind w:firstLine="480"/>
      </w:pPr>
      <w:r>
        <w:rPr>
          <w:rFonts w:hint="eastAsia"/>
          <w:color w:val="FF0000"/>
        </w:rPr>
        <w:t>（5）</w:t>
      </w:r>
      <w:r>
        <w:rPr>
          <w:color w:val="FF0000"/>
        </w:rPr>
        <w:t>光照控制与 SH 拟合展示：</w:t>
      </w:r>
      <w:r>
        <w:t>允许用户调节环境光方向、颜色，展示球谐光照模拟效果</w:t>
      </w:r>
      <w:r>
        <w:rPr>
          <w:rFonts w:hint="eastAsia"/>
        </w:rPr>
        <w:t>。</w:t>
      </w:r>
    </w:p>
    <w:p w14:paraId="6C123A2E">
      <w:pPr>
        <w:pStyle w:val="48"/>
        <w:ind w:firstLine="480"/>
      </w:pPr>
      <w:r>
        <w:rPr>
          <w:rFonts w:hint="eastAsia"/>
          <w:color w:val="FF0000"/>
        </w:rPr>
        <w:t>（6）</w:t>
      </w:r>
      <w:r>
        <w:rPr>
          <w:color w:val="FF0000"/>
        </w:rPr>
        <w:t>界面友好</w:t>
      </w:r>
      <w:r>
        <w:rPr>
          <w:rFonts w:hint="eastAsia"/>
          <w:color w:val="FF0000"/>
        </w:rPr>
        <w:t>且</w:t>
      </w:r>
      <w:r>
        <w:rPr>
          <w:color w:val="FF0000"/>
        </w:rPr>
        <w:t>体验流畅：</w:t>
      </w:r>
      <w:r>
        <w:t>系统整体界面应简洁直观，响应迅速，具有良好的用户交互体验</w:t>
      </w:r>
      <w:r>
        <w:rPr>
          <w:rFonts w:hint="eastAsia"/>
        </w:rPr>
        <w:t>。</w:t>
      </w:r>
    </w:p>
    <w:p w14:paraId="124EFA83">
      <w:pPr>
        <w:pStyle w:val="48"/>
        <w:ind w:firstLine="480"/>
        <w:jc w:val="center"/>
      </w:pPr>
      <w:commentRangeStart w:id="35"/>
      <w:r>
        <w:drawing>
          <wp:inline distT="0" distB="0" distL="114300" distR="114300">
            <wp:extent cx="4763770" cy="1325880"/>
            <wp:effectExtent l="0" t="0" r="7620"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0"/>
                    <a:srcRect r="42318" b="1325"/>
                    <a:stretch>
                      <a:fillRect/>
                    </a:stretch>
                  </pic:blipFill>
                  <pic:spPr>
                    <a:xfrm>
                      <a:off x="0" y="0"/>
                      <a:ext cx="4763770" cy="1325880"/>
                    </a:xfrm>
                    <a:prstGeom prst="rect">
                      <a:avLst/>
                    </a:prstGeom>
                    <a:noFill/>
                    <a:ln>
                      <a:noFill/>
                    </a:ln>
                  </pic:spPr>
                </pic:pic>
              </a:graphicData>
            </a:graphic>
          </wp:inline>
        </w:drawing>
      </w:r>
      <w:commentRangeEnd w:id="35"/>
      <w:r>
        <w:rPr>
          <w:rStyle w:val="29"/>
        </w:rPr>
        <w:commentReference w:id="35"/>
      </w:r>
    </w:p>
    <w:p w14:paraId="7AED3A8B">
      <w:pPr>
        <w:pStyle w:val="48"/>
        <w:ind w:firstLine="480"/>
        <w:jc w:val="center"/>
      </w:pPr>
      <w:r>
        <w:drawing>
          <wp:inline distT="0" distB="0" distL="114300" distR="114300">
            <wp:extent cx="4725670" cy="934085"/>
            <wp:effectExtent l="0" t="0" r="2540"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1"/>
                    <a:stretch>
                      <a:fillRect/>
                    </a:stretch>
                  </pic:blipFill>
                  <pic:spPr>
                    <a:xfrm>
                      <a:off x="0" y="0"/>
                      <a:ext cx="4725670" cy="934085"/>
                    </a:xfrm>
                    <a:prstGeom prst="rect">
                      <a:avLst/>
                    </a:prstGeom>
                    <a:noFill/>
                    <a:ln>
                      <a:noFill/>
                    </a:ln>
                  </pic:spPr>
                </pic:pic>
              </a:graphicData>
            </a:graphic>
          </wp:inline>
        </w:drawing>
      </w:r>
    </w:p>
    <w:p w14:paraId="79EBE738">
      <w:pPr>
        <w:pStyle w:val="43"/>
        <w:ind w:firstLine="420"/>
        <w:rPr>
          <w:rFonts w:hint="eastAsia"/>
        </w:rPr>
      </w:pPr>
      <w:r>
        <w:rPr>
          <w:rFonts w:hint="eastAsia"/>
          <w:lang w:eastAsia="zh-CN"/>
        </w:rPr>
        <w:t>图5.1</w:t>
      </w:r>
      <w:r>
        <w:rPr>
          <w:rFonts w:hint="eastAsia"/>
        </w:rPr>
        <w:t>数据流图</w:t>
      </w:r>
    </w:p>
    <w:p w14:paraId="6A1251F1">
      <w:pPr>
        <w:pStyle w:val="48"/>
        <w:ind w:firstLine="480"/>
        <w:jc w:val="center"/>
      </w:pPr>
    </w:p>
    <w:p w14:paraId="5BDE7B77">
      <w:pPr>
        <w:pStyle w:val="48"/>
        <w:ind w:firstLine="420"/>
        <w:jc w:val="left"/>
      </w:pPr>
      <w:r>
        <w:rPr>
          <w:rStyle w:val="29"/>
        </w:rPr>
        <w:commentReference w:id="36"/>
      </w:r>
    </w:p>
    <w:p w14:paraId="01337A2C">
      <w:pPr>
        <w:pStyle w:val="4"/>
        <w:spacing w:before="120"/>
      </w:pPr>
      <w:bookmarkStart w:id="58" w:name="_Toc31600"/>
      <w:commentRangeStart w:id="37"/>
      <w:r>
        <w:t>5.1.2 技术需求</w:t>
      </w:r>
      <w:bookmarkEnd w:id="58"/>
      <w:commentRangeEnd w:id="37"/>
      <w:r>
        <w:rPr>
          <w:rStyle w:val="29"/>
          <w:rFonts w:ascii="Times New Roman" w:eastAsia="宋体"/>
          <w:bCs w:val="0"/>
        </w:rPr>
        <w:commentReference w:id="37"/>
      </w:r>
    </w:p>
    <w:p w14:paraId="334BA97E">
      <w:pPr>
        <w:pStyle w:val="48"/>
        <w:ind w:firstLine="480"/>
      </w:pPr>
      <w:commentRangeStart w:id="38"/>
      <w:r>
        <w:t>前端采用 React + Three.js 实现实时 Web 端 3D 渲染；后端使用 Node.js 和 Express 框架搭建，负责文件管理、任务调度；</w:t>
      </w:r>
      <w:r>
        <w:rPr>
          <w:rFonts w:hint="eastAsia"/>
        </w:rPr>
        <w:t>模型训练基于原作者的算法模型，对点云数据进行处理，并生成3dgs格式的模型</w:t>
      </w:r>
      <w:commentRangeEnd w:id="38"/>
      <w:r>
        <w:rPr>
          <w:rStyle w:val="29"/>
        </w:rPr>
        <w:commentReference w:id="38"/>
      </w:r>
    </w:p>
    <w:p w14:paraId="78B210F3">
      <w:pPr>
        <w:pStyle w:val="3"/>
        <w:spacing w:before="120"/>
      </w:pPr>
      <w:bookmarkStart w:id="59" w:name="_Toc31307"/>
      <w:r>
        <w:t>5.2 后端模块设计</w:t>
      </w:r>
      <w:bookmarkEnd w:id="59"/>
    </w:p>
    <w:p w14:paraId="624133BC">
      <w:pPr>
        <w:pStyle w:val="48"/>
        <w:ind w:firstLine="480"/>
      </w:pPr>
      <w:commentRangeStart w:id="39"/>
      <w:r>
        <w:t>系统后端主要基于 Node.js 平台实现，</w:t>
      </w:r>
      <w:r>
        <w:rPr>
          <w:rFonts w:hint="eastAsia"/>
        </w:rPr>
        <w:t>并使用SQLite保存用户注册的数据。</w:t>
      </w:r>
      <w:commentRangeEnd w:id="39"/>
      <w:r>
        <w:rPr>
          <w:rStyle w:val="29"/>
        </w:rPr>
        <w:commentReference w:id="39"/>
      </w:r>
    </w:p>
    <w:p w14:paraId="7A6A9E11">
      <w:pPr>
        <w:pStyle w:val="3"/>
        <w:spacing w:before="120"/>
      </w:pPr>
      <w:bookmarkStart w:id="60" w:name="_Toc1579"/>
      <w:r>
        <w:t>5.3 前端渲染模块设计</w:t>
      </w:r>
      <w:bookmarkEnd w:id="60"/>
    </w:p>
    <w:p w14:paraId="673EEC28">
      <w:pPr>
        <w:pStyle w:val="48"/>
        <w:ind w:firstLine="480"/>
      </w:pPr>
      <w:r>
        <w:t>前端采用 React 构建组件化页面结构，结合 Three.js 实现 3D 可视化功能，核心模块包括：</w:t>
      </w:r>
    </w:p>
    <w:p w14:paraId="73F6AFA4">
      <w:pPr>
        <w:pStyle w:val="4"/>
        <w:spacing w:before="120"/>
      </w:pPr>
      <w:bookmarkStart w:id="61" w:name="_Toc1059"/>
      <w:commentRangeStart w:id="40"/>
      <w:r>
        <w:t>5.3.1 场景构建与数据加载</w:t>
      </w:r>
      <w:commentRangeEnd w:id="40"/>
      <w:bookmarkEnd w:id="61"/>
      <w:r>
        <w:rPr>
          <w:rStyle w:val="29"/>
          <w:rFonts w:ascii="Times New Roman" w:eastAsia="宋体"/>
          <w:bCs w:val="0"/>
        </w:rPr>
        <w:commentReference w:id="40"/>
      </w:r>
    </w:p>
    <w:p w14:paraId="59BD231C">
      <w:pPr>
        <w:pStyle w:val="48"/>
        <w:ind w:firstLine="480"/>
      </w:pPr>
      <w:r>
        <w:t>基于 THREE.Scene、THREE.Camera 等类构建基础渲染场景；支持 GLTF 模型、</w:t>
      </w:r>
      <w:r>
        <w:rPr>
          <w:rFonts w:hint="eastAsia"/>
        </w:rPr>
        <w:t>ksplat</w:t>
      </w:r>
      <w:r>
        <w:t>格式点云的解析与转换。</w:t>
      </w:r>
    </w:p>
    <w:p w14:paraId="47F8BED1">
      <w:pPr>
        <w:pStyle w:val="4"/>
        <w:spacing w:before="120"/>
      </w:pPr>
      <w:bookmarkStart w:id="62" w:name="_Toc13469"/>
      <w:commentRangeStart w:id="41"/>
      <w:r>
        <w:t>5.3.2 高斯泼溅可视化实现</w:t>
      </w:r>
      <w:commentRangeEnd w:id="41"/>
      <w:bookmarkEnd w:id="62"/>
      <w:r>
        <w:rPr>
          <w:rStyle w:val="29"/>
          <w:rFonts w:ascii="Times New Roman" w:eastAsia="宋体"/>
          <w:bCs w:val="0"/>
        </w:rPr>
        <w:commentReference w:id="41"/>
      </w:r>
    </w:p>
    <w:p w14:paraId="2CBD2301">
      <w:pPr>
        <w:pStyle w:val="48"/>
        <w:ind w:firstLine="480"/>
      </w:pPr>
      <w:r>
        <w:t>模拟高斯分布形状（如球体、椭球体）并动态调整其半径、透明度与颜色；使用基于 ShaderMaterial 的 GLSL 编写渲染材质，支持对 SH 光照效果的简单模拟；提供参数调节面板，允许用户实时调节高斯点属性（如尺度、方向、颜色等）。</w:t>
      </w:r>
      <w:r>
        <w:rPr>
          <w:rFonts w:hint="eastAsia"/>
        </w:rPr>
        <w:t>能够编辑加载和处理的GLTF模型和动画。</w:t>
      </w:r>
    </w:p>
    <w:p w14:paraId="6EF4B75A">
      <w:pPr>
        <w:pStyle w:val="4"/>
        <w:spacing w:before="120"/>
      </w:pPr>
      <w:bookmarkStart w:id="63" w:name="_Toc13947"/>
      <w:commentRangeStart w:id="42"/>
      <w:r>
        <w:t>5.3.3 用户交互与界面设计</w:t>
      </w:r>
      <w:commentRangeEnd w:id="42"/>
      <w:bookmarkEnd w:id="63"/>
      <w:r>
        <w:rPr>
          <w:rStyle w:val="29"/>
          <w:rFonts w:ascii="Times New Roman" w:eastAsia="宋体"/>
          <w:bCs w:val="0"/>
        </w:rPr>
        <w:commentReference w:id="42"/>
      </w:r>
    </w:p>
    <w:p w14:paraId="3D2AD74E">
      <w:pPr>
        <w:pStyle w:val="48"/>
        <w:ind w:firstLine="480"/>
      </w:pPr>
      <w:r>
        <w:t>提供鼠标操作支持，包括旋转、缩放、拖拽等；引入调试面板提升交互体验。</w:t>
      </w:r>
    </w:p>
    <w:p w14:paraId="2F929C7C">
      <w:pPr>
        <w:pStyle w:val="48"/>
        <w:ind w:firstLine="0" w:firstLineChars="0"/>
        <w:jc w:val="center"/>
      </w:pPr>
      <w:r>
        <w:drawing>
          <wp:inline distT="0" distB="0" distL="114300" distR="114300">
            <wp:extent cx="4740910" cy="2636520"/>
            <wp:effectExtent l="0" t="0" r="889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2"/>
                    <a:stretch>
                      <a:fillRect/>
                    </a:stretch>
                  </pic:blipFill>
                  <pic:spPr>
                    <a:xfrm>
                      <a:off x="0" y="0"/>
                      <a:ext cx="4740910" cy="2636520"/>
                    </a:xfrm>
                    <a:prstGeom prst="rect">
                      <a:avLst/>
                    </a:prstGeom>
                    <a:noFill/>
                    <a:ln>
                      <a:noFill/>
                    </a:ln>
                  </pic:spPr>
                </pic:pic>
              </a:graphicData>
            </a:graphic>
          </wp:inline>
        </w:drawing>
      </w:r>
    </w:p>
    <w:p w14:paraId="268A1006">
      <w:pPr>
        <w:pStyle w:val="48"/>
        <w:ind w:firstLine="0" w:firstLineChars="0"/>
        <w:jc w:val="center"/>
      </w:pPr>
      <w:r>
        <w:rPr>
          <w:rFonts w:hint="eastAsia"/>
        </w:rPr>
        <w:t>图5.2系统用户登录界面</w:t>
      </w:r>
    </w:p>
    <w:p w14:paraId="19957AE4">
      <w:pPr>
        <w:pStyle w:val="48"/>
        <w:ind w:firstLine="0" w:firstLineChars="0"/>
        <w:jc w:val="center"/>
      </w:pPr>
      <w:commentRangeStart w:id="43"/>
      <w:r>
        <w:drawing>
          <wp:inline distT="0" distB="0" distL="114300" distR="114300">
            <wp:extent cx="4725035" cy="2506345"/>
            <wp:effectExtent l="0" t="0" r="3175"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3"/>
                    <a:stretch>
                      <a:fillRect/>
                    </a:stretch>
                  </pic:blipFill>
                  <pic:spPr>
                    <a:xfrm>
                      <a:off x="0" y="0"/>
                      <a:ext cx="4725035" cy="2506345"/>
                    </a:xfrm>
                    <a:prstGeom prst="rect">
                      <a:avLst/>
                    </a:prstGeom>
                    <a:noFill/>
                    <a:ln>
                      <a:noFill/>
                    </a:ln>
                  </pic:spPr>
                </pic:pic>
              </a:graphicData>
            </a:graphic>
          </wp:inline>
        </w:drawing>
      </w:r>
      <w:commentRangeEnd w:id="43"/>
      <w:r>
        <w:rPr>
          <w:rStyle w:val="29"/>
        </w:rPr>
        <w:commentReference w:id="43"/>
      </w:r>
    </w:p>
    <w:p w14:paraId="169845F6">
      <w:pPr>
        <w:pStyle w:val="48"/>
        <w:ind w:firstLine="0" w:firstLineChars="0"/>
        <w:jc w:val="center"/>
      </w:pPr>
      <w:r>
        <w:rPr>
          <w:rFonts w:hint="eastAsia"/>
        </w:rPr>
        <w:t>图5.3系统渲染操作界</w:t>
      </w:r>
      <w:bookmarkStart w:id="64" w:name="_Toc216894844"/>
      <w:bookmarkStart w:id="65" w:name="_Toc1770"/>
      <w:r>
        <w:rPr>
          <w:rFonts w:hint="eastAsia"/>
        </w:rPr>
        <w:t>面</w:t>
      </w:r>
    </w:p>
    <w:p w14:paraId="6AC0ACA1">
      <w:pPr>
        <w:pStyle w:val="2"/>
      </w:pPr>
      <w:r>
        <w:rPr>
          <w:rFonts w:hint="eastAsia"/>
        </w:rPr>
        <w:t xml:space="preserve">6  </w:t>
      </w:r>
      <w:bookmarkEnd w:id="64"/>
      <w:r>
        <w:rPr>
          <w:rFonts w:hint="eastAsia"/>
        </w:rPr>
        <w:t>总结与展望</w:t>
      </w:r>
      <w:bookmarkEnd w:id="65"/>
    </w:p>
    <w:p w14:paraId="7CAB9A84">
      <w:pPr>
        <w:pStyle w:val="3"/>
        <w:spacing w:before="120"/>
      </w:pPr>
      <w:bookmarkStart w:id="66" w:name="_Toc2076"/>
      <w:r>
        <w:rPr>
          <w:rFonts w:hint="eastAsia"/>
        </w:rPr>
        <w:t>6.1 全文总结</w:t>
      </w:r>
      <w:bookmarkEnd w:id="66"/>
    </w:p>
    <w:p w14:paraId="5E53A7B9">
      <w:pPr>
        <w:pStyle w:val="48"/>
        <w:ind w:firstLine="480"/>
      </w:pPr>
      <w:r>
        <w:t>本文围绕基于高斯泼溅的三维重建系统展开研究，重点探讨了从图像输入到高质量点云渲染输出的整个技术流程。全文的研究工作可分为以下几个方面：</w:t>
      </w:r>
    </w:p>
    <w:p w14:paraId="4A564218">
      <w:pPr>
        <w:pStyle w:val="48"/>
        <w:ind w:firstLine="480"/>
      </w:pPr>
      <w:r>
        <w:t>首先，在图像预处理与稀疏点云重建方面，本文基于 COLMAP 工具对多视角图像进行特征匹配和结构光束法束束优化，得到稀疏点云和相机位姿，为后续三维建模提供了可靠的初始结构。为了提升点云质量，引入了 PointNet 网络对稀疏点云进行感知优化，在保证全局结构的同时提高了局部几何表达的准确性。</w:t>
      </w:r>
    </w:p>
    <w:p w14:paraId="6A325D0C">
      <w:pPr>
        <w:pStyle w:val="48"/>
        <w:ind w:firstLine="480"/>
      </w:pPr>
      <w:r>
        <w:t>其次，在高斯泼溅的三维表示方法方面，本文系统介绍了 3D Gaussian Splatting（3DGS）的表示原理、渲染机制与参数建模。与传统的体素和网格表示不同，3DGS 通过大量具有空间分布和方向性的高斯点实现了高效且可微的三维建模与渲染过程，为无网格重建技术开辟了新方向。</w:t>
      </w:r>
    </w:p>
    <w:p w14:paraId="29287665">
      <w:pPr>
        <w:pStyle w:val="48"/>
        <w:ind w:firstLine="480"/>
      </w:pPr>
      <w:r>
        <w:t>在渲染部分，本文重点分析了可微渲染的数学原理，包括基于密度和透明度的融合机制、投影机制、遮挡建模，以及梯度传播方式。此外，还引入球谐函数建模点的方向性反射特征，进一步提升了渲染光照的真实性和一致性，为高斯泼溅模型在复杂光照环境下的表现提供了理论基础。</w:t>
      </w:r>
    </w:p>
    <w:p w14:paraId="1052BCCA">
      <w:pPr>
        <w:pStyle w:val="48"/>
        <w:ind w:firstLine="480"/>
      </w:pPr>
      <w:r>
        <w:t>接着，本文详细讨论了参数初始化与训练策略，通过多阶段、多目标的优化方法，使得高斯点能够从稀疏粗糙的初始状态逐步优化为稠密、细节丰富的三维表示。为了进一步优化模型性能和存储开销，本文提出了一套高斯点的压缩与裁剪机制，动态调整高斯点数量，保证模型在推理时具备良好的效率与可用性。</w:t>
      </w:r>
    </w:p>
    <w:p w14:paraId="5121386B">
      <w:pPr>
        <w:pStyle w:val="48"/>
        <w:ind w:firstLine="480"/>
      </w:pPr>
      <w:r>
        <w:t>最后，本文的研究成果不仅可直接应用于无网格三维建模、全景重建、AR/VR 等前沿领域，也为点云渲染、可微图形学等方向的研究提供了可推广的思路与方法。</w:t>
      </w:r>
    </w:p>
    <w:p w14:paraId="027E5311">
      <w:pPr>
        <w:pStyle w:val="48"/>
        <w:ind w:firstLine="480"/>
      </w:pPr>
      <w:r>
        <w:t>综上所述，本文从稀疏点云的生成与优化出发，系统构建了一套以 3DGS 为核心的高质量三维重建流程，验证了其在精度、速度、扩展性等方面的优势，展示了基于高斯泼溅的三维建模技术的巨大潜力。</w:t>
      </w:r>
    </w:p>
    <w:p w14:paraId="5777723D">
      <w:pPr>
        <w:pStyle w:val="3"/>
        <w:spacing w:before="120"/>
      </w:pPr>
      <w:bookmarkStart w:id="67" w:name="_Toc216894846"/>
      <w:bookmarkStart w:id="68" w:name="_Toc5401"/>
      <w:r>
        <w:rPr>
          <w:rFonts w:hint="eastAsia"/>
        </w:rPr>
        <w:t xml:space="preserve">6.2  </w:t>
      </w:r>
      <w:bookmarkEnd w:id="67"/>
      <w:r>
        <w:rPr>
          <w:rFonts w:hint="eastAsia"/>
        </w:rPr>
        <w:t>展望</w:t>
      </w:r>
      <w:bookmarkEnd w:id="68"/>
    </w:p>
    <w:p w14:paraId="1C667A0F">
      <w:pPr>
        <w:pStyle w:val="48"/>
        <w:ind w:firstLine="0" w:firstLineChars="0"/>
      </w:pPr>
      <w:r>
        <w:rPr>
          <w:rFonts w:hint="eastAsia"/>
        </w:rPr>
        <w:tab/>
      </w:r>
      <w:r>
        <w:rPr>
          <w:rFonts w:hint="eastAsia"/>
        </w:rPr>
        <w:t xml:space="preserve"> </w:t>
      </w:r>
      <w:r>
        <w:t>尽管本文在 3D 高斯泼溅建模领域取得了阶段性成果，但当前系统仍有诸多可扩展和优化的方向，未来的研究可以从以下几个方面深入探索：</w:t>
      </w:r>
    </w:p>
    <w:p w14:paraId="22655A82">
      <w:pPr>
        <w:pStyle w:val="48"/>
        <w:ind w:firstLine="480"/>
      </w:pPr>
      <w:r>
        <w:t>（1）稠密点云与几何细节建模</w:t>
      </w:r>
    </w:p>
    <w:p w14:paraId="254DE487">
      <w:pPr>
        <w:pStyle w:val="48"/>
        <w:ind w:firstLine="480"/>
      </w:pPr>
      <w:r>
        <w:t>目前系统主要依赖稀疏点云和单一图像信息进行重建，尽管通过可微优化与高斯点增强提高了质量，但在一些纹理重复或无纹理区域仍难以还原细节。未来可以融合多源信息（如深度图、法线图、激光点云）以获得更高质量的几何形态。</w:t>
      </w:r>
    </w:p>
    <w:p w14:paraId="3844C478">
      <w:pPr>
        <w:pStyle w:val="48"/>
        <w:ind w:firstLine="480"/>
      </w:pPr>
      <w:r>
        <w:t>（2）实时渲染与轻量化模型压缩</w:t>
      </w:r>
    </w:p>
    <w:p w14:paraId="4131F6A0">
      <w:pPr>
        <w:pStyle w:val="48"/>
        <w:ind w:firstLine="480"/>
      </w:pPr>
      <w:r>
        <w:t>高斯泼溅的实时渲染能力虽然较强，但在高点数场景中仍可能面临带宽与显存瓶颈。后续可进一步探索基于硬件特性的图形加速（如 WebGPU、CUDA 光线追踪）与压缩技术（如点的分层 LOD、稀疏索引结构）来提升系统响应效率，拓展移动端和 Web 应用的适配能力。</w:t>
      </w:r>
    </w:p>
    <w:p w14:paraId="34CF3975">
      <w:pPr>
        <w:pStyle w:val="48"/>
        <w:ind w:firstLine="480"/>
      </w:pPr>
      <w:r>
        <w:t>（3）动态场景建模与时序一致性优化</w:t>
      </w:r>
    </w:p>
    <w:p w14:paraId="0CDC1579">
      <w:pPr>
        <w:pStyle w:val="48"/>
        <w:ind w:firstLine="0" w:firstLineChars="0"/>
      </w:pPr>
      <w:r>
        <w:rPr>
          <w:rFonts w:hint="eastAsia"/>
        </w:rPr>
        <w:tab/>
      </w:r>
      <w:r>
        <w:rPr>
          <w:rFonts w:hint="eastAsia"/>
        </w:rPr>
        <w:t xml:space="preserve"> </w:t>
      </w:r>
      <w:r>
        <w:t>当前系统主要面向静态场景。如何将高斯泼溅拓展至可动对象与动态场景是一个值得探索的方向。可以考虑引入时间维度上的高斯点轨迹建模、基于物体跟踪的动态姿态预测机制，结合连续帧之间的可微约束，实现对动态环境的连续重建。</w:t>
      </w:r>
    </w:p>
    <w:p w14:paraId="72307FDF">
      <w:pPr>
        <w:pStyle w:val="48"/>
        <w:ind w:firstLine="480"/>
      </w:pPr>
      <w:r>
        <w:t>（4）融合深度学习的高斯生成器</w:t>
      </w:r>
    </w:p>
    <w:p w14:paraId="49A681B3">
      <w:pPr>
        <w:pStyle w:val="48"/>
        <w:ind w:firstLine="480"/>
      </w:pPr>
      <w:r>
        <w:t>当前点的初始化与优化仍然依赖于显式手工步骤，未来可探索使用生成式模型（如 Diffusion 模型、VAE 或 NeRF 结构）预测高斯点的位置与属性，甚至通过文本或语义描述直接生成三维高斯模型，实现语义驱动的三维重建。</w:t>
      </w:r>
    </w:p>
    <w:p w14:paraId="13CA9B41">
      <w:pPr>
        <w:pStyle w:val="48"/>
        <w:ind w:firstLine="480"/>
      </w:pPr>
      <w:r>
        <w:t>（5）交互式编辑与应用拓展</w:t>
      </w:r>
    </w:p>
    <w:p w14:paraId="5EB2BD51">
      <w:pPr>
        <w:pStyle w:val="48"/>
        <w:ind w:firstLine="480"/>
      </w:pPr>
      <w:r>
        <w:t>3DGS 不仅适合用于重建与可视化，也具有良好的可编辑性与物理可解释性。未来可以将其集成到三维编辑工具中，实现高斯点级别的交互修改、分割、重定向等操作，推动其在游戏制作、虚拟现实、数字文物保护等领域的实际落地。</w:t>
      </w:r>
    </w:p>
    <w:p w14:paraId="0A15A8D1">
      <w:bookmarkStart w:id="69" w:name="_Toc21209"/>
    </w:p>
    <w:p w14:paraId="7BFA0BF9"/>
    <w:p w14:paraId="42AA5C8C">
      <w:pPr>
        <w:pStyle w:val="2"/>
      </w:pPr>
      <w:r>
        <w:rPr>
          <w:rFonts w:hint="eastAsia"/>
        </w:rPr>
        <w:t>致    谢</w:t>
      </w:r>
      <w:bookmarkEnd w:id="69"/>
    </w:p>
    <w:p w14:paraId="1CAD41E6">
      <w:pPr>
        <w:pStyle w:val="48"/>
        <w:ind w:firstLine="480"/>
      </w:pPr>
      <w:r>
        <w:rPr>
          <w:rFonts w:hint="eastAsia"/>
        </w:rPr>
        <w:t>时光荏苒，毕业论文的写作即将画上句号，在此我怀着无比感激的心情向在我学习和研究过程中给予指导与帮助的老师、同学和亲友致以诚挚的谢意。</w:t>
      </w:r>
    </w:p>
    <w:p w14:paraId="3DC5E2A1">
      <w:pPr>
        <w:pStyle w:val="48"/>
        <w:ind w:firstLine="480"/>
      </w:pPr>
      <w:r>
        <w:rPr>
          <w:rFonts w:hint="eastAsia"/>
        </w:rPr>
        <w:t>首先，我要衷心感谢我的导师杨庆老师，在本论文的选题、研究、撰写等各个阶段，给予了我细致入微的指导和无私的帮助。导师严谨的治学态度、深厚的专业素养和踏实认真的工作作风，对我影响深远，使我在毕设工作上受益良多。</w:t>
      </w:r>
    </w:p>
    <w:p w14:paraId="6B941EAA">
      <w:pPr>
        <w:pStyle w:val="48"/>
        <w:ind w:firstLine="480"/>
      </w:pPr>
      <w:r>
        <w:rPr>
          <w:rFonts w:hint="eastAsia"/>
        </w:rPr>
        <w:t>其次，感谢所在课题组的各位同学与前辈们，大家在项目实施和学术交流过程中给予了我极大的启发和鼓励。特别是在实验搭建、代码实现和论文讨论中，大家的建议与协作让我少走了许多弯路，也让我体会到了团队合作的力量。</w:t>
      </w:r>
    </w:p>
    <w:p w14:paraId="2C695A58">
      <w:pPr>
        <w:pStyle w:val="48"/>
        <w:ind w:firstLine="480"/>
      </w:pPr>
      <w:r>
        <w:rPr>
          <w:rFonts w:hint="eastAsia"/>
        </w:rPr>
        <w:t>感谢信息科学与工程学院大数据与人工智能系梁宗保教授、刘新龙老师、王笛老师，杨翔立老师等在学业方面给予的指导和帮助；感谢辅导员张秋玉老师、金其奇老师在本科学习生活中给予的照顾和关怀。</w:t>
      </w:r>
    </w:p>
    <w:p w14:paraId="60BB9BBD">
      <w:pPr>
        <w:pStyle w:val="48"/>
        <w:ind w:firstLine="480"/>
      </w:pPr>
      <w:r>
        <w:rPr>
          <w:rFonts w:hint="eastAsia"/>
        </w:rPr>
        <w:t>感谢我的同学李财华、甘孝平等，前专业的袁倩，吴智博，四年本科时光同你们度过留下许多美好的回忆，大家在相互帮助、鼓励和学习中一起度过了这段最美好的时光，你们是我求学探索道路上的最重要的力量，祝你们未来一切顺利。</w:t>
      </w:r>
    </w:p>
    <w:p w14:paraId="18527D3A">
      <w:pPr>
        <w:pStyle w:val="48"/>
        <w:ind w:firstLine="480"/>
      </w:pPr>
      <w:r>
        <w:rPr>
          <w:rFonts w:hint="eastAsia"/>
        </w:rPr>
        <w:t>同时，也要感谢我在实习期间接触到的同校学长朱悦凯和导师谢传金，在我人生中第一次参加工作的时候给予了非常多的帮助，无论是生活上，技术上，还是个人发展上，对我影响深远。</w:t>
      </w:r>
    </w:p>
    <w:p w14:paraId="2F9ACC33">
      <w:pPr>
        <w:pStyle w:val="48"/>
        <w:ind w:firstLine="480"/>
      </w:pPr>
      <w:r>
        <w:rPr>
          <w:rFonts w:hint="eastAsia"/>
        </w:rPr>
        <w:t>此外，我还要感谢我的家人，是他们一如既往的支持与鼓励，给予我坚实的后盾，使我在遇到困难与挑战时依旧充满勇气和动力。</w:t>
      </w:r>
    </w:p>
    <w:p w14:paraId="609887DB">
      <w:pPr>
        <w:pStyle w:val="48"/>
        <w:ind w:firstLine="480"/>
      </w:pPr>
      <w:r>
        <w:rPr>
          <w:rFonts w:hint="eastAsia"/>
        </w:rPr>
        <w:t>最后，感谢母校为我提供了优良的学习与研究环境，使我有机会在图形学与人工智能交叉领域深入探索，为将来迈向更高的学术台阶打下了坚实基础。</w:t>
      </w:r>
    </w:p>
    <w:p w14:paraId="56A0D9C3">
      <w:pPr>
        <w:pStyle w:val="48"/>
        <w:ind w:firstLine="480"/>
      </w:pPr>
      <w:r>
        <w:rPr>
          <w:rFonts w:hint="eastAsia"/>
        </w:rPr>
        <w:t>谨以此文，献给所有关心和支持过我的人。</w:t>
      </w:r>
    </w:p>
    <w:p w14:paraId="73CEFBAF">
      <w:pPr>
        <w:spacing w:line="440" w:lineRule="exact"/>
      </w:pPr>
    </w:p>
    <w:p w14:paraId="669A4D5A">
      <w:pPr>
        <w:spacing w:line="440" w:lineRule="exact"/>
      </w:pPr>
    </w:p>
    <w:p w14:paraId="48965B5F">
      <w:pPr>
        <w:spacing w:line="440" w:lineRule="exact"/>
      </w:pPr>
    </w:p>
    <w:p w14:paraId="4B3C3802">
      <w:pPr>
        <w:pStyle w:val="20"/>
        <w:outlineLvl w:val="0"/>
      </w:pPr>
      <w:r>
        <w:br w:type="page"/>
      </w:r>
      <w:bookmarkStart w:id="70" w:name="_Toc216894849"/>
      <w:bookmarkStart w:id="71" w:name="_Toc26658"/>
      <w:r>
        <w:rPr>
          <w:rFonts w:hint="eastAsia"/>
        </w:rPr>
        <w:t>参 考 文 献</w:t>
      </w:r>
      <w:bookmarkEnd w:id="70"/>
      <w:bookmarkEnd w:id="71"/>
      <w:bookmarkStart w:id="72" w:name="参考文献范例"/>
      <w:bookmarkEnd w:id="72"/>
    </w:p>
    <w:p w14:paraId="603D7F2A">
      <w:pPr>
        <w:pStyle w:val="47"/>
        <w:ind w:left="420" w:hanging="420"/>
      </w:pPr>
      <w:r>
        <w:rPr>
          <w:rFonts w:hint="eastAsia"/>
        </w:rPr>
        <w:t>高建,陈林卓,沈秋,等.基于三维高斯溅射技术的可微分渲染研究进展</w:t>
      </w:r>
      <w:commentRangeStart w:id="44"/>
      <w:r>
        <w:rPr>
          <w:rFonts w:hint="eastAsia"/>
        </w:rPr>
        <w:t>[J/OL].</w:t>
      </w:r>
      <w:commentRangeEnd w:id="44"/>
      <w:r>
        <w:rPr>
          <w:rStyle w:val="29"/>
          <w:lang w:bidi="ar-SA"/>
        </w:rPr>
        <w:commentReference w:id="44"/>
      </w:r>
      <w:r>
        <w:rPr>
          <w:rFonts w:hint="eastAsia"/>
        </w:rPr>
        <w:t>激光与光电子学进展,1-23[2025-04-13].</w:t>
      </w:r>
    </w:p>
    <w:p w14:paraId="32445150">
      <w:pPr>
        <w:pStyle w:val="47"/>
        <w:ind w:left="420" w:hanging="420"/>
      </w:pPr>
      <w:r>
        <w:rPr>
          <w:rFonts w:hint="eastAsia"/>
        </w:rPr>
        <w:t>朱东林,陈淼,毛宇岩,等.三维高斯泼溅技术在场景重建中的现状与挑战</w:t>
      </w:r>
      <w:commentRangeStart w:id="45"/>
      <w:r>
        <w:rPr>
          <w:rFonts w:hint="eastAsia"/>
        </w:rPr>
        <w:t>[J/OL]</w:t>
      </w:r>
      <w:commentRangeEnd w:id="45"/>
      <w:r>
        <w:rPr>
          <w:rStyle w:val="29"/>
          <w:lang w:bidi="ar-SA"/>
        </w:rPr>
        <w:commentReference w:id="45"/>
      </w:r>
      <w:r>
        <w:rPr>
          <w:rFonts w:hint="eastAsia"/>
        </w:rPr>
        <w:t>.集成技术,1-17[2025-04-13].</w:t>
      </w:r>
    </w:p>
    <w:p w14:paraId="01F048DA">
      <w:pPr>
        <w:pStyle w:val="47"/>
        <w:ind w:left="420" w:hanging="420"/>
      </w:pPr>
      <w:r>
        <w:rPr>
          <w:rFonts w:hint="eastAsia"/>
        </w:rPr>
        <w:t>韩开, 徐娟. 3D 场景渲染技术—神经辐射场的研究综述[J]. 计算机应用研究, 2024, 41(8)..</w:t>
      </w:r>
    </w:p>
    <w:p w14:paraId="7A277E0D">
      <w:pPr>
        <w:pStyle w:val="47"/>
        <w:ind w:left="420" w:hanging="420"/>
      </w:pPr>
      <w:r>
        <w:rPr>
          <w:rFonts w:hint="eastAsia"/>
        </w:rPr>
        <w:t>侯耀斐, 黄海松, 范青松, 等. 基于改进多层感知机的神经辐射场三维重建方法[J]. 激光与光电子学进展, 2024, 61(04):0415004. 李吉洋, 程乐超, 何靖璇等. 神经辐射场的研究现状与展望[J]. 计算机辅助设计与图形学学报, 2024.</w:t>
      </w:r>
    </w:p>
    <w:p w14:paraId="581BB508">
      <w:pPr>
        <w:pStyle w:val="47"/>
        <w:ind w:left="420" w:hanging="420"/>
      </w:pPr>
      <w:r>
        <w:rPr>
          <w:rFonts w:hint="eastAsia"/>
        </w:rPr>
        <w:t>王锋,银莹,王佳炎,等.基于高斯泼溅的轻量级重建场景分割方法[J/OL].计算机学报,1-12[2025-04-22].</w:t>
      </w:r>
    </w:p>
    <w:p w14:paraId="39FCCB80">
      <w:pPr>
        <w:pStyle w:val="47"/>
        <w:ind w:left="420" w:hanging="420"/>
      </w:pPr>
      <w:r>
        <w:rPr>
          <w:rFonts w:hint="eastAsia"/>
        </w:rPr>
        <w:t>何天琪,宋佳洁,程景春,等.基于三维高斯泼溅技术的航拍场景建模[J].火箭军工程大学学报,2025,39(02):1-12+21.</w:t>
      </w:r>
    </w:p>
    <w:p w14:paraId="3217ADF1">
      <w:pPr>
        <w:pStyle w:val="47"/>
        <w:ind w:left="420" w:hanging="420"/>
      </w:pPr>
      <w:r>
        <w:rPr>
          <w:rFonts w:hint="eastAsia"/>
        </w:rPr>
        <w:t>宋明清,郭尧,李晓峰,等.基于光照探针的三维高斯辐射场压缩算法[J/OL].计算机应用研究,1-8[2025-04-22].</w:t>
      </w:r>
    </w:p>
    <w:p w14:paraId="5178B21E">
      <w:pPr>
        <w:pStyle w:val="47"/>
        <w:ind w:left="420" w:hanging="420"/>
      </w:pPr>
      <w:r>
        <w:rPr>
          <w:rFonts w:hint="eastAsia"/>
        </w:rPr>
        <w:t>张月婷,李文劼,郭嘉逸,等.基于高斯基的SAR图像重建技术研究[J].激光与红外,2024,54(12):1936-1940.</w:t>
      </w:r>
    </w:p>
    <w:p w14:paraId="1E561240">
      <w:pPr>
        <w:pStyle w:val="47"/>
        <w:ind w:left="420" w:hanging="420"/>
      </w:pPr>
      <w:r>
        <w:t>Kerbl B, Kopanas G, Leimkuhler T, et al. 3d gaussian splatting for real-time radiance field rendering[J]. ACM Transactions on Graphics, 2023, 42(4): 1-14.</w:t>
      </w:r>
    </w:p>
    <w:p w14:paraId="6706E38F">
      <w:pPr>
        <w:pStyle w:val="47"/>
        <w:ind w:left="420" w:hanging="420"/>
      </w:pPr>
      <w:r>
        <w:t>Xin YY, Zuo XX, Lu DY, et al. SimpleMapping: Real-Time Visual-Inertial Dense Mapping with Deep Multi-View Stereo[C] // 2023 IEEE International Symposium on Mixed and Augmented Reality (ISMAR), 2023: 273-282.</w:t>
      </w:r>
    </w:p>
    <w:p w14:paraId="0E54DBA4">
      <w:pPr>
        <w:pStyle w:val="47"/>
        <w:ind w:left="420" w:hanging="420"/>
      </w:pPr>
      <w:r>
        <w:t>Guedon A and Lepetit V. SuGaR: Surface-Aligned Gaussian Splatting for Efficient 3D Mesh Reconstruction and High-Quality Mesh Rendering[C] // 2024 IEEE/CVF Conference on Computer Vision and Pattern Recognition (CVPR), 2024: 5354-5363.</w:t>
      </w:r>
    </w:p>
    <w:p w14:paraId="687ACB43">
      <w:pPr>
        <w:pStyle w:val="47"/>
        <w:ind w:left="420" w:hanging="420"/>
      </w:pPr>
      <w:r>
        <w:t>Liang Z, Zhang Q, Feng Y, et al. GS-IR: 3D Gaussian Splatting for Inverse Rendering," 2024 IEEE/CVF Conference on Computer Vision and Pattern Recognition (CVPR) [C] // 2024: 21644-21653.</w:t>
      </w:r>
    </w:p>
    <w:p w14:paraId="49D4BB61">
      <w:pPr>
        <w:pStyle w:val="47"/>
        <w:ind w:left="420" w:hanging="420"/>
      </w:pPr>
      <w:r>
        <w:t>Fei B, Xu J, Zhang R, et al. 3D Gaussian Splatting as New Era: A Survey[J]. IEEE Transactions on Visualization and Computer Graphics , Early Access, 2024.</w:t>
      </w:r>
    </w:p>
    <w:p w14:paraId="0125639D">
      <w:pPr>
        <w:pStyle w:val="47"/>
        <w:ind w:left="420" w:hanging="420"/>
      </w:pPr>
      <w:r>
        <w:t>Zhu Z, Peng SY, Larsson V, et al. NICE-SLAM: Neural Implicit Scalable Encoding for SLAM[C] // 2022 IEEE/CVF Conference on Computer Vision and Pattern Recognition (CVPR), 2022: 12776-12786.</w:t>
      </w:r>
    </w:p>
    <w:p w14:paraId="126B3CAE">
      <w:pPr>
        <w:pStyle w:val="47"/>
        <w:ind w:left="420" w:hanging="420"/>
      </w:pPr>
      <w:r>
        <w:t>Zhu DL, Wang ZL, Lu TF, et al. PMF-SLAM: Pose-Guided and Multiscale Feature Interaction-Based Semantic SLAM for Autonomous Wheel Loader[J]. IEEE Sensors Journal, 2024, 24(7): 11625-11638.</w:t>
      </w:r>
    </w:p>
    <w:p w14:paraId="37038CFF">
      <w:pPr>
        <w:pStyle w:val="47"/>
        <w:ind w:left="420" w:hanging="420"/>
      </w:pPr>
      <w:r>
        <w:t>Fridovich-Keil, S.; Meanti, G.; Warburg, F. R.; Recht, B.; Kanazawa, A. K-planes: Explicit radiance fields in space, time, and appearance. In: Proceedings of the IEEE/CVF Conference on Computer Vision and Pattern Recognition, 12479–12488, 2023.</w:t>
      </w:r>
    </w:p>
    <w:p w14:paraId="1E44D0F1">
      <w:pPr>
        <w:pStyle w:val="47"/>
        <w:ind w:left="420" w:hanging="420"/>
      </w:pPr>
      <w:r>
        <w:t>Jiang, Y.; Yu, C.; Xie, T.; Li, X.; Feng, Y.; Wang, H.; Li, M.; Lau, H.; Gao, F.; Yang, Y.; et al. VRGS: A physical dynamics-aware interactive Gaussian splatting system in virtual reality. arXiv preprint arXiv:2401.16663, 2024.</w:t>
      </w:r>
    </w:p>
    <w:p w14:paraId="5110757B">
      <w:pPr>
        <w:pStyle w:val="47"/>
        <w:ind w:left="420" w:hanging="420"/>
      </w:pPr>
      <w:r>
        <w:t>MILDENHALL B, SRINIVASAN P P, ORTIZ-CAYON R, et al. Local light field fusion: Practical view synthesis with prescriptive sampling guidelines [J]. ACM Transactions on Graphics, 2019,38(4): 1-14.</w:t>
      </w:r>
    </w:p>
    <w:p w14:paraId="7F77D7E8">
      <w:pPr>
        <w:pStyle w:val="47"/>
        <w:ind w:left="420" w:hanging="420"/>
      </w:pPr>
      <w:r>
        <w:t>TANG J, REN J, ZHOU H, et al. Dreamgaussian: Generative gaussian splatting for efficient 3d content creation [EB/OL]. (2023-09-28)[2024-05-27]</w:t>
      </w:r>
      <w:r>
        <w:rPr>
          <w:rFonts w:hint="eastAsia"/>
        </w:rPr>
        <w:t>.</w:t>
      </w:r>
    </w:p>
    <w:p w14:paraId="33A2D286">
      <w:pPr>
        <w:pStyle w:val="47"/>
        <w:ind w:left="420" w:hanging="420"/>
      </w:pPr>
      <w:r>
        <w:t>Rusinkiewicz, S.; Levoy, M. QSplat: A multiresolution point rendering system for large meshes. In: Proceedings of the 27th Annual Conference on Computer Graphics and Interactive Techniques, 343– 352, 2000.</w:t>
      </w:r>
    </w:p>
    <w:p w14:paraId="0873203F">
      <w:pPr>
        <w:pStyle w:val="47"/>
        <w:ind w:left="420" w:hanging="420"/>
      </w:pPr>
      <w:r>
        <w:t>Botsch, M.; Kobbelt, L. High-quality point-based rendering on modern GPUs. In: Proceedings of the 11th Pacific Conference on Computer Graphics and Applications, 335–343, 2003.</w:t>
      </w:r>
    </w:p>
    <w:p w14:paraId="43A8C1E4">
      <w:pPr>
        <w:pStyle w:val="47"/>
        <w:ind w:left="420" w:hanging="420"/>
      </w:pPr>
      <w:r>
        <w:t>Ge, W.; Hu, T.; Zhao, H.; Liu, S.; Chen, Y. C. Ref-NeuS: Ambiguity-reduced neural implicit surface learning for multi-view reconstruction with reflection.In: Proceedings of the IEEE/CVF International Conference on Computer Vision, 4228–4237, 2023.</w:t>
      </w:r>
    </w:p>
    <w:p w14:paraId="3C2319BA">
      <w:pPr>
        <w:pStyle w:val="47"/>
        <w:ind w:left="420" w:hanging="420"/>
      </w:pPr>
      <w:r>
        <w:t>Bonet, J.; Wood, R. D. Nonlinear Continuum Mechanics for Finite Element Analysis. Cambridge, UK: Cambridge University Press, 2008.</w:t>
      </w:r>
    </w:p>
    <w:p w14:paraId="299EBC81">
      <w:pPr>
        <w:pStyle w:val="47"/>
        <w:ind w:left="420" w:hanging="420"/>
      </w:pPr>
      <w:r>
        <w:t>Brooks, T.; Holynski, A.; Efros, A. A. InstructPix2Pix: Learning to follow image editing instructions. In: Proceedings of the IEEE/CVF Conference on Computer Vision and Pattern Recognition, 18392– 18402, 2023.</w:t>
      </w:r>
    </w:p>
    <w:p w14:paraId="49B262BA">
      <w:pPr>
        <w:pStyle w:val="47"/>
        <w:ind w:left="420" w:hanging="420"/>
      </w:pPr>
      <w:r>
        <w:t>Seiskari, O.; Ylilammi, J.; Kaatrasalo, V.; Rantalankila, P.; Turkulainen, M.; Kannala, J.; Rahtu, E.; Solin, A. Gaussian splatting on the move: Blur and rolling shutter compensation for natural camera motion. arXiv preprint arXiv:2403.13327, 2024.</w:t>
      </w:r>
    </w:p>
    <w:p w14:paraId="5B824672">
      <w:pPr>
        <w:pStyle w:val="47"/>
        <w:ind w:left="420" w:hanging="420"/>
      </w:pPr>
      <w:r>
        <w:t>Xiong, B.; Li, Z.; Li, Z. GauU-scene: A scene reconstruction benchmark on large scale 3D reconstruction dataset using Gaussian splatting. arXiv preprint arXiv:2401.14032, 2024.</w:t>
      </w:r>
    </w:p>
    <w:p w14:paraId="2FD56B31">
      <w:pPr>
        <w:pStyle w:val="47"/>
        <w:ind w:left="420" w:hanging="420"/>
      </w:pPr>
      <w:r>
        <w:t>HO J, JAIN A, ABBEEL P. Denoising diffusion probabilistic models [J]. Advances in neural information processing systems, 2020,336840-51.</w:t>
      </w:r>
    </w:p>
    <w:p w14:paraId="297E003B">
      <w:pPr>
        <w:pStyle w:val="47"/>
        <w:ind w:left="420" w:hanging="420"/>
      </w:pPr>
      <w:r>
        <w:t>Gao, L.; Yang, J.; Wu, T.; Yuan, Y.; Fu, H.; Lai, Y.; Zhang, H. SDM-NET: Deep generative network for structured deformable mesh. ACM Transactions on Graphics Vol. 38, No. 6, Article No. 243, 2019.</w:t>
      </w:r>
    </w:p>
    <w:p w14:paraId="61DBB192">
      <w:pPr>
        <w:pStyle w:val="47"/>
        <w:ind w:left="420" w:hanging="420"/>
      </w:pPr>
      <w:r>
        <w:t>FANG J, WANG J, ZHANG X, et al. Gaussianeditor: Editing 3d gaussians delicately with text instructions [EB/OL]. (2023-11-27)[2024-05-27]</w:t>
      </w:r>
      <w:r>
        <w:rPr>
          <w:rFonts w:hint="eastAsia"/>
        </w:rPr>
        <w:t>.</w:t>
      </w:r>
    </w:p>
    <w:p w14:paraId="44381B96">
      <w:pPr>
        <w:pStyle w:val="47"/>
        <w:ind w:left="420" w:hanging="420"/>
      </w:pPr>
      <w:r>
        <w:t>ZHENXING M I, XU D. Switch-nerf: Learning scene decomposition with mixture of experts for large-scale neural radiance fields [C]//The Eleventh International Conference on Learning Representations. 2022</w:t>
      </w:r>
      <w:r>
        <w:rPr>
          <w:rFonts w:hint="eastAsia"/>
        </w:rPr>
        <w:t>.</w:t>
      </w:r>
    </w:p>
    <w:p w14:paraId="37871266">
      <w:pPr>
        <w:pStyle w:val="47"/>
        <w:ind w:left="420" w:hanging="420"/>
      </w:pPr>
      <w:r>
        <w:t>SONG L, CHEN A, LI Z, et al. Nerfplayer: A streamable dynamic scene representation with decomposed neural radiance fields [J]. IEEE Transactions on Visualization and Computer Graphics, 2022,29(5): 2732-42.</w:t>
      </w:r>
    </w:p>
    <w:p w14:paraId="53D9A2C7">
      <w:pPr>
        <w:pStyle w:val="47"/>
        <w:ind w:left="420" w:hanging="420"/>
      </w:pPr>
      <w:r>
        <w:t>GAO C, SARAF A, KOPF J, et al. Dynamic view synthesis from dynamic monocular video [C]//Proceedings of the IEEE/CVF International Conference on Computer Vision. 2021: 5712- 21.</w:t>
      </w:r>
    </w:p>
    <w:p w14:paraId="5F469052">
      <w:pPr>
        <w:pStyle w:val="47"/>
        <w:ind w:left="420" w:hanging="420"/>
      </w:pPr>
      <w:r>
        <w:t>BARRON J T, MILDENHALL B, VERBIN D, et al. Mip-nerf 360: Unbounded anti-aliased neural radiance fields [C]//Proceedings of the IEEE/CVF Conference on Computer Vision and Pattern Recognition. 2022: 5470-9.</w:t>
      </w:r>
    </w:p>
    <w:sectPr>
      <w:headerReference r:id="rId17" w:type="default"/>
      <w:footerReference r:id="rId19" w:type="default"/>
      <w:headerReference r:id="rId18" w:type="even"/>
      <w:footerReference r:id="rId20" w:type="even"/>
      <w:pgSz w:w="11906" w:h="16838"/>
      <w:pgMar w:top="1418" w:right="1191" w:bottom="1191" w:left="1191" w:header="1418" w:footer="1134" w:gutter="567"/>
      <w:pgNumType w:start="1"/>
      <w:cols w:space="720" w:num="1"/>
      <w:docGrid w:linePitch="326" w:charSpace="-204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Wentong Xie" w:date="2025-04-28T15:12:00Z" w:initials="WX">
    <w:p w14:paraId="119E1ADD">
      <w:pPr>
        <w:pStyle w:val="9"/>
      </w:pPr>
      <w:r>
        <w:rPr>
          <w:rFonts w:hint="eastAsia"/>
        </w:rPr>
        <w:t>公式序号不对</w:t>
      </w:r>
    </w:p>
  </w:comment>
  <w:comment w:id="1" w:author="Wentong Xie" w:date="2025-04-28T15:16:00Z" w:initials="WX">
    <w:p w14:paraId="06A4DAC9">
      <w:pPr>
        <w:pStyle w:val="9"/>
      </w:pPr>
      <w:r>
        <w:rPr>
          <w:rFonts w:hint="eastAsia"/>
        </w:rPr>
        <w:t>这里格式做了修改</w:t>
      </w:r>
    </w:p>
  </w:comment>
  <w:comment w:id="2" w:author="Wentong Xie" w:date="2025-04-28T15:18:00Z" w:initials="WX">
    <w:p w14:paraId="1879DFE9">
      <w:pPr>
        <w:pStyle w:val="9"/>
      </w:pPr>
      <w:r>
        <w:rPr>
          <w:rFonts w:hint="eastAsia"/>
        </w:rPr>
        <w:t>行间公式要有序号</w:t>
      </w:r>
    </w:p>
  </w:comment>
  <w:comment w:id="3" w:author="Wentong Xie" w:date="2025-04-28T15:19:00Z" w:initials="WX">
    <w:p w14:paraId="4E1D026C">
      <w:pPr>
        <w:pStyle w:val="9"/>
      </w:pPr>
      <w:r>
        <w:rPr>
          <w:rFonts w:hint="eastAsia"/>
        </w:rPr>
        <w:t>去掉空行</w:t>
      </w:r>
    </w:p>
  </w:comment>
  <w:comment w:id="4" w:author="Wentong Xie" w:date="2025-04-28T20:03:00Z" w:initials="WX">
    <w:p w14:paraId="5F981540">
      <w:pPr>
        <w:pStyle w:val="9"/>
        <w:rPr>
          <w:rFonts w:hint="eastAsia"/>
        </w:rPr>
      </w:pPr>
      <w:r>
        <w:rPr>
          <w:rFonts w:hint="eastAsia"/>
        </w:rPr>
        <w:t>这些符号没有在上述公式里给出</w:t>
      </w:r>
    </w:p>
  </w:comment>
  <w:comment w:id="5" w:author="Wentong Xie" w:date="2025-04-28T15:19:00Z" w:initials="WX">
    <w:p w14:paraId="255FF517">
      <w:pPr>
        <w:pStyle w:val="9"/>
      </w:pPr>
      <w:r>
        <w:rPr>
          <w:rFonts w:hint="eastAsia"/>
        </w:rPr>
        <w:t>去掉空行</w:t>
      </w:r>
    </w:p>
  </w:comment>
  <w:comment w:id="6" w:author="Wentong Xie" w:date="2025-04-28T15:19:00Z" w:initials="WX">
    <w:p w14:paraId="43A4497F">
      <w:pPr>
        <w:pStyle w:val="9"/>
      </w:pPr>
      <w:r>
        <w:rPr>
          <w:rFonts w:hint="eastAsia"/>
        </w:rPr>
        <w:t>段首缩进两格</w:t>
      </w:r>
    </w:p>
  </w:comment>
  <w:comment w:id="7" w:author="Wentong Xie" w:date="2025-04-28T15:20:00Z" w:initials="WX">
    <w:p w14:paraId="7E4101BB">
      <w:pPr>
        <w:pStyle w:val="9"/>
      </w:pPr>
      <w:r>
        <w:rPr>
          <w:rFonts w:hint="eastAsia"/>
        </w:rPr>
        <w:t>去掉空行</w:t>
      </w:r>
    </w:p>
  </w:comment>
  <w:comment w:id="8" w:author="Wentong Xie" w:date="2025-04-28T15:20:00Z" w:initials="WX">
    <w:p w14:paraId="7F98778E">
      <w:pPr>
        <w:pStyle w:val="9"/>
      </w:pPr>
      <w:r>
        <w:rPr>
          <w:rFonts w:hint="eastAsia"/>
        </w:rPr>
        <w:t>这两个表建议合并为一个，并根据论文模板中表格的格式要求来修改。</w:t>
      </w:r>
    </w:p>
  </w:comment>
  <w:comment w:id="9" w:author="Wentong Xie" w:date="2025-04-28T15:21:00Z" w:initials="WX">
    <w:p w14:paraId="288146E6">
      <w:pPr>
        <w:pStyle w:val="9"/>
      </w:pPr>
      <w:r>
        <w:rPr>
          <w:rFonts w:hint="eastAsia"/>
        </w:rPr>
        <w:t>去掉空行</w:t>
      </w:r>
    </w:p>
  </w:comment>
  <w:comment w:id="10" w:author="Wentong Xie" w:date="2025-04-28T15:22:00Z" w:initials="WX">
    <w:p w14:paraId="5CDAD157">
      <w:pPr>
        <w:pStyle w:val="9"/>
      </w:pPr>
      <w:r>
        <w:rPr>
          <w:rFonts w:hint="eastAsia"/>
        </w:rPr>
        <w:t>行间公式要有序号</w:t>
      </w:r>
    </w:p>
  </w:comment>
  <w:comment w:id="11" w:author="Wentong Xie" w:date="2025-04-28T20:06:00Z" w:initials="WX">
    <w:p w14:paraId="1490E195">
      <w:pPr>
        <w:pStyle w:val="9"/>
      </w:pPr>
      <w:r>
        <w:rPr>
          <w:rFonts w:hint="eastAsia"/>
        </w:rPr>
        <w:t>公式格式不规范，且缺少序号</w:t>
      </w:r>
    </w:p>
  </w:comment>
  <w:comment w:id="12" w:author="Wentong Xie" w:date="2025-04-28T20:10:00Z" w:initials="WX">
    <w:p w14:paraId="1610C243">
      <w:pPr>
        <w:pStyle w:val="9"/>
      </w:pPr>
      <w:r>
        <w:rPr>
          <w:rFonts w:hint="eastAsia"/>
        </w:rPr>
        <w:t>空行去掉</w:t>
      </w:r>
    </w:p>
  </w:comment>
  <w:comment w:id="13" w:author="Wentong Xie" w:date="2025-04-28T20:10:00Z" w:initials="WX">
    <w:p w14:paraId="2669EE9A">
      <w:pPr>
        <w:pStyle w:val="9"/>
      </w:pPr>
      <w:r>
        <w:rPr>
          <w:rFonts w:hint="eastAsia"/>
        </w:rPr>
        <w:t>空行去掉</w:t>
      </w:r>
    </w:p>
  </w:comment>
  <w:comment w:id="14" w:author="Wentong Xie" w:date="2025-04-28T20:11:00Z" w:initials="WX">
    <w:p w14:paraId="79DB1000">
      <w:pPr>
        <w:pStyle w:val="9"/>
      </w:pPr>
      <w:r>
        <w:rPr>
          <w:rFonts w:hint="eastAsia"/>
        </w:rPr>
        <w:t>行间公式要有序号</w:t>
      </w:r>
    </w:p>
  </w:comment>
  <w:comment w:id="15" w:author="Wentong Xie" w:date="2025-04-28T20:12:00Z" w:initials="WX">
    <w:p w14:paraId="54FAAABB">
      <w:pPr>
        <w:pStyle w:val="9"/>
      </w:pPr>
      <w:r>
        <w:rPr>
          <w:rFonts w:hint="eastAsia"/>
        </w:rPr>
        <w:t>第4章标题格式不对，要居中。</w:t>
      </w:r>
    </w:p>
    <w:p w14:paraId="3669BEFB">
      <w:pPr>
        <w:pStyle w:val="9"/>
        <w:rPr>
          <w:rFonts w:hint="eastAsia"/>
        </w:rPr>
      </w:pPr>
    </w:p>
    <w:p w14:paraId="3B85DB83">
      <w:pPr>
        <w:pStyle w:val="9"/>
      </w:pPr>
      <w:r>
        <w:rPr>
          <w:rFonts w:hint="eastAsia"/>
        </w:rPr>
        <w:t>在每章的第1段要简要介绍本章的主要内容。</w:t>
      </w:r>
    </w:p>
    <w:p w14:paraId="7D081A8E">
      <w:pPr>
        <w:pStyle w:val="9"/>
      </w:pPr>
    </w:p>
    <w:p w14:paraId="16561322">
      <w:pPr>
        <w:pStyle w:val="9"/>
        <w:rPr>
          <w:rFonts w:hint="eastAsia"/>
        </w:rPr>
      </w:pPr>
      <w:r>
        <w:rPr>
          <w:rFonts w:hint="eastAsia"/>
        </w:rPr>
        <w:t>本章缺少算法的实现效果展示和算法性能评估，本章没有多少实质性内容。</w:t>
      </w:r>
    </w:p>
    <w:p w14:paraId="49025F29">
      <w:pPr>
        <w:pStyle w:val="9"/>
        <w:rPr>
          <w:rFonts w:hint="eastAsia"/>
        </w:rPr>
      </w:pPr>
    </w:p>
    <w:p w14:paraId="658F1674">
      <w:pPr>
        <w:pStyle w:val="9"/>
        <w:rPr>
          <w:rFonts w:hint="eastAsia"/>
        </w:rPr>
      </w:pPr>
    </w:p>
  </w:comment>
  <w:comment w:id="16" w:author="Wentong Xie" w:date="2025-04-28T20:59:00Z" w:initials="WX">
    <w:p w14:paraId="556073AE">
      <w:pPr>
        <w:pStyle w:val="9"/>
      </w:pPr>
      <w:r>
        <w:rPr>
          <w:rFonts w:hint="eastAsia"/>
        </w:rPr>
        <w:t>改为“这里”</w:t>
      </w:r>
    </w:p>
  </w:comment>
  <w:comment w:id="17" w:author="Wentong Xie" w:date="2025-04-28T20:59:00Z" w:initials="WX">
    <w:p w14:paraId="5CCAEAEB">
      <w:pPr>
        <w:pStyle w:val="9"/>
      </w:pPr>
      <w:r>
        <w:rPr>
          <w:rFonts w:hint="eastAsia"/>
        </w:rPr>
        <w:t>行间公式要有序号</w:t>
      </w:r>
    </w:p>
  </w:comment>
  <w:comment w:id="18" w:author="Wentong Xie" w:date="2025-04-28T20:17:00Z" w:initials="WX">
    <w:p w14:paraId="3C9632A2">
      <w:pPr>
        <w:pStyle w:val="9"/>
      </w:pPr>
      <w:r>
        <w:rPr>
          <w:rFonts w:hint="eastAsia"/>
        </w:rPr>
        <w:t>空行去掉</w:t>
      </w:r>
    </w:p>
  </w:comment>
  <w:comment w:id="19" w:author="Wentong Xie" w:date="2025-04-28T20:18:00Z" w:initials="WX">
    <w:p w14:paraId="519022F5">
      <w:pPr>
        <w:pStyle w:val="9"/>
      </w:pPr>
      <w:r>
        <w:rPr>
          <w:rFonts w:hint="eastAsia"/>
        </w:rPr>
        <w:t>行间公式要有序号</w:t>
      </w:r>
    </w:p>
  </w:comment>
  <w:comment w:id="20" w:author="Wentong Xie" w:date="2025-04-28T20:26:00Z" w:initials="WX">
    <w:p w14:paraId="3CB83F8A">
      <w:pPr>
        <w:pStyle w:val="9"/>
      </w:pPr>
      <w:r>
        <w:rPr>
          <w:rFonts w:hint="eastAsia"/>
        </w:rPr>
        <w:t>行间公式要有序号</w:t>
      </w:r>
    </w:p>
  </w:comment>
  <w:comment w:id="21" w:author="Wentong Xie" w:date="2025-04-28T20:26:00Z" w:initials="WX">
    <w:p w14:paraId="147C739C">
      <w:pPr>
        <w:pStyle w:val="9"/>
      </w:pPr>
      <w:r>
        <w:rPr>
          <w:rFonts w:hint="eastAsia"/>
        </w:rPr>
        <w:t>与公式中的符号不一致</w:t>
      </w:r>
    </w:p>
  </w:comment>
  <w:comment w:id="22" w:author="Wentong Xie" w:date="2025-04-28T20:29:00Z" w:initials="WX">
    <w:p w14:paraId="6B4ABDD9">
      <w:pPr>
        <w:pStyle w:val="9"/>
      </w:pPr>
      <w:r>
        <w:rPr>
          <w:rFonts w:hint="eastAsia"/>
        </w:rPr>
        <w:t>空行去掉</w:t>
      </w:r>
    </w:p>
  </w:comment>
  <w:comment w:id="23" w:author="Wentong Xie" w:date="2025-04-28T20:31:00Z" w:initials="WX">
    <w:p w14:paraId="7BA2E5AD">
      <w:pPr>
        <w:pStyle w:val="9"/>
      </w:pPr>
      <w:r>
        <w:rPr>
          <w:rFonts w:hint="eastAsia"/>
        </w:rPr>
        <w:t>行间公式要有序号，公式符号未做说明</w:t>
      </w:r>
    </w:p>
  </w:comment>
  <w:comment w:id="24" w:author="Wentong Xie" w:date="2025-04-28T20:31:00Z" w:initials="WX">
    <w:p w14:paraId="77C7D8DC">
      <w:pPr>
        <w:pStyle w:val="9"/>
      </w:pPr>
      <w:r>
        <w:rPr>
          <w:rFonts w:hint="eastAsia"/>
        </w:rPr>
        <w:t>行间公式要有序号，公式符号未做说明</w:t>
      </w:r>
    </w:p>
  </w:comment>
  <w:comment w:id="25" w:author="Wentong Xie" w:date="2025-04-28T21:02:00Z" w:initials="WX">
    <w:p w14:paraId="7E94585B">
      <w:pPr>
        <w:pStyle w:val="9"/>
      </w:pPr>
      <w:r>
        <w:rPr>
          <w:rFonts w:hint="eastAsia"/>
        </w:rPr>
        <w:t>去掉空行</w:t>
      </w:r>
    </w:p>
  </w:comment>
  <w:comment w:id="26" w:author="Wentong Xie" w:date="2025-04-28T20:32:00Z" w:initials="WX">
    <w:p w14:paraId="4F25BDFD">
      <w:pPr>
        <w:pStyle w:val="9"/>
      </w:pPr>
      <w:r>
        <w:rPr>
          <w:rFonts w:hint="eastAsia"/>
        </w:rPr>
        <w:t>空行去掉</w:t>
      </w:r>
    </w:p>
  </w:comment>
  <w:comment w:id="27" w:author="Wentong Xie" w:date="2025-04-28T21:26:00Z" w:initials="WX">
    <w:p w14:paraId="1B556BEB">
      <w:pPr>
        <w:pStyle w:val="9"/>
        <w:rPr>
          <w:color w:val="FF0000"/>
          <w:sz w:val="44"/>
          <w:szCs w:val="44"/>
        </w:rPr>
      </w:pPr>
      <w:r>
        <w:rPr>
          <w:rFonts w:hint="eastAsia"/>
          <w:color w:val="FF0000"/>
          <w:sz w:val="44"/>
          <w:szCs w:val="44"/>
        </w:rPr>
        <w:t>论文太多这种结构，有点像AI写的。</w:t>
      </w:r>
    </w:p>
    <w:p w14:paraId="279B4E8C">
      <w:pPr>
        <w:pStyle w:val="9"/>
      </w:pPr>
      <w:r>
        <w:rPr>
          <w:rFonts w:hint="eastAsia"/>
          <w:color w:val="FF0000"/>
          <w:sz w:val="44"/>
          <w:szCs w:val="44"/>
        </w:rPr>
        <w:t>这种格式写法不好，标点符号也不对，关键是没有实质性内容。查重估计会有问题，就算查重过了，答辩也可能会出问题。</w:t>
      </w:r>
    </w:p>
  </w:comment>
  <w:comment w:id="28" w:author="Wentong Xie" w:date="2025-04-28T20:32:00Z" w:initials="WX">
    <w:p w14:paraId="0E15B531">
      <w:pPr>
        <w:pStyle w:val="9"/>
      </w:pPr>
      <w:r>
        <w:rPr>
          <w:rFonts w:hint="eastAsia"/>
        </w:rPr>
        <w:t>行间公式</w:t>
      </w:r>
    </w:p>
  </w:comment>
  <w:comment w:id="29" w:author="Wentong Xie" w:date="2025-04-28T20:32:00Z" w:initials="WX">
    <w:p w14:paraId="3F5ABE92">
      <w:pPr>
        <w:pStyle w:val="9"/>
        <w:rPr>
          <w:rFonts w:hint="eastAsia"/>
        </w:rPr>
      </w:pPr>
      <w:r>
        <w:rPr>
          <w:rFonts w:hint="eastAsia"/>
        </w:rPr>
        <w:t>空行去掉</w:t>
      </w:r>
    </w:p>
  </w:comment>
  <w:comment w:id="30" w:author="Wentong Xie" w:date="2025-04-28T21:05:00Z" w:initials="WX">
    <w:p w14:paraId="53C2602B">
      <w:pPr>
        <w:pStyle w:val="9"/>
        <w:rPr>
          <w:sz w:val="44"/>
          <w:szCs w:val="44"/>
        </w:rPr>
      </w:pPr>
      <w:r>
        <w:rPr>
          <w:rFonts w:hint="eastAsia"/>
          <w:color w:val="FF0000"/>
          <w:sz w:val="44"/>
          <w:szCs w:val="44"/>
        </w:rPr>
        <w:t>问题同前面一样</w:t>
      </w:r>
    </w:p>
    <w:p w14:paraId="55C8400B">
      <w:pPr>
        <w:pStyle w:val="9"/>
        <w:rPr>
          <w:rFonts w:hint="eastAsia"/>
          <w:sz w:val="44"/>
          <w:szCs w:val="44"/>
        </w:rPr>
      </w:pPr>
    </w:p>
  </w:comment>
  <w:comment w:id="31" w:author="Wentong Xie" w:date="2025-04-28T20:33:00Z" w:initials="WX">
    <w:p w14:paraId="2691DC10">
      <w:pPr>
        <w:pStyle w:val="9"/>
      </w:pPr>
      <w:r>
        <w:rPr>
          <w:rFonts w:hint="eastAsia"/>
        </w:rPr>
        <w:t>每章开始要另起一页。</w:t>
      </w:r>
    </w:p>
    <w:p w14:paraId="64F43656">
      <w:pPr>
        <w:pStyle w:val="9"/>
      </w:pPr>
      <w:r>
        <w:rPr>
          <w:rFonts w:hint="eastAsia"/>
        </w:rPr>
        <w:t>特别要注意本章实质性内容太少，缺少系统功能结构图，以及对系统功能情况的详细介绍和可视化展示。</w:t>
      </w:r>
    </w:p>
  </w:comment>
  <w:comment w:id="32" w:author="Wentong Xie" w:date="2025-04-28T20:36:00Z" w:initials="WX">
    <w:p w14:paraId="273B7926">
      <w:pPr>
        <w:pStyle w:val="9"/>
      </w:pPr>
      <w:r>
        <w:rPr>
          <w:rFonts w:hint="eastAsia"/>
        </w:rPr>
        <w:t>改为“本章旨在设计与”</w:t>
      </w:r>
    </w:p>
  </w:comment>
  <w:comment w:id="33" w:author="Wentong Xie" w:date="2025-04-28T20:35:00Z" w:initials="WX">
    <w:p w14:paraId="573C695B">
      <w:pPr>
        <w:pStyle w:val="9"/>
      </w:pPr>
      <w:r>
        <w:rPr>
          <w:rFonts w:hint="eastAsia"/>
        </w:rPr>
        <w:t>改为“需求分析”。要有功能性需求分析和非功能性需求分析</w:t>
      </w:r>
    </w:p>
  </w:comment>
  <w:comment w:id="34" w:author="Wentong Xie" w:date="2025-04-28T20:46:00Z" w:initials="WX">
    <w:p w14:paraId="2F245966">
      <w:pPr>
        <w:pStyle w:val="9"/>
        <w:rPr>
          <w:rFonts w:hint="eastAsia"/>
        </w:rPr>
      </w:pPr>
      <w:r>
        <w:rPr>
          <w:rFonts w:hint="eastAsia"/>
        </w:rPr>
        <w:t>改为“功能性需求分析”</w:t>
      </w:r>
    </w:p>
  </w:comment>
  <w:comment w:id="35" w:author="Wentong Xie" w:date="2025-04-28T20:40:00Z" w:initials="WX">
    <w:p w14:paraId="62827F5D">
      <w:pPr>
        <w:pStyle w:val="9"/>
        <w:rPr>
          <w:rFonts w:hint="eastAsia"/>
        </w:rPr>
      </w:pPr>
      <w:r>
        <w:rPr>
          <w:rFonts w:hint="eastAsia"/>
        </w:rPr>
        <w:t>字体偏小，建议与下图的字体大小一致，要接近5号字体</w:t>
      </w:r>
    </w:p>
  </w:comment>
  <w:comment w:id="36" w:author="Wentong Xie" w:date="2025-04-28T20:41:00Z" w:initials="WX">
    <w:p w14:paraId="43553FC4">
      <w:pPr>
        <w:pStyle w:val="9"/>
      </w:pPr>
      <w:r>
        <w:rPr>
          <w:rFonts w:hint="eastAsia"/>
        </w:rPr>
        <w:t>去掉一个空行</w:t>
      </w:r>
    </w:p>
  </w:comment>
  <w:comment w:id="37" w:author="Wentong Xie" w:date="2025-04-28T20:45:00Z" w:initials="WX">
    <w:p w14:paraId="1F76F523">
      <w:pPr>
        <w:pStyle w:val="9"/>
        <w:rPr>
          <w:rFonts w:hint="eastAsia"/>
        </w:rPr>
      </w:pPr>
      <w:r>
        <w:rPr>
          <w:rFonts w:hint="eastAsia"/>
        </w:rPr>
        <w:t>建议将5.1.2 技术需求改为“非功能性需求分析”</w:t>
      </w:r>
    </w:p>
  </w:comment>
  <w:comment w:id="38" w:author="Wentong Xie" w:date="2025-04-28T21:11:00Z" w:initials="WX">
    <w:p w14:paraId="71272812">
      <w:pPr>
        <w:pStyle w:val="9"/>
      </w:pPr>
      <w:r>
        <w:rPr>
          <w:rFonts w:hint="eastAsia"/>
        </w:rPr>
        <w:t>这部分放到5.2节第一段。</w:t>
      </w:r>
    </w:p>
    <w:p w14:paraId="40575103">
      <w:pPr>
        <w:pStyle w:val="9"/>
        <w:rPr>
          <w:rFonts w:hint="eastAsia"/>
        </w:rPr>
      </w:pPr>
      <w:r>
        <w:rPr>
          <w:rFonts w:hint="eastAsia"/>
        </w:rPr>
        <w:t>5.2节和5.3节合并，将5.2和5.3节改为5.2.1和5.2.2.</w:t>
      </w:r>
    </w:p>
  </w:comment>
  <w:comment w:id="39" w:author="Wentong Xie" w:date="2025-04-28T20:44:00Z" w:initials="WX">
    <w:p w14:paraId="6A660F8F">
      <w:pPr>
        <w:pStyle w:val="9"/>
      </w:pPr>
      <w:r>
        <w:rPr>
          <w:rFonts w:hint="eastAsia"/>
        </w:rPr>
        <w:t>本节介绍内容过于简略。</w:t>
      </w:r>
    </w:p>
  </w:comment>
  <w:comment w:id="40" w:author="Wentong Xie" w:date="2025-04-28T21:15:00Z" w:initials="WX">
    <w:p w14:paraId="18846775">
      <w:pPr>
        <w:pStyle w:val="9"/>
        <w:rPr>
          <w:rFonts w:hint="eastAsia"/>
        </w:rPr>
      </w:pPr>
      <w:r>
        <w:rPr>
          <w:rFonts w:hint="eastAsia"/>
        </w:rPr>
        <w:t>不需要设置为小节，改为“（1）场景构建与数据加载”</w:t>
      </w:r>
    </w:p>
  </w:comment>
  <w:comment w:id="41" w:author="Wentong Xie" w:date="2025-04-28T21:15:00Z" w:initials="WX">
    <w:p w14:paraId="0EADFFD6">
      <w:pPr>
        <w:pStyle w:val="9"/>
      </w:pPr>
      <w:r>
        <w:rPr>
          <w:rFonts w:hint="eastAsia"/>
        </w:rPr>
        <w:t>不需要设置为小节，方法同上</w:t>
      </w:r>
    </w:p>
  </w:comment>
  <w:comment w:id="42" w:author="Wentong Xie" w:date="2025-04-28T21:15:00Z" w:initials="WX">
    <w:p w14:paraId="3225998A">
      <w:pPr>
        <w:pStyle w:val="9"/>
      </w:pPr>
      <w:r>
        <w:rPr>
          <w:rFonts w:hint="eastAsia"/>
        </w:rPr>
        <w:t>不需要设置为小节，方法同上</w:t>
      </w:r>
    </w:p>
  </w:comment>
  <w:comment w:id="43" w:author="Wentong Xie" w:date="2025-04-28T21:23:00Z" w:initials="WX">
    <w:p w14:paraId="0DBCFDE8">
      <w:pPr>
        <w:pStyle w:val="9"/>
      </w:pPr>
      <w:r>
        <w:rPr>
          <w:rFonts w:hint="eastAsia"/>
        </w:rPr>
        <w:t>仅这个图看不出系统实现了哪些功能。</w:t>
      </w:r>
    </w:p>
    <w:p w14:paraId="6A528EB7">
      <w:pPr>
        <w:pStyle w:val="9"/>
        <w:rPr>
          <w:rFonts w:hint="eastAsia"/>
        </w:rPr>
      </w:pPr>
      <w:r>
        <w:rPr>
          <w:rFonts w:hint="eastAsia"/>
        </w:rPr>
        <w:t>目前论文展示的系统情况是无法通过答辩的。</w:t>
      </w:r>
    </w:p>
  </w:comment>
  <w:comment w:id="44" w:author="Wentong Xie" w:date="2025-04-28T21:28:00Z" w:initials="WX">
    <w:p w14:paraId="49BE2F19">
      <w:pPr>
        <w:pStyle w:val="9"/>
        <w:rPr>
          <w:rFonts w:hint="eastAsia"/>
        </w:rPr>
      </w:pPr>
      <w:r>
        <w:rPr>
          <w:rFonts w:hint="eastAsia"/>
        </w:rPr>
        <w:t>类型标志不对</w:t>
      </w:r>
    </w:p>
  </w:comment>
  <w:comment w:id="45" w:author="Wentong Xie" w:date="2025-04-28T21:29:00Z" w:initials="WX">
    <w:p w14:paraId="7FEF1C3B">
      <w:pPr>
        <w:pStyle w:val="9"/>
      </w:pPr>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119E1ADD" w15:done="0"/>
  <w15:commentEx w15:paraId="06A4DAC9" w15:done="0"/>
  <w15:commentEx w15:paraId="1879DFE9" w15:done="0"/>
  <w15:commentEx w15:paraId="4E1D026C" w15:done="0"/>
  <w15:commentEx w15:paraId="5F981540" w15:done="0"/>
  <w15:commentEx w15:paraId="255FF517" w15:done="0"/>
  <w15:commentEx w15:paraId="43A4497F" w15:done="0"/>
  <w15:commentEx w15:paraId="7E4101BB" w15:done="0"/>
  <w15:commentEx w15:paraId="7F98778E" w15:done="0"/>
  <w15:commentEx w15:paraId="288146E6" w15:done="0"/>
  <w15:commentEx w15:paraId="5CDAD157" w15:done="0"/>
  <w15:commentEx w15:paraId="1490E195" w15:done="0"/>
  <w15:commentEx w15:paraId="1610C243" w15:done="0"/>
  <w15:commentEx w15:paraId="2669EE9A" w15:done="0"/>
  <w15:commentEx w15:paraId="79DB1000" w15:done="0"/>
  <w15:commentEx w15:paraId="658F1674" w15:done="0"/>
  <w15:commentEx w15:paraId="556073AE" w15:done="0"/>
  <w15:commentEx w15:paraId="5CCAEAEB" w15:done="0"/>
  <w15:commentEx w15:paraId="3C9632A2" w15:done="0"/>
  <w15:commentEx w15:paraId="519022F5" w15:done="0"/>
  <w15:commentEx w15:paraId="3CB83F8A" w15:done="0"/>
  <w15:commentEx w15:paraId="147C739C" w15:done="0"/>
  <w15:commentEx w15:paraId="6B4ABDD9" w15:done="0"/>
  <w15:commentEx w15:paraId="7BA2E5AD" w15:done="0"/>
  <w15:commentEx w15:paraId="77C7D8DC" w15:done="0"/>
  <w15:commentEx w15:paraId="7E94585B" w15:done="0"/>
  <w15:commentEx w15:paraId="4F25BDFD" w15:done="0"/>
  <w15:commentEx w15:paraId="279B4E8C" w15:done="0"/>
  <w15:commentEx w15:paraId="0E15B531" w15:done="0"/>
  <w15:commentEx w15:paraId="3F5ABE92" w15:done="0"/>
  <w15:commentEx w15:paraId="55C8400B" w15:done="0"/>
  <w15:commentEx w15:paraId="64F43656" w15:done="0"/>
  <w15:commentEx w15:paraId="273B7926" w15:done="0"/>
  <w15:commentEx w15:paraId="573C695B" w15:done="0"/>
  <w15:commentEx w15:paraId="2F245966" w15:done="0"/>
  <w15:commentEx w15:paraId="62827F5D" w15:done="0"/>
  <w15:commentEx w15:paraId="43553FC4" w15:done="0"/>
  <w15:commentEx w15:paraId="1F76F523" w15:done="0"/>
  <w15:commentEx w15:paraId="40575103" w15:done="0"/>
  <w15:commentEx w15:paraId="6A660F8F" w15:done="0"/>
  <w15:commentEx w15:paraId="18846775" w15:done="0"/>
  <w15:commentEx w15:paraId="0EADFFD6" w15:done="0"/>
  <w15:commentEx w15:paraId="3225998A" w15:done="0"/>
  <w15:commentEx w15:paraId="6A528EB7" w15:done="0"/>
  <w15:commentEx w15:paraId="49BE2F19" w15:done="0"/>
  <w15:commentEx w15:paraId="7FEF1C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ＭＳ 明朝">
    <w:altName w:val="Segoe Print"/>
    <w:panose1 w:val="00000000000000000000"/>
    <w:charset w:val="00"/>
    <w:family w:val="auto"/>
    <w:pitch w:val="default"/>
    <w:sig w:usb0="0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9A1ECD">
    <w:pPr>
      <w:pStyle w:val="14"/>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22A7D4">
    <w:pPr>
      <w:pStyle w:val="14"/>
      <w:jc w:val="center"/>
      <w:rPr>
        <w:rFonts w:hint="eastAsia"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F4481F">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0279A">
    <w:pPr>
      <w:pStyle w:val="14"/>
      <w:jc w:val="center"/>
      <w:rPr>
        <w:rFonts w:hint="eastAsia"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007BAC">
    <w:pPr>
      <w:pStyle w:val="14"/>
      <w:jc w:val="center"/>
    </w:pPr>
    <w:r>
      <w:rPr>
        <w:rStyle w:val="26"/>
      </w:rPr>
      <w:t>–</w:t>
    </w:r>
    <w:r>
      <w:fldChar w:fldCharType="begin"/>
    </w:r>
    <w:r>
      <w:rPr>
        <w:rStyle w:val="26"/>
      </w:rPr>
      <w:instrText xml:space="preserve"> PAGE </w:instrText>
    </w:r>
    <w:r>
      <w:fldChar w:fldCharType="separate"/>
    </w:r>
    <w:r>
      <w:rPr>
        <w:rStyle w:val="26"/>
      </w:rPr>
      <w:t>24</w:t>
    </w:r>
    <w:r>
      <w:fldChar w:fldCharType="end"/>
    </w:r>
    <w:r>
      <w:rPr>
        <w:rStyle w:val="26"/>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1E9F1A">
    <w:pPr>
      <w:pStyle w:val="14"/>
      <w:jc w:val="center"/>
      <w:rPr>
        <w:rFonts w:hint="eastAsia" w:ascii="宋体" w:hAnsi="宋体"/>
      </w:rPr>
    </w:pPr>
    <w:r>
      <w:fldChar w:fldCharType="begin"/>
    </w:r>
    <w:r>
      <w:rPr>
        <w:rStyle w:val="26"/>
      </w:rPr>
      <w:instrText xml:space="preserve"> PAGE </w:instrText>
    </w:r>
    <w:r>
      <w:fldChar w:fldCharType="separate"/>
    </w:r>
    <w:r>
      <w:rPr>
        <w:rStyle w:val="26"/>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7016D">
    <w:pPr>
      <w:pStyle w:val="1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463550">
    <w:pPr>
      <w:pStyle w:val="15"/>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53958D">
    <w:pPr>
      <w:pStyle w:val="15"/>
      <w:rPr>
        <w:color w:val="FF0000"/>
      </w:rPr>
    </w:pPr>
    <w:r>
      <w:rPr>
        <w:rFonts w:hint="eastAsia"/>
        <w:color w:val="FF0000"/>
      </w:rPr>
      <w:t>基于高斯泼溅的三维重建系统设计与实现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C3814E1">
    <w:pPr>
      <w:pStyle w:val="15"/>
    </w:pPr>
    <w:r>
      <w:rPr>
        <w:rFonts w:hint="eastAsia"/>
      </w:rPr>
      <w:t>大连理工大学毕业设计（论文）格式规范</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578F62">
    <w:pPr>
      <w:pStyle w:val="15"/>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9B9B31">
    <w:pPr>
      <w:pStyle w:val="15"/>
      <w:rPr>
        <w:color w:val="FF0000"/>
      </w:rPr>
    </w:pPr>
    <w:r>
      <w:rPr>
        <w:rFonts w:hint="eastAsia"/>
        <w:color w:val="FF0000"/>
      </w:rPr>
      <w:t>基于高斯泼溅的三维重建系统设计与实现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88F1DA">
    <w:pPr>
      <w:pStyle w:val="15"/>
      <w:rPr>
        <w:color w:val="FF0000"/>
      </w:rPr>
    </w:pPr>
    <w:r>
      <w:rPr>
        <w:rFonts w:hint="eastAsia"/>
        <w:color w:val="FF0000"/>
      </w:rPr>
      <w:t>重庆交通大学2025届人工智能专业毕业论文（设计）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3EB42F">
    <w:pPr>
      <w:pStyle w:val="15"/>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D31963"/>
    <w:multiLevelType w:val="multilevel"/>
    <w:tmpl w:val="0DD31963"/>
    <w:lvl w:ilvl="0" w:tentative="0">
      <w:start w:val="1"/>
      <w:numFmt w:val="decimal"/>
      <w:pStyle w:val="47"/>
      <w:isLgl/>
      <w:lvlText w:val="[%1]"/>
      <w:lvlJc w:val="left"/>
      <w:pPr>
        <w:ind w:left="440" w:hanging="440"/>
      </w:pPr>
      <w:rPr>
        <w:rFonts w:hint="default" w:ascii="Times New Roman" w:hAnsi="Times New Roman"/>
      </w:rPr>
    </w:lvl>
    <w:lvl w:ilvl="1" w:tentative="0">
      <w:start w:val="1"/>
      <w:numFmt w:val="lowerLetter"/>
      <w:lvlText w:val="%2)"/>
      <w:lvlJc w:val="left"/>
      <w:pPr>
        <w:ind w:left="880" w:hanging="440"/>
      </w:pPr>
      <w:rPr>
        <w:rFonts w:hint="eastAsia"/>
      </w:rPr>
    </w:lvl>
    <w:lvl w:ilvl="2" w:tentative="0">
      <w:start w:val="1"/>
      <w:numFmt w:val="lowerRoman"/>
      <w:lvlText w:val="%3."/>
      <w:lvlJc w:val="right"/>
      <w:pPr>
        <w:ind w:left="1320" w:hanging="440"/>
      </w:pPr>
      <w:rPr>
        <w:rFonts w:hint="eastAsia"/>
      </w:rPr>
    </w:lvl>
    <w:lvl w:ilvl="3" w:tentative="0">
      <w:start w:val="1"/>
      <w:numFmt w:val="decimal"/>
      <w:lvlText w:val="%4."/>
      <w:lvlJc w:val="left"/>
      <w:pPr>
        <w:ind w:left="1760" w:hanging="440"/>
      </w:pPr>
      <w:rPr>
        <w:rFonts w:hint="eastAsia"/>
      </w:rPr>
    </w:lvl>
    <w:lvl w:ilvl="4" w:tentative="0">
      <w:start w:val="1"/>
      <w:numFmt w:val="lowerLetter"/>
      <w:lvlText w:val="%5)"/>
      <w:lvlJc w:val="left"/>
      <w:pPr>
        <w:ind w:left="2200" w:hanging="440"/>
      </w:pPr>
      <w:rPr>
        <w:rFonts w:hint="eastAsia"/>
      </w:rPr>
    </w:lvl>
    <w:lvl w:ilvl="5" w:tentative="0">
      <w:start w:val="1"/>
      <w:numFmt w:val="lowerRoman"/>
      <w:lvlText w:val="%6."/>
      <w:lvlJc w:val="right"/>
      <w:pPr>
        <w:ind w:left="2640" w:hanging="440"/>
      </w:pPr>
      <w:rPr>
        <w:rFonts w:hint="eastAsia"/>
      </w:rPr>
    </w:lvl>
    <w:lvl w:ilvl="6" w:tentative="0">
      <w:start w:val="1"/>
      <w:numFmt w:val="decimal"/>
      <w:lvlText w:val="%7."/>
      <w:lvlJc w:val="left"/>
      <w:pPr>
        <w:ind w:left="3080" w:hanging="440"/>
      </w:pPr>
      <w:rPr>
        <w:rFonts w:hint="eastAsia"/>
      </w:rPr>
    </w:lvl>
    <w:lvl w:ilvl="7" w:tentative="0">
      <w:start w:val="1"/>
      <w:numFmt w:val="lowerLetter"/>
      <w:lvlText w:val="%8)"/>
      <w:lvlJc w:val="left"/>
      <w:pPr>
        <w:ind w:left="3520" w:hanging="440"/>
      </w:pPr>
      <w:rPr>
        <w:rFonts w:hint="eastAsia"/>
      </w:rPr>
    </w:lvl>
    <w:lvl w:ilvl="8" w:tentative="0">
      <w:start w:val="1"/>
      <w:numFmt w:val="lowerRoman"/>
      <w:lvlText w:val="%9."/>
      <w:lvlJc w:val="right"/>
      <w:pPr>
        <w:ind w:left="3960" w:hanging="440"/>
      </w:pPr>
      <w:rPr>
        <w:rFonts w:hint="eastAsia"/>
      </w:rPr>
    </w:lvl>
  </w:abstractNum>
  <w:abstractNum w:abstractNumId="1">
    <w:nsid w:val="60AE50BE"/>
    <w:multiLevelType w:val="multilevel"/>
    <w:tmpl w:val="60AE50BE"/>
    <w:lvl w:ilvl="0" w:tentative="0">
      <w:start w:val="1"/>
      <w:numFmt w:val="decimalEnclosedCircle"/>
      <w:lvlText w:val="%1"/>
      <w:lvlJc w:val="left"/>
      <w:pPr>
        <w:ind w:left="840" w:hanging="360"/>
      </w:pPr>
      <w:rPr>
        <w:rFonts w:hint="default" w:ascii="宋体" w:hAnsi="宋体"/>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Wentong Xie">
    <w15:presenceInfo w15:providerId="Windows Live" w15:userId="5c1711cb040782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15"/>
  <w:drawingGridVerticalSpacing w:val="2"/>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00C4F"/>
    <w:rsid w:val="00006D86"/>
    <w:rsid w:val="000071BE"/>
    <w:rsid w:val="00015216"/>
    <w:rsid w:val="00022EEB"/>
    <w:rsid w:val="00026B0C"/>
    <w:rsid w:val="00030792"/>
    <w:rsid w:val="00031363"/>
    <w:rsid w:val="00031563"/>
    <w:rsid w:val="000402E7"/>
    <w:rsid w:val="00041DCE"/>
    <w:rsid w:val="00052596"/>
    <w:rsid w:val="00053D18"/>
    <w:rsid w:val="00057D90"/>
    <w:rsid w:val="00060622"/>
    <w:rsid w:val="00063C50"/>
    <w:rsid w:val="00067CA5"/>
    <w:rsid w:val="0007267C"/>
    <w:rsid w:val="0007376F"/>
    <w:rsid w:val="00076C21"/>
    <w:rsid w:val="0008737C"/>
    <w:rsid w:val="00093572"/>
    <w:rsid w:val="000A1220"/>
    <w:rsid w:val="000A18BC"/>
    <w:rsid w:val="000A1A9A"/>
    <w:rsid w:val="000A548C"/>
    <w:rsid w:val="000A7C4E"/>
    <w:rsid w:val="000B2EAE"/>
    <w:rsid w:val="000B419C"/>
    <w:rsid w:val="000B7870"/>
    <w:rsid w:val="000D2A5D"/>
    <w:rsid w:val="000D5680"/>
    <w:rsid w:val="000F0F05"/>
    <w:rsid w:val="000F7A2A"/>
    <w:rsid w:val="00106A9C"/>
    <w:rsid w:val="00111A3C"/>
    <w:rsid w:val="00111CC8"/>
    <w:rsid w:val="001136EC"/>
    <w:rsid w:val="001145AD"/>
    <w:rsid w:val="001151CF"/>
    <w:rsid w:val="00115FCC"/>
    <w:rsid w:val="0011741E"/>
    <w:rsid w:val="00122CCE"/>
    <w:rsid w:val="0012466E"/>
    <w:rsid w:val="0013060A"/>
    <w:rsid w:val="00141AC5"/>
    <w:rsid w:val="001520B6"/>
    <w:rsid w:val="00155B98"/>
    <w:rsid w:val="001614B6"/>
    <w:rsid w:val="00164863"/>
    <w:rsid w:val="001702BF"/>
    <w:rsid w:val="00186172"/>
    <w:rsid w:val="00187308"/>
    <w:rsid w:val="001973E4"/>
    <w:rsid w:val="001A56D0"/>
    <w:rsid w:val="001A5DF4"/>
    <w:rsid w:val="001A6DD1"/>
    <w:rsid w:val="001A753E"/>
    <w:rsid w:val="001C4E17"/>
    <w:rsid w:val="001C7552"/>
    <w:rsid w:val="001D21BE"/>
    <w:rsid w:val="001D4C91"/>
    <w:rsid w:val="001E37FE"/>
    <w:rsid w:val="001E491F"/>
    <w:rsid w:val="001E552A"/>
    <w:rsid w:val="001F1CDE"/>
    <w:rsid w:val="001F207C"/>
    <w:rsid w:val="001F2C73"/>
    <w:rsid w:val="001F3530"/>
    <w:rsid w:val="0020133F"/>
    <w:rsid w:val="00203D97"/>
    <w:rsid w:val="00206D2E"/>
    <w:rsid w:val="00213CF6"/>
    <w:rsid w:val="00214606"/>
    <w:rsid w:val="0021465A"/>
    <w:rsid w:val="00220CA1"/>
    <w:rsid w:val="00222BF6"/>
    <w:rsid w:val="00235B02"/>
    <w:rsid w:val="00237C70"/>
    <w:rsid w:val="00240133"/>
    <w:rsid w:val="0024551E"/>
    <w:rsid w:val="002528F4"/>
    <w:rsid w:val="00256337"/>
    <w:rsid w:val="00260DBB"/>
    <w:rsid w:val="00265D27"/>
    <w:rsid w:val="00266A85"/>
    <w:rsid w:val="002742C2"/>
    <w:rsid w:val="00280E91"/>
    <w:rsid w:val="00283FF0"/>
    <w:rsid w:val="00285716"/>
    <w:rsid w:val="00297184"/>
    <w:rsid w:val="002A0209"/>
    <w:rsid w:val="002A6EAD"/>
    <w:rsid w:val="002B060D"/>
    <w:rsid w:val="002B5998"/>
    <w:rsid w:val="002B7645"/>
    <w:rsid w:val="002D028C"/>
    <w:rsid w:val="002D116E"/>
    <w:rsid w:val="002D3192"/>
    <w:rsid w:val="002D412D"/>
    <w:rsid w:val="002D7BD6"/>
    <w:rsid w:val="002F3951"/>
    <w:rsid w:val="002F4E92"/>
    <w:rsid w:val="00312E1C"/>
    <w:rsid w:val="00313098"/>
    <w:rsid w:val="00316891"/>
    <w:rsid w:val="00332767"/>
    <w:rsid w:val="00337A5B"/>
    <w:rsid w:val="00361DBE"/>
    <w:rsid w:val="00367A12"/>
    <w:rsid w:val="00371421"/>
    <w:rsid w:val="00371AC6"/>
    <w:rsid w:val="00372253"/>
    <w:rsid w:val="003767AC"/>
    <w:rsid w:val="00386767"/>
    <w:rsid w:val="003A222D"/>
    <w:rsid w:val="003A3E60"/>
    <w:rsid w:val="003A4006"/>
    <w:rsid w:val="003B148A"/>
    <w:rsid w:val="003B19B3"/>
    <w:rsid w:val="003B4742"/>
    <w:rsid w:val="003B6429"/>
    <w:rsid w:val="003C1E11"/>
    <w:rsid w:val="003C3BEB"/>
    <w:rsid w:val="003C454E"/>
    <w:rsid w:val="003E25F1"/>
    <w:rsid w:val="003E4509"/>
    <w:rsid w:val="003F1F07"/>
    <w:rsid w:val="003F2E33"/>
    <w:rsid w:val="003F3F8E"/>
    <w:rsid w:val="003F4D69"/>
    <w:rsid w:val="003F59E9"/>
    <w:rsid w:val="003F6615"/>
    <w:rsid w:val="004006EE"/>
    <w:rsid w:val="004014FB"/>
    <w:rsid w:val="0040569E"/>
    <w:rsid w:val="00413A6E"/>
    <w:rsid w:val="004249D0"/>
    <w:rsid w:val="00435D73"/>
    <w:rsid w:val="0044097B"/>
    <w:rsid w:val="00441882"/>
    <w:rsid w:val="004421A6"/>
    <w:rsid w:val="004654F4"/>
    <w:rsid w:val="00473738"/>
    <w:rsid w:val="0047521F"/>
    <w:rsid w:val="00475690"/>
    <w:rsid w:val="00482B84"/>
    <w:rsid w:val="004873CE"/>
    <w:rsid w:val="00491A98"/>
    <w:rsid w:val="00494B6A"/>
    <w:rsid w:val="004B22BB"/>
    <w:rsid w:val="004B353B"/>
    <w:rsid w:val="004C27C4"/>
    <w:rsid w:val="004C3C34"/>
    <w:rsid w:val="004C59AC"/>
    <w:rsid w:val="004E6AF9"/>
    <w:rsid w:val="004F0653"/>
    <w:rsid w:val="004F2BA4"/>
    <w:rsid w:val="005018E9"/>
    <w:rsid w:val="00505C24"/>
    <w:rsid w:val="00505E82"/>
    <w:rsid w:val="00512662"/>
    <w:rsid w:val="00516099"/>
    <w:rsid w:val="0052389A"/>
    <w:rsid w:val="00530FF3"/>
    <w:rsid w:val="00534320"/>
    <w:rsid w:val="00534ADA"/>
    <w:rsid w:val="0053613E"/>
    <w:rsid w:val="00543BC7"/>
    <w:rsid w:val="00545CB9"/>
    <w:rsid w:val="00554228"/>
    <w:rsid w:val="00555128"/>
    <w:rsid w:val="00556CFB"/>
    <w:rsid w:val="005650CE"/>
    <w:rsid w:val="00574CE2"/>
    <w:rsid w:val="00576F62"/>
    <w:rsid w:val="00586099"/>
    <w:rsid w:val="00587697"/>
    <w:rsid w:val="0059701F"/>
    <w:rsid w:val="005A16E1"/>
    <w:rsid w:val="005B000C"/>
    <w:rsid w:val="005B0D27"/>
    <w:rsid w:val="005B16CC"/>
    <w:rsid w:val="005C5B05"/>
    <w:rsid w:val="005D5B37"/>
    <w:rsid w:val="005D7A68"/>
    <w:rsid w:val="005E0EEA"/>
    <w:rsid w:val="005E1475"/>
    <w:rsid w:val="005E3901"/>
    <w:rsid w:val="005E598A"/>
    <w:rsid w:val="005E5AC6"/>
    <w:rsid w:val="005F08FF"/>
    <w:rsid w:val="006144B6"/>
    <w:rsid w:val="0061697C"/>
    <w:rsid w:val="00631470"/>
    <w:rsid w:val="00641BFC"/>
    <w:rsid w:val="00644683"/>
    <w:rsid w:val="0064787C"/>
    <w:rsid w:val="0064787D"/>
    <w:rsid w:val="00656479"/>
    <w:rsid w:val="006566D7"/>
    <w:rsid w:val="00674E38"/>
    <w:rsid w:val="00675872"/>
    <w:rsid w:val="00676020"/>
    <w:rsid w:val="0068131A"/>
    <w:rsid w:val="006850C9"/>
    <w:rsid w:val="006943BD"/>
    <w:rsid w:val="006A4497"/>
    <w:rsid w:val="006A4719"/>
    <w:rsid w:val="006B1F49"/>
    <w:rsid w:val="006C0DF1"/>
    <w:rsid w:val="006C127D"/>
    <w:rsid w:val="006C1FBF"/>
    <w:rsid w:val="006C2558"/>
    <w:rsid w:val="006C5425"/>
    <w:rsid w:val="006D5C8D"/>
    <w:rsid w:val="006E0E74"/>
    <w:rsid w:val="006E48A9"/>
    <w:rsid w:val="006E4B0D"/>
    <w:rsid w:val="006E4DEB"/>
    <w:rsid w:val="006F252A"/>
    <w:rsid w:val="006F4AD3"/>
    <w:rsid w:val="006F607C"/>
    <w:rsid w:val="0070457D"/>
    <w:rsid w:val="00705C11"/>
    <w:rsid w:val="0070748C"/>
    <w:rsid w:val="00712AE8"/>
    <w:rsid w:val="00712DC2"/>
    <w:rsid w:val="007162F0"/>
    <w:rsid w:val="0072125A"/>
    <w:rsid w:val="00722518"/>
    <w:rsid w:val="007250DA"/>
    <w:rsid w:val="00734D1A"/>
    <w:rsid w:val="00747ECA"/>
    <w:rsid w:val="00751746"/>
    <w:rsid w:val="00751CBF"/>
    <w:rsid w:val="0076364D"/>
    <w:rsid w:val="00771B68"/>
    <w:rsid w:val="00771CD6"/>
    <w:rsid w:val="00774488"/>
    <w:rsid w:val="007A60DF"/>
    <w:rsid w:val="007B39F6"/>
    <w:rsid w:val="007B6C65"/>
    <w:rsid w:val="007B79C5"/>
    <w:rsid w:val="007C082E"/>
    <w:rsid w:val="007C18C4"/>
    <w:rsid w:val="007D2D74"/>
    <w:rsid w:val="007E5D78"/>
    <w:rsid w:val="007F3F65"/>
    <w:rsid w:val="00801C39"/>
    <w:rsid w:val="00803F4B"/>
    <w:rsid w:val="008052F5"/>
    <w:rsid w:val="0081029F"/>
    <w:rsid w:val="008102F1"/>
    <w:rsid w:val="00810EF7"/>
    <w:rsid w:val="0081501D"/>
    <w:rsid w:val="00822EA9"/>
    <w:rsid w:val="00826306"/>
    <w:rsid w:val="00826DD5"/>
    <w:rsid w:val="00842655"/>
    <w:rsid w:val="00846C35"/>
    <w:rsid w:val="0085047B"/>
    <w:rsid w:val="00854369"/>
    <w:rsid w:val="0085615A"/>
    <w:rsid w:val="0085795F"/>
    <w:rsid w:val="00862AF2"/>
    <w:rsid w:val="0086394D"/>
    <w:rsid w:val="008675DF"/>
    <w:rsid w:val="00880E1A"/>
    <w:rsid w:val="008859A1"/>
    <w:rsid w:val="00891258"/>
    <w:rsid w:val="008928E2"/>
    <w:rsid w:val="008A6465"/>
    <w:rsid w:val="008B165B"/>
    <w:rsid w:val="008B234C"/>
    <w:rsid w:val="008C5EBB"/>
    <w:rsid w:val="008C6F30"/>
    <w:rsid w:val="008D5637"/>
    <w:rsid w:val="008F0053"/>
    <w:rsid w:val="008F46CE"/>
    <w:rsid w:val="008F716C"/>
    <w:rsid w:val="009019A5"/>
    <w:rsid w:val="009243E7"/>
    <w:rsid w:val="00925D92"/>
    <w:rsid w:val="00926ED1"/>
    <w:rsid w:val="00940CB9"/>
    <w:rsid w:val="0094201A"/>
    <w:rsid w:val="009475CA"/>
    <w:rsid w:val="00951A21"/>
    <w:rsid w:val="00961FD9"/>
    <w:rsid w:val="009731FE"/>
    <w:rsid w:val="00973E57"/>
    <w:rsid w:val="00975309"/>
    <w:rsid w:val="00983794"/>
    <w:rsid w:val="00986DEB"/>
    <w:rsid w:val="00987D54"/>
    <w:rsid w:val="00992CD0"/>
    <w:rsid w:val="009944F0"/>
    <w:rsid w:val="00996090"/>
    <w:rsid w:val="009A075A"/>
    <w:rsid w:val="009A6CC3"/>
    <w:rsid w:val="009B2A04"/>
    <w:rsid w:val="009B5394"/>
    <w:rsid w:val="009B7264"/>
    <w:rsid w:val="009C0AF6"/>
    <w:rsid w:val="009C0F43"/>
    <w:rsid w:val="009C2E0D"/>
    <w:rsid w:val="009C626C"/>
    <w:rsid w:val="009C69B1"/>
    <w:rsid w:val="009D2AFB"/>
    <w:rsid w:val="009D3F06"/>
    <w:rsid w:val="009E3BCF"/>
    <w:rsid w:val="009F0048"/>
    <w:rsid w:val="009F24CB"/>
    <w:rsid w:val="009F59D1"/>
    <w:rsid w:val="00A01328"/>
    <w:rsid w:val="00A03B5C"/>
    <w:rsid w:val="00A04F5C"/>
    <w:rsid w:val="00A14739"/>
    <w:rsid w:val="00A14F54"/>
    <w:rsid w:val="00A2495D"/>
    <w:rsid w:val="00A36C70"/>
    <w:rsid w:val="00A5663D"/>
    <w:rsid w:val="00A56C50"/>
    <w:rsid w:val="00A5702B"/>
    <w:rsid w:val="00A717AF"/>
    <w:rsid w:val="00A77BD6"/>
    <w:rsid w:val="00A92F78"/>
    <w:rsid w:val="00A9402E"/>
    <w:rsid w:val="00A9470C"/>
    <w:rsid w:val="00A97AEE"/>
    <w:rsid w:val="00AA0D1B"/>
    <w:rsid w:val="00AA76A2"/>
    <w:rsid w:val="00AB3A36"/>
    <w:rsid w:val="00AB5F15"/>
    <w:rsid w:val="00AC5230"/>
    <w:rsid w:val="00AE25A0"/>
    <w:rsid w:val="00AE3977"/>
    <w:rsid w:val="00AE3D3B"/>
    <w:rsid w:val="00AE77FA"/>
    <w:rsid w:val="00AF3203"/>
    <w:rsid w:val="00B014BE"/>
    <w:rsid w:val="00B11926"/>
    <w:rsid w:val="00B22C6D"/>
    <w:rsid w:val="00B237D7"/>
    <w:rsid w:val="00B23C11"/>
    <w:rsid w:val="00B26112"/>
    <w:rsid w:val="00B30578"/>
    <w:rsid w:val="00B419B7"/>
    <w:rsid w:val="00B50883"/>
    <w:rsid w:val="00B560E6"/>
    <w:rsid w:val="00B56743"/>
    <w:rsid w:val="00B603BF"/>
    <w:rsid w:val="00B611E1"/>
    <w:rsid w:val="00B70644"/>
    <w:rsid w:val="00B7412E"/>
    <w:rsid w:val="00B83963"/>
    <w:rsid w:val="00B84ACE"/>
    <w:rsid w:val="00BA0234"/>
    <w:rsid w:val="00BA63F0"/>
    <w:rsid w:val="00BA7D9C"/>
    <w:rsid w:val="00BB33F2"/>
    <w:rsid w:val="00BB4580"/>
    <w:rsid w:val="00BC35AB"/>
    <w:rsid w:val="00BC7724"/>
    <w:rsid w:val="00BD5CB2"/>
    <w:rsid w:val="00BE07E5"/>
    <w:rsid w:val="00BE1E19"/>
    <w:rsid w:val="00BE2AF1"/>
    <w:rsid w:val="00BE4BED"/>
    <w:rsid w:val="00BF1E3D"/>
    <w:rsid w:val="00BF4485"/>
    <w:rsid w:val="00BF4DC0"/>
    <w:rsid w:val="00BF5A16"/>
    <w:rsid w:val="00C02188"/>
    <w:rsid w:val="00C03574"/>
    <w:rsid w:val="00C0671E"/>
    <w:rsid w:val="00C07B11"/>
    <w:rsid w:val="00C11035"/>
    <w:rsid w:val="00C30607"/>
    <w:rsid w:val="00C50BF8"/>
    <w:rsid w:val="00C51BD9"/>
    <w:rsid w:val="00C54455"/>
    <w:rsid w:val="00C6009B"/>
    <w:rsid w:val="00C635B1"/>
    <w:rsid w:val="00C73493"/>
    <w:rsid w:val="00C83709"/>
    <w:rsid w:val="00C9064B"/>
    <w:rsid w:val="00C93A54"/>
    <w:rsid w:val="00C94272"/>
    <w:rsid w:val="00C944B8"/>
    <w:rsid w:val="00CB340B"/>
    <w:rsid w:val="00CC0551"/>
    <w:rsid w:val="00CC6CA0"/>
    <w:rsid w:val="00CE3900"/>
    <w:rsid w:val="00CE4F6D"/>
    <w:rsid w:val="00CE7AB4"/>
    <w:rsid w:val="00CF0710"/>
    <w:rsid w:val="00CF44DF"/>
    <w:rsid w:val="00CF4E9A"/>
    <w:rsid w:val="00CF507F"/>
    <w:rsid w:val="00CF72FA"/>
    <w:rsid w:val="00D06ABF"/>
    <w:rsid w:val="00D1567B"/>
    <w:rsid w:val="00D20F51"/>
    <w:rsid w:val="00D247F8"/>
    <w:rsid w:val="00D30AA2"/>
    <w:rsid w:val="00D32AF7"/>
    <w:rsid w:val="00D33043"/>
    <w:rsid w:val="00D408C6"/>
    <w:rsid w:val="00D44D66"/>
    <w:rsid w:val="00D465AA"/>
    <w:rsid w:val="00D53219"/>
    <w:rsid w:val="00D64D0D"/>
    <w:rsid w:val="00D66CBC"/>
    <w:rsid w:val="00D8061E"/>
    <w:rsid w:val="00D8108A"/>
    <w:rsid w:val="00D9112F"/>
    <w:rsid w:val="00D92A7E"/>
    <w:rsid w:val="00DA79C5"/>
    <w:rsid w:val="00DB0D6E"/>
    <w:rsid w:val="00DB2993"/>
    <w:rsid w:val="00DB5FF9"/>
    <w:rsid w:val="00DD33CB"/>
    <w:rsid w:val="00DE727E"/>
    <w:rsid w:val="00DE7919"/>
    <w:rsid w:val="00DF5620"/>
    <w:rsid w:val="00DF6638"/>
    <w:rsid w:val="00E00D60"/>
    <w:rsid w:val="00E056B2"/>
    <w:rsid w:val="00E11AC7"/>
    <w:rsid w:val="00E13035"/>
    <w:rsid w:val="00E13F0D"/>
    <w:rsid w:val="00E319DD"/>
    <w:rsid w:val="00E46D54"/>
    <w:rsid w:val="00E5102F"/>
    <w:rsid w:val="00E64F19"/>
    <w:rsid w:val="00E85347"/>
    <w:rsid w:val="00E8634C"/>
    <w:rsid w:val="00E9045E"/>
    <w:rsid w:val="00E92A4D"/>
    <w:rsid w:val="00E93B69"/>
    <w:rsid w:val="00EB3843"/>
    <w:rsid w:val="00EB5AED"/>
    <w:rsid w:val="00ED7F7C"/>
    <w:rsid w:val="00EE5065"/>
    <w:rsid w:val="00EE514E"/>
    <w:rsid w:val="00EE68E9"/>
    <w:rsid w:val="00EF5A01"/>
    <w:rsid w:val="00EF7B9B"/>
    <w:rsid w:val="00F049D2"/>
    <w:rsid w:val="00F062FB"/>
    <w:rsid w:val="00F0770B"/>
    <w:rsid w:val="00F127E5"/>
    <w:rsid w:val="00F164D8"/>
    <w:rsid w:val="00F16F5E"/>
    <w:rsid w:val="00F17489"/>
    <w:rsid w:val="00F203D7"/>
    <w:rsid w:val="00F30B15"/>
    <w:rsid w:val="00F36134"/>
    <w:rsid w:val="00F43091"/>
    <w:rsid w:val="00F4381C"/>
    <w:rsid w:val="00F5142D"/>
    <w:rsid w:val="00F54D43"/>
    <w:rsid w:val="00F56C01"/>
    <w:rsid w:val="00F57E6B"/>
    <w:rsid w:val="00F67264"/>
    <w:rsid w:val="00F8022E"/>
    <w:rsid w:val="00F803B7"/>
    <w:rsid w:val="00F86B6C"/>
    <w:rsid w:val="00F870A4"/>
    <w:rsid w:val="00F87CE1"/>
    <w:rsid w:val="00F95FD1"/>
    <w:rsid w:val="00FA1B15"/>
    <w:rsid w:val="00FA2033"/>
    <w:rsid w:val="00FB7376"/>
    <w:rsid w:val="00FB7F2E"/>
    <w:rsid w:val="00FD3FD0"/>
    <w:rsid w:val="00FD51FF"/>
    <w:rsid w:val="00FD6DA6"/>
    <w:rsid w:val="00FE00BC"/>
    <w:rsid w:val="00FE0E15"/>
    <w:rsid w:val="00FE2B94"/>
    <w:rsid w:val="00FE36CE"/>
    <w:rsid w:val="00FE682B"/>
    <w:rsid w:val="00FF2A3A"/>
    <w:rsid w:val="011D3935"/>
    <w:rsid w:val="019412E6"/>
    <w:rsid w:val="01BB71A5"/>
    <w:rsid w:val="01C53662"/>
    <w:rsid w:val="022C3934"/>
    <w:rsid w:val="025657AD"/>
    <w:rsid w:val="02E83947"/>
    <w:rsid w:val="03306F17"/>
    <w:rsid w:val="0346719F"/>
    <w:rsid w:val="0350044F"/>
    <w:rsid w:val="037C61D6"/>
    <w:rsid w:val="03A83806"/>
    <w:rsid w:val="03EC461B"/>
    <w:rsid w:val="03F11C32"/>
    <w:rsid w:val="041476CE"/>
    <w:rsid w:val="041C700E"/>
    <w:rsid w:val="04243DB5"/>
    <w:rsid w:val="04402271"/>
    <w:rsid w:val="04784101"/>
    <w:rsid w:val="04C924C0"/>
    <w:rsid w:val="04DA26C6"/>
    <w:rsid w:val="05143E2A"/>
    <w:rsid w:val="054123C0"/>
    <w:rsid w:val="05542478"/>
    <w:rsid w:val="05543C20"/>
    <w:rsid w:val="0571302A"/>
    <w:rsid w:val="05C52B50"/>
    <w:rsid w:val="05E16E60"/>
    <w:rsid w:val="06912209"/>
    <w:rsid w:val="06A0349B"/>
    <w:rsid w:val="06BF00EB"/>
    <w:rsid w:val="06C13B3D"/>
    <w:rsid w:val="06F05553"/>
    <w:rsid w:val="070745F4"/>
    <w:rsid w:val="077D0CEE"/>
    <w:rsid w:val="07AD2313"/>
    <w:rsid w:val="07FC40DF"/>
    <w:rsid w:val="08163A15"/>
    <w:rsid w:val="081F3B26"/>
    <w:rsid w:val="08365E65"/>
    <w:rsid w:val="083E5E44"/>
    <w:rsid w:val="085D2816"/>
    <w:rsid w:val="086F6B33"/>
    <w:rsid w:val="08792E74"/>
    <w:rsid w:val="08B651F8"/>
    <w:rsid w:val="0901052C"/>
    <w:rsid w:val="09151E0F"/>
    <w:rsid w:val="09414AC1"/>
    <w:rsid w:val="094E3682"/>
    <w:rsid w:val="09CC6E20"/>
    <w:rsid w:val="0A0124A3"/>
    <w:rsid w:val="0A36319C"/>
    <w:rsid w:val="0BB67015"/>
    <w:rsid w:val="0BE82F00"/>
    <w:rsid w:val="0C0824E9"/>
    <w:rsid w:val="0C44334A"/>
    <w:rsid w:val="0C7A29EA"/>
    <w:rsid w:val="0CE81329"/>
    <w:rsid w:val="0CE91DBB"/>
    <w:rsid w:val="0CEE6D0E"/>
    <w:rsid w:val="0D05680B"/>
    <w:rsid w:val="0D132AE9"/>
    <w:rsid w:val="0D743B3B"/>
    <w:rsid w:val="0DDE102D"/>
    <w:rsid w:val="0E4A4418"/>
    <w:rsid w:val="0E686875"/>
    <w:rsid w:val="0E72209A"/>
    <w:rsid w:val="0EB35141"/>
    <w:rsid w:val="0EC824E7"/>
    <w:rsid w:val="0ECD4437"/>
    <w:rsid w:val="0EEC7508"/>
    <w:rsid w:val="0F0A6ADE"/>
    <w:rsid w:val="0F9A293E"/>
    <w:rsid w:val="0FD61CDB"/>
    <w:rsid w:val="0FEB5776"/>
    <w:rsid w:val="10256733"/>
    <w:rsid w:val="109C4CD3"/>
    <w:rsid w:val="10AB4249"/>
    <w:rsid w:val="10BC5954"/>
    <w:rsid w:val="11072A94"/>
    <w:rsid w:val="113C67BA"/>
    <w:rsid w:val="116577BB"/>
    <w:rsid w:val="125735A8"/>
    <w:rsid w:val="128B292F"/>
    <w:rsid w:val="12AC21C3"/>
    <w:rsid w:val="12AD3208"/>
    <w:rsid w:val="12E52E35"/>
    <w:rsid w:val="130C25E4"/>
    <w:rsid w:val="13DD071A"/>
    <w:rsid w:val="13E5226B"/>
    <w:rsid w:val="14187889"/>
    <w:rsid w:val="148B46C1"/>
    <w:rsid w:val="14D361BE"/>
    <w:rsid w:val="14E60C13"/>
    <w:rsid w:val="14F50E56"/>
    <w:rsid w:val="152A5613"/>
    <w:rsid w:val="157F7058"/>
    <w:rsid w:val="15B7083E"/>
    <w:rsid w:val="16013F82"/>
    <w:rsid w:val="16242208"/>
    <w:rsid w:val="163D44F0"/>
    <w:rsid w:val="172422A9"/>
    <w:rsid w:val="1726179A"/>
    <w:rsid w:val="17486E4C"/>
    <w:rsid w:val="175C11DB"/>
    <w:rsid w:val="179761F4"/>
    <w:rsid w:val="17AB31BB"/>
    <w:rsid w:val="17D970A3"/>
    <w:rsid w:val="18511A82"/>
    <w:rsid w:val="186E0AC2"/>
    <w:rsid w:val="188B7B07"/>
    <w:rsid w:val="188C7096"/>
    <w:rsid w:val="188F22D4"/>
    <w:rsid w:val="189034CC"/>
    <w:rsid w:val="18A73A72"/>
    <w:rsid w:val="18DF42F7"/>
    <w:rsid w:val="18EC7AE6"/>
    <w:rsid w:val="18F57676"/>
    <w:rsid w:val="18FD3604"/>
    <w:rsid w:val="194F6B34"/>
    <w:rsid w:val="19E26C2F"/>
    <w:rsid w:val="19E418F1"/>
    <w:rsid w:val="19E57796"/>
    <w:rsid w:val="1A694F88"/>
    <w:rsid w:val="1A7016E9"/>
    <w:rsid w:val="1A805249"/>
    <w:rsid w:val="1AB62E35"/>
    <w:rsid w:val="1ADE1DAD"/>
    <w:rsid w:val="1AF80FCB"/>
    <w:rsid w:val="1B1069E9"/>
    <w:rsid w:val="1B7C407F"/>
    <w:rsid w:val="1BB6659D"/>
    <w:rsid w:val="1BCC0B62"/>
    <w:rsid w:val="1C3F1B40"/>
    <w:rsid w:val="1C51605F"/>
    <w:rsid w:val="1C843151"/>
    <w:rsid w:val="1CE80CEC"/>
    <w:rsid w:val="1DB7139E"/>
    <w:rsid w:val="1DE67EC6"/>
    <w:rsid w:val="1E4C7947"/>
    <w:rsid w:val="1E57048B"/>
    <w:rsid w:val="1E6F0B1B"/>
    <w:rsid w:val="1E875215"/>
    <w:rsid w:val="1EAD566E"/>
    <w:rsid w:val="1F1A3246"/>
    <w:rsid w:val="1F29007A"/>
    <w:rsid w:val="1F2B2044"/>
    <w:rsid w:val="1F2B3DF2"/>
    <w:rsid w:val="1F89650C"/>
    <w:rsid w:val="1FC06E59"/>
    <w:rsid w:val="1FDF19B2"/>
    <w:rsid w:val="20B971DB"/>
    <w:rsid w:val="215C0B1F"/>
    <w:rsid w:val="2172204A"/>
    <w:rsid w:val="21770FAD"/>
    <w:rsid w:val="219034EC"/>
    <w:rsid w:val="2244014D"/>
    <w:rsid w:val="224B5A04"/>
    <w:rsid w:val="225653C8"/>
    <w:rsid w:val="22C27947"/>
    <w:rsid w:val="22C52EB2"/>
    <w:rsid w:val="232B39F3"/>
    <w:rsid w:val="23486D36"/>
    <w:rsid w:val="234E3EC3"/>
    <w:rsid w:val="2365454A"/>
    <w:rsid w:val="23703091"/>
    <w:rsid w:val="23DD665D"/>
    <w:rsid w:val="23EE3F4C"/>
    <w:rsid w:val="23FE7F13"/>
    <w:rsid w:val="24183A7C"/>
    <w:rsid w:val="24341B2E"/>
    <w:rsid w:val="24613E12"/>
    <w:rsid w:val="25115838"/>
    <w:rsid w:val="257A33DD"/>
    <w:rsid w:val="25BD0719"/>
    <w:rsid w:val="260812B3"/>
    <w:rsid w:val="26321F0A"/>
    <w:rsid w:val="26F92A28"/>
    <w:rsid w:val="273B01E1"/>
    <w:rsid w:val="278830AF"/>
    <w:rsid w:val="27A95DDD"/>
    <w:rsid w:val="27AC45E2"/>
    <w:rsid w:val="27D45294"/>
    <w:rsid w:val="28A54C15"/>
    <w:rsid w:val="28EB3CD0"/>
    <w:rsid w:val="294538FF"/>
    <w:rsid w:val="29822370"/>
    <w:rsid w:val="29842A7C"/>
    <w:rsid w:val="299A0DCF"/>
    <w:rsid w:val="29D44611"/>
    <w:rsid w:val="29DC5A1C"/>
    <w:rsid w:val="2A2E4796"/>
    <w:rsid w:val="2A4346E5"/>
    <w:rsid w:val="2A5F2BA2"/>
    <w:rsid w:val="2A785045"/>
    <w:rsid w:val="2A7B7321"/>
    <w:rsid w:val="2A8804BF"/>
    <w:rsid w:val="2AA44A58"/>
    <w:rsid w:val="2B606BD1"/>
    <w:rsid w:val="2BA80122"/>
    <w:rsid w:val="2C091017"/>
    <w:rsid w:val="2C09728D"/>
    <w:rsid w:val="2C1A3224"/>
    <w:rsid w:val="2C29396E"/>
    <w:rsid w:val="2C4035E6"/>
    <w:rsid w:val="2C487CF0"/>
    <w:rsid w:val="2C4B4A59"/>
    <w:rsid w:val="2C92725E"/>
    <w:rsid w:val="2D410C84"/>
    <w:rsid w:val="2D621327"/>
    <w:rsid w:val="2D6D3A2B"/>
    <w:rsid w:val="2D8A1E2D"/>
    <w:rsid w:val="2DF14458"/>
    <w:rsid w:val="2E516CA5"/>
    <w:rsid w:val="2EDC0415"/>
    <w:rsid w:val="2EE441BD"/>
    <w:rsid w:val="2EE53457"/>
    <w:rsid w:val="2F171C9D"/>
    <w:rsid w:val="2FA35A9F"/>
    <w:rsid w:val="303625F7"/>
    <w:rsid w:val="3038011D"/>
    <w:rsid w:val="30533F6E"/>
    <w:rsid w:val="30685901"/>
    <w:rsid w:val="30702DDF"/>
    <w:rsid w:val="30B54F44"/>
    <w:rsid w:val="30BA3228"/>
    <w:rsid w:val="30CE0A81"/>
    <w:rsid w:val="30EA7E21"/>
    <w:rsid w:val="30FA3DC9"/>
    <w:rsid w:val="30FB318D"/>
    <w:rsid w:val="31160E65"/>
    <w:rsid w:val="312B4328"/>
    <w:rsid w:val="31490B75"/>
    <w:rsid w:val="31813D45"/>
    <w:rsid w:val="31DD3D98"/>
    <w:rsid w:val="31FB5049"/>
    <w:rsid w:val="320B5AF3"/>
    <w:rsid w:val="32B87B31"/>
    <w:rsid w:val="32FC7B27"/>
    <w:rsid w:val="33A90E75"/>
    <w:rsid w:val="34655258"/>
    <w:rsid w:val="35303AB8"/>
    <w:rsid w:val="357754C7"/>
    <w:rsid w:val="35A16764"/>
    <w:rsid w:val="35C41F96"/>
    <w:rsid w:val="35F04FF6"/>
    <w:rsid w:val="364264D0"/>
    <w:rsid w:val="366E34D7"/>
    <w:rsid w:val="36B800F3"/>
    <w:rsid w:val="36C32796"/>
    <w:rsid w:val="370D18B2"/>
    <w:rsid w:val="37126620"/>
    <w:rsid w:val="37294C63"/>
    <w:rsid w:val="37641351"/>
    <w:rsid w:val="37841E99"/>
    <w:rsid w:val="37B26A07"/>
    <w:rsid w:val="387168C2"/>
    <w:rsid w:val="38E71D8F"/>
    <w:rsid w:val="38EE52A2"/>
    <w:rsid w:val="399007C7"/>
    <w:rsid w:val="399538B1"/>
    <w:rsid w:val="39B34CB8"/>
    <w:rsid w:val="39B76556"/>
    <w:rsid w:val="39C2243E"/>
    <w:rsid w:val="3A2F0DC8"/>
    <w:rsid w:val="3A347BA7"/>
    <w:rsid w:val="3AC32CD9"/>
    <w:rsid w:val="3AC500AC"/>
    <w:rsid w:val="3ACC6031"/>
    <w:rsid w:val="3AD82C28"/>
    <w:rsid w:val="3AD9720A"/>
    <w:rsid w:val="3AFC0CAA"/>
    <w:rsid w:val="3B025860"/>
    <w:rsid w:val="3B0C5D64"/>
    <w:rsid w:val="3B4E6CEA"/>
    <w:rsid w:val="3BD3519D"/>
    <w:rsid w:val="3C1D7E6F"/>
    <w:rsid w:val="3C2D62F1"/>
    <w:rsid w:val="3C60264C"/>
    <w:rsid w:val="3C6C7899"/>
    <w:rsid w:val="3CC701F0"/>
    <w:rsid w:val="3CDE57E3"/>
    <w:rsid w:val="3D1B4345"/>
    <w:rsid w:val="3D3D3216"/>
    <w:rsid w:val="3D65011B"/>
    <w:rsid w:val="3D736C38"/>
    <w:rsid w:val="3DF4287B"/>
    <w:rsid w:val="3E043D34"/>
    <w:rsid w:val="3E686071"/>
    <w:rsid w:val="3E7A3FA5"/>
    <w:rsid w:val="3F43263A"/>
    <w:rsid w:val="3F4A21EA"/>
    <w:rsid w:val="3FB30B17"/>
    <w:rsid w:val="3FCF4CA1"/>
    <w:rsid w:val="3FD140EA"/>
    <w:rsid w:val="3FF45B3D"/>
    <w:rsid w:val="401D73AA"/>
    <w:rsid w:val="402320AF"/>
    <w:rsid w:val="402426A6"/>
    <w:rsid w:val="40C7551C"/>
    <w:rsid w:val="41326E0A"/>
    <w:rsid w:val="4179011D"/>
    <w:rsid w:val="41F26CD1"/>
    <w:rsid w:val="420905A3"/>
    <w:rsid w:val="420C31B7"/>
    <w:rsid w:val="42136B13"/>
    <w:rsid w:val="42343AA5"/>
    <w:rsid w:val="42734378"/>
    <w:rsid w:val="42C82CA2"/>
    <w:rsid w:val="42D54C4D"/>
    <w:rsid w:val="439233B5"/>
    <w:rsid w:val="439B6A5B"/>
    <w:rsid w:val="43EC1C30"/>
    <w:rsid w:val="440E3217"/>
    <w:rsid w:val="44136A7F"/>
    <w:rsid w:val="446122EA"/>
    <w:rsid w:val="44C4421D"/>
    <w:rsid w:val="44F85C75"/>
    <w:rsid w:val="44FB1A8B"/>
    <w:rsid w:val="45046727"/>
    <w:rsid w:val="45A3712B"/>
    <w:rsid w:val="45D010CA"/>
    <w:rsid w:val="45EF13EA"/>
    <w:rsid w:val="465C0C09"/>
    <w:rsid w:val="46671304"/>
    <w:rsid w:val="468C48C7"/>
    <w:rsid w:val="46A148F6"/>
    <w:rsid w:val="46E2577B"/>
    <w:rsid w:val="47693300"/>
    <w:rsid w:val="47747198"/>
    <w:rsid w:val="47E855D1"/>
    <w:rsid w:val="48276410"/>
    <w:rsid w:val="487242B9"/>
    <w:rsid w:val="489565B3"/>
    <w:rsid w:val="48971045"/>
    <w:rsid w:val="48BC5937"/>
    <w:rsid w:val="48E16546"/>
    <w:rsid w:val="496F6480"/>
    <w:rsid w:val="497A40B6"/>
    <w:rsid w:val="497D40E7"/>
    <w:rsid w:val="49893AFC"/>
    <w:rsid w:val="499B1401"/>
    <w:rsid w:val="4A063D19"/>
    <w:rsid w:val="4A440984"/>
    <w:rsid w:val="4A502FF8"/>
    <w:rsid w:val="4AC14F53"/>
    <w:rsid w:val="4AC62A9D"/>
    <w:rsid w:val="4AC91F60"/>
    <w:rsid w:val="4AF4438A"/>
    <w:rsid w:val="4B294DDA"/>
    <w:rsid w:val="4B46598C"/>
    <w:rsid w:val="4B5A638C"/>
    <w:rsid w:val="4B837C34"/>
    <w:rsid w:val="4B947B48"/>
    <w:rsid w:val="4BC157FD"/>
    <w:rsid w:val="4BE91F17"/>
    <w:rsid w:val="4C0B2398"/>
    <w:rsid w:val="4C2F4672"/>
    <w:rsid w:val="4C2F7A5C"/>
    <w:rsid w:val="4C720843"/>
    <w:rsid w:val="4CAD5FD6"/>
    <w:rsid w:val="4CC56ECF"/>
    <w:rsid w:val="4CE30F78"/>
    <w:rsid w:val="4CEE6E31"/>
    <w:rsid w:val="4CFE5DF2"/>
    <w:rsid w:val="4DBB46A4"/>
    <w:rsid w:val="4DFB6F66"/>
    <w:rsid w:val="4E2473D3"/>
    <w:rsid w:val="4E30022D"/>
    <w:rsid w:val="4EB8094F"/>
    <w:rsid w:val="4ED70AFA"/>
    <w:rsid w:val="4EDE5EDB"/>
    <w:rsid w:val="4EFE4FF6"/>
    <w:rsid w:val="4F075432"/>
    <w:rsid w:val="4F522B51"/>
    <w:rsid w:val="4FA61A93"/>
    <w:rsid w:val="4FD708C1"/>
    <w:rsid w:val="50206BD9"/>
    <w:rsid w:val="504D330B"/>
    <w:rsid w:val="50895886"/>
    <w:rsid w:val="508E1939"/>
    <w:rsid w:val="512C07DC"/>
    <w:rsid w:val="51482A6B"/>
    <w:rsid w:val="516253C2"/>
    <w:rsid w:val="51736DAF"/>
    <w:rsid w:val="51870AB3"/>
    <w:rsid w:val="51F973ED"/>
    <w:rsid w:val="51FC4FF6"/>
    <w:rsid w:val="520E0886"/>
    <w:rsid w:val="52961C2B"/>
    <w:rsid w:val="530879CB"/>
    <w:rsid w:val="532844C4"/>
    <w:rsid w:val="53360094"/>
    <w:rsid w:val="533E33EC"/>
    <w:rsid w:val="538C5F06"/>
    <w:rsid w:val="545A68C9"/>
    <w:rsid w:val="54765F80"/>
    <w:rsid w:val="549A6C21"/>
    <w:rsid w:val="54A51975"/>
    <w:rsid w:val="54F60D8B"/>
    <w:rsid w:val="551F3269"/>
    <w:rsid w:val="552F223C"/>
    <w:rsid w:val="554F1148"/>
    <w:rsid w:val="55D50038"/>
    <w:rsid w:val="55FB55C5"/>
    <w:rsid w:val="56207479"/>
    <w:rsid w:val="56356D29"/>
    <w:rsid w:val="56487BA0"/>
    <w:rsid w:val="56530862"/>
    <w:rsid w:val="56552F27"/>
    <w:rsid w:val="566954DC"/>
    <w:rsid w:val="56821842"/>
    <w:rsid w:val="56861993"/>
    <w:rsid w:val="56C232D8"/>
    <w:rsid w:val="57610B9F"/>
    <w:rsid w:val="576A7FB9"/>
    <w:rsid w:val="577C3EDC"/>
    <w:rsid w:val="578C0F68"/>
    <w:rsid w:val="57C84CF5"/>
    <w:rsid w:val="57FA1848"/>
    <w:rsid w:val="58035E1A"/>
    <w:rsid w:val="583F7EB4"/>
    <w:rsid w:val="584414A5"/>
    <w:rsid w:val="585663C9"/>
    <w:rsid w:val="58816CB7"/>
    <w:rsid w:val="58957303"/>
    <w:rsid w:val="58FD4AA4"/>
    <w:rsid w:val="591916B2"/>
    <w:rsid w:val="59B936E7"/>
    <w:rsid w:val="59D53408"/>
    <w:rsid w:val="5A266B95"/>
    <w:rsid w:val="5A6B40D4"/>
    <w:rsid w:val="5AD54636"/>
    <w:rsid w:val="5B380599"/>
    <w:rsid w:val="5B441028"/>
    <w:rsid w:val="5B5E0136"/>
    <w:rsid w:val="5B7971A4"/>
    <w:rsid w:val="5B980E5C"/>
    <w:rsid w:val="5BC76675"/>
    <w:rsid w:val="5BDC37A3"/>
    <w:rsid w:val="5BE21270"/>
    <w:rsid w:val="5BE80399"/>
    <w:rsid w:val="5BF32D8A"/>
    <w:rsid w:val="5C047C27"/>
    <w:rsid w:val="5C0A6562"/>
    <w:rsid w:val="5C321615"/>
    <w:rsid w:val="5C37035E"/>
    <w:rsid w:val="5CA2679A"/>
    <w:rsid w:val="5CE32EAE"/>
    <w:rsid w:val="5CE73459"/>
    <w:rsid w:val="5D1816A4"/>
    <w:rsid w:val="5D1C479E"/>
    <w:rsid w:val="5D50269A"/>
    <w:rsid w:val="5D663C6C"/>
    <w:rsid w:val="5D85447D"/>
    <w:rsid w:val="5D9E5405"/>
    <w:rsid w:val="5E60690D"/>
    <w:rsid w:val="5E930A90"/>
    <w:rsid w:val="5EC1313B"/>
    <w:rsid w:val="5ECC7AFE"/>
    <w:rsid w:val="5F011502"/>
    <w:rsid w:val="5FD54FBE"/>
    <w:rsid w:val="6008725C"/>
    <w:rsid w:val="60133F38"/>
    <w:rsid w:val="602816AC"/>
    <w:rsid w:val="602B6AA7"/>
    <w:rsid w:val="6045335D"/>
    <w:rsid w:val="605C3CBF"/>
    <w:rsid w:val="60A54AAB"/>
    <w:rsid w:val="60E95138"/>
    <w:rsid w:val="60F35816"/>
    <w:rsid w:val="60FA086E"/>
    <w:rsid w:val="61120392"/>
    <w:rsid w:val="611834CF"/>
    <w:rsid w:val="61422ABA"/>
    <w:rsid w:val="61507BF4"/>
    <w:rsid w:val="615475B6"/>
    <w:rsid w:val="61564E40"/>
    <w:rsid w:val="61851A8D"/>
    <w:rsid w:val="61B256D1"/>
    <w:rsid w:val="621517BC"/>
    <w:rsid w:val="621B29BE"/>
    <w:rsid w:val="633B0FFF"/>
    <w:rsid w:val="63626C83"/>
    <w:rsid w:val="636B1FDC"/>
    <w:rsid w:val="63B514A9"/>
    <w:rsid w:val="6411790A"/>
    <w:rsid w:val="6442383C"/>
    <w:rsid w:val="64552344"/>
    <w:rsid w:val="64741453"/>
    <w:rsid w:val="65031510"/>
    <w:rsid w:val="65614F85"/>
    <w:rsid w:val="660B715E"/>
    <w:rsid w:val="66274D4E"/>
    <w:rsid w:val="66423CCD"/>
    <w:rsid w:val="667035AB"/>
    <w:rsid w:val="672A7AB8"/>
    <w:rsid w:val="67492634"/>
    <w:rsid w:val="67994D0F"/>
    <w:rsid w:val="67DD0FCE"/>
    <w:rsid w:val="67F06AC4"/>
    <w:rsid w:val="69083E29"/>
    <w:rsid w:val="690B569D"/>
    <w:rsid w:val="69166ABC"/>
    <w:rsid w:val="691E364C"/>
    <w:rsid w:val="69417481"/>
    <w:rsid w:val="69474951"/>
    <w:rsid w:val="69D70EAB"/>
    <w:rsid w:val="6A1D6DB8"/>
    <w:rsid w:val="6A260A0B"/>
    <w:rsid w:val="6A3C1FDC"/>
    <w:rsid w:val="6A406E3A"/>
    <w:rsid w:val="6A9A0162"/>
    <w:rsid w:val="6AA45DD3"/>
    <w:rsid w:val="6AC41FD2"/>
    <w:rsid w:val="6AF6662F"/>
    <w:rsid w:val="6B061897"/>
    <w:rsid w:val="6B0E27DC"/>
    <w:rsid w:val="6B364C7D"/>
    <w:rsid w:val="6B476AB3"/>
    <w:rsid w:val="6B83252A"/>
    <w:rsid w:val="6C0528A2"/>
    <w:rsid w:val="6C3A66BC"/>
    <w:rsid w:val="6C3B45E8"/>
    <w:rsid w:val="6C60224F"/>
    <w:rsid w:val="6C78592B"/>
    <w:rsid w:val="6D460A1A"/>
    <w:rsid w:val="6D8A305E"/>
    <w:rsid w:val="6DD75948"/>
    <w:rsid w:val="6E3556C0"/>
    <w:rsid w:val="6EA445F4"/>
    <w:rsid w:val="6EB72A98"/>
    <w:rsid w:val="6ECE475B"/>
    <w:rsid w:val="6EF936A9"/>
    <w:rsid w:val="6F7D28B1"/>
    <w:rsid w:val="6FAA2B83"/>
    <w:rsid w:val="70090BB2"/>
    <w:rsid w:val="700A66D9"/>
    <w:rsid w:val="700F3592"/>
    <w:rsid w:val="70CE5958"/>
    <w:rsid w:val="70D8143B"/>
    <w:rsid w:val="71030133"/>
    <w:rsid w:val="71946C60"/>
    <w:rsid w:val="71DB353B"/>
    <w:rsid w:val="72007A43"/>
    <w:rsid w:val="720C1C2E"/>
    <w:rsid w:val="720F655D"/>
    <w:rsid w:val="72901CD2"/>
    <w:rsid w:val="72A20FEB"/>
    <w:rsid w:val="73032C54"/>
    <w:rsid w:val="73525A65"/>
    <w:rsid w:val="739A3F53"/>
    <w:rsid w:val="739D76AC"/>
    <w:rsid w:val="744C72C0"/>
    <w:rsid w:val="747E1443"/>
    <w:rsid w:val="74A77516"/>
    <w:rsid w:val="74ED1183"/>
    <w:rsid w:val="756248C1"/>
    <w:rsid w:val="757545F4"/>
    <w:rsid w:val="75874327"/>
    <w:rsid w:val="75B82733"/>
    <w:rsid w:val="76B80988"/>
    <w:rsid w:val="76CB02BC"/>
    <w:rsid w:val="76D33CC8"/>
    <w:rsid w:val="76D83726"/>
    <w:rsid w:val="77062582"/>
    <w:rsid w:val="77537C3F"/>
    <w:rsid w:val="775741DF"/>
    <w:rsid w:val="775F41B3"/>
    <w:rsid w:val="77C914F4"/>
    <w:rsid w:val="77D72A16"/>
    <w:rsid w:val="77E93077"/>
    <w:rsid w:val="78BC253A"/>
    <w:rsid w:val="78C14214"/>
    <w:rsid w:val="78F42E7A"/>
    <w:rsid w:val="79692F9A"/>
    <w:rsid w:val="797909D8"/>
    <w:rsid w:val="797F1EE5"/>
    <w:rsid w:val="79826DD7"/>
    <w:rsid w:val="79A14200"/>
    <w:rsid w:val="79AD4E44"/>
    <w:rsid w:val="79E166FC"/>
    <w:rsid w:val="79FB79A1"/>
    <w:rsid w:val="7A1F1F65"/>
    <w:rsid w:val="7A85352B"/>
    <w:rsid w:val="7A8C74FF"/>
    <w:rsid w:val="7AC77658"/>
    <w:rsid w:val="7B1C161F"/>
    <w:rsid w:val="7B3A4316"/>
    <w:rsid w:val="7B65510B"/>
    <w:rsid w:val="7B711D02"/>
    <w:rsid w:val="7B847D56"/>
    <w:rsid w:val="7BC57958"/>
    <w:rsid w:val="7BEB1AB4"/>
    <w:rsid w:val="7C18217D"/>
    <w:rsid w:val="7C1A652F"/>
    <w:rsid w:val="7C1F175E"/>
    <w:rsid w:val="7C3B261D"/>
    <w:rsid w:val="7C6374A7"/>
    <w:rsid w:val="7C6D4277"/>
    <w:rsid w:val="7C963338"/>
    <w:rsid w:val="7CA05820"/>
    <w:rsid w:val="7CB71996"/>
    <w:rsid w:val="7CC852EA"/>
    <w:rsid w:val="7D1B1DC6"/>
    <w:rsid w:val="7D85204E"/>
    <w:rsid w:val="7DDA7250"/>
    <w:rsid w:val="7DEE7639"/>
    <w:rsid w:val="7E2748F9"/>
    <w:rsid w:val="7E4F4F00"/>
    <w:rsid w:val="7E6D40BC"/>
    <w:rsid w:val="7EE0221A"/>
    <w:rsid w:val="7EF90044"/>
    <w:rsid w:val="7F3A10FD"/>
    <w:rsid w:val="7F4A6AF1"/>
    <w:rsid w:val="7F735A2D"/>
    <w:rsid w:val="7FDF36DE"/>
    <w:rsid w:val="7FEF2E6D"/>
    <w:rsid w:val="7FFF5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qFormat="1" w:unhideWhenUsed="0" w:uiPriority="0" w:name="toc 6"/>
    <w:lsdException w:unhideWhenUsed="0" w:uiPriority="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377"/>
      </w:tabs>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link w:val="30"/>
    <w:qFormat/>
    <w:uiPriority w:val="0"/>
    <w:pPr>
      <w:keepNext/>
      <w:keepLines/>
      <w:spacing w:after="220" w:line="360" w:lineRule="auto"/>
      <w:jc w:val="center"/>
      <w:outlineLvl w:val="0"/>
    </w:pPr>
    <w:rPr>
      <w:rFonts w:ascii="黑体" w:eastAsia="黑体"/>
      <w:bCs/>
      <w:kern w:val="44"/>
      <w:sz w:val="30"/>
      <w:szCs w:val="30"/>
    </w:rPr>
  </w:style>
  <w:style w:type="paragraph" w:styleId="3">
    <w:name w:val="heading 2"/>
    <w:basedOn w:val="1"/>
    <w:next w:val="1"/>
    <w:link w:val="55"/>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paragraph" w:styleId="6">
    <w:name w:val="heading 5"/>
    <w:basedOn w:val="1"/>
    <w:next w:val="1"/>
    <w:unhideWhenUsed/>
    <w:qFormat/>
    <w:uiPriority w:val="0"/>
    <w:pPr>
      <w:spacing w:before="100" w:beforeAutospacing="1" w:after="100" w:afterAutospacing="1"/>
      <w:jc w:val="left"/>
      <w:outlineLvl w:val="4"/>
    </w:pPr>
    <w:rPr>
      <w:rFonts w:hint="eastAsia" w:ascii="宋体" w:hAnsi="宋体"/>
      <w:b/>
      <w:bCs/>
      <w:sz w:val="20"/>
      <w:szCs w:val="20"/>
    </w:rPr>
  </w:style>
  <w:style w:type="character" w:default="1" w:styleId="24">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7">
    <w:name w:val="toc 7"/>
    <w:basedOn w:val="1"/>
    <w:next w:val="1"/>
    <w:semiHidden/>
    <w:uiPriority w:val="0"/>
    <w:pPr>
      <w:widowControl w:val="0"/>
      <w:tabs>
        <w:tab w:val="clear" w:pos="377"/>
      </w:tabs>
      <w:spacing w:line="240" w:lineRule="auto"/>
      <w:ind w:left="2520" w:leftChars="1200"/>
    </w:pPr>
    <w:rPr>
      <w:kern w:val="2"/>
      <w:sz w:val="21"/>
    </w:rPr>
  </w:style>
  <w:style w:type="paragraph" w:styleId="8">
    <w:name w:val="caption"/>
    <w:basedOn w:val="1"/>
    <w:next w:val="1"/>
    <w:semiHidden/>
    <w:unhideWhenUsed/>
    <w:qFormat/>
    <w:uiPriority w:val="0"/>
    <w:rPr>
      <w:rFonts w:ascii="Arial" w:hAnsi="Arial" w:eastAsia="黑体"/>
      <w:sz w:val="20"/>
    </w:rPr>
  </w:style>
  <w:style w:type="paragraph" w:styleId="9">
    <w:name w:val="annotation text"/>
    <w:basedOn w:val="1"/>
    <w:link w:val="56"/>
    <w:uiPriority w:val="0"/>
    <w:pPr>
      <w:jc w:val="left"/>
    </w:pPr>
  </w:style>
  <w:style w:type="paragraph" w:styleId="10">
    <w:name w:val="Body Text Indent"/>
    <w:basedOn w:val="1"/>
    <w:link w:val="31"/>
    <w:qFormat/>
    <w:uiPriority w:val="0"/>
    <w:pPr>
      <w:spacing w:after="120"/>
      <w:ind w:left="420" w:leftChars="200"/>
    </w:pPr>
  </w:style>
  <w:style w:type="paragraph" w:styleId="11">
    <w:name w:val="toc 3"/>
    <w:basedOn w:val="1"/>
    <w:next w:val="1"/>
    <w:qFormat/>
    <w:uiPriority w:val="39"/>
    <w:pPr>
      <w:tabs>
        <w:tab w:val="clear" w:pos="377"/>
      </w:tabs>
      <w:ind w:left="840" w:leftChars="400"/>
    </w:pPr>
  </w:style>
  <w:style w:type="paragraph" w:styleId="12">
    <w:name w:val="Body Text Indent 2"/>
    <w:basedOn w:val="1"/>
    <w:link w:val="32"/>
    <w:uiPriority w:val="0"/>
    <w:pPr>
      <w:widowControl w:val="0"/>
      <w:tabs>
        <w:tab w:val="clear" w:pos="377"/>
      </w:tabs>
      <w:spacing w:line="240" w:lineRule="auto"/>
      <w:ind w:firstLine="435"/>
    </w:pPr>
    <w:rPr>
      <w:kern w:val="2"/>
    </w:rPr>
  </w:style>
  <w:style w:type="paragraph" w:styleId="13">
    <w:name w:val="Balloon Text"/>
    <w:basedOn w:val="1"/>
    <w:semiHidden/>
    <w:qFormat/>
    <w:uiPriority w:val="0"/>
    <w:rPr>
      <w:sz w:val="18"/>
      <w:szCs w:val="18"/>
    </w:rPr>
  </w:style>
  <w:style w:type="paragraph" w:styleId="14">
    <w:name w:val="footer"/>
    <w:basedOn w:val="1"/>
    <w:qFormat/>
    <w:uiPriority w:val="0"/>
    <w:pPr>
      <w:tabs>
        <w:tab w:val="center" w:pos="4153"/>
        <w:tab w:val="right" w:pos="8306"/>
        <w:tab w:val="clear" w:pos="377"/>
      </w:tabs>
      <w:spacing w:before="600" w:line="180" w:lineRule="atLeast"/>
      <w:jc w:val="left"/>
    </w:pPr>
    <w:rPr>
      <w:sz w:val="18"/>
      <w:szCs w:val="18"/>
    </w:rPr>
  </w:style>
  <w:style w:type="paragraph" w:styleId="15">
    <w:name w:val="header"/>
    <w:basedOn w:val="1"/>
    <w:qFormat/>
    <w:uiPriority w:val="0"/>
    <w:pPr>
      <w:keepLines/>
      <w:pBdr>
        <w:bottom w:val="single" w:color="auto" w:sz="6" w:space="1"/>
      </w:pBdr>
      <w:tabs>
        <w:tab w:val="center" w:pos="4153"/>
        <w:tab w:val="right" w:pos="8306"/>
        <w:tab w:val="clear" w:pos="377"/>
      </w:tabs>
      <w:snapToGrid w:val="0"/>
      <w:spacing w:after="600" w:line="180" w:lineRule="atLeast"/>
      <w:jc w:val="center"/>
    </w:pPr>
    <w:rPr>
      <w:spacing w:val="-5"/>
      <w:sz w:val="21"/>
      <w:szCs w:val="21"/>
    </w:rPr>
  </w:style>
  <w:style w:type="paragraph" w:styleId="16">
    <w:name w:val="toc 1"/>
    <w:basedOn w:val="1"/>
    <w:next w:val="1"/>
    <w:qFormat/>
    <w:uiPriority w:val="39"/>
    <w:pPr>
      <w:tabs>
        <w:tab w:val="clear" w:pos="377"/>
      </w:tabs>
    </w:pPr>
  </w:style>
  <w:style w:type="paragraph" w:styleId="17">
    <w:name w:val="toc 6"/>
    <w:basedOn w:val="1"/>
    <w:next w:val="1"/>
    <w:semiHidden/>
    <w:qFormat/>
    <w:uiPriority w:val="0"/>
    <w:pPr>
      <w:widowControl w:val="0"/>
      <w:tabs>
        <w:tab w:val="clear" w:pos="377"/>
      </w:tabs>
      <w:spacing w:line="240" w:lineRule="auto"/>
      <w:ind w:left="2100" w:leftChars="1000"/>
    </w:pPr>
    <w:rPr>
      <w:kern w:val="2"/>
      <w:sz w:val="21"/>
    </w:rPr>
  </w:style>
  <w:style w:type="paragraph" w:styleId="18">
    <w:name w:val="toc 2"/>
    <w:basedOn w:val="1"/>
    <w:next w:val="1"/>
    <w:qFormat/>
    <w:uiPriority w:val="39"/>
    <w:pPr>
      <w:tabs>
        <w:tab w:val="clear" w:pos="377"/>
      </w:tabs>
      <w:ind w:left="420" w:leftChars="200"/>
    </w:pPr>
  </w:style>
  <w:style w:type="paragraph" w:styleId="19">
    <w:name w:val="Normal (Web)"/>
    <w:basedOn w:val="1"/>
    <w:uiPriority w:val="0"/>
    <w:pPr>
      <w:spacing w:before="100" w:beforeAutospacing="1" w:after="100" w:afterAutospacing="1"/>
      <w:jc w:val="left"/>
    </w:pPr>
  </w:style>
  <w:style w:type="paragraph" w:styleId="20">
    <w:name w:val="Title"/>
    <w:next w:val="1"/>
    <w:qFormat/>
    <w:uiPriority w:val="0"/>
    <w:pPr>
      <w:jc w:val="center"/>
    </w:pPr>
    <w:rPr>
      <w:rFonts w:ascii="Times New Roman" w:hAnsi="Times New Roman" w:eastAsia="黑体" w:cs="Times New Roman"/>
      <w:bCs/>
      <w:kern w:val="44"/>
      <w:sz w:val="30"/>
      <w:szCs w:val="30"/>
      <w:lang w:val="en-US" w:eastAsia="zh-CN" w:bidi="ar-SA"/>
    </w:rPr>
  </w:style>
  <w:style w:type="paragraph" w:styleId="21">
    <w:name w:val="annotation subject"/>
    <w:basedOn w:val="9"/>
    <w:next w:val="9"/>
    <w:link w:val="57"/>
    <w:uiPriority w:val="0"/>
    <w:rPr>
      <w:b/>
      <w:bCs/>
    </w:rPr>
  </w:style>
  <w:style w:type="table" w:styleId="23">
    <w:name w:val="Table Grid"/>
    <w:basedOn w:val="22"/>
    <w:qFormat/>
    <w:uiPriority w:val="0"/>
    <w:pPr>
      <w:widowControl w:val="0"/>
      <w:spacing w:line="312"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b/>
    </w:rPr>
  </w:style>
  <w:style w:type="character" w:styleId="26">
    <w:name w:val="page number"/>
    <w:basedOn w:val="24"/>
    <w:qFormat/>
    <w:uiPriority w:val="0"/>
  </w:style>
  <w:style w:type="character" w:styleId="27">
    <w:name w:val="Hyperlink"/>
    <w:basedOn w:val="24"/>
    <w:qFormat/>
    <w:uiPriority w:val="99"/>
    <w:rPr>
      <w:color w:val="0000FF"/>
      <w:u w:val="single"/>
    </w:rPr>
  </w:style>
  <w:style w:type="character" w:styleId="28">
    <w:name w:val="HTML Code"/>
    <w:basedOn w:val="24"/>
    <w:qFormat/>
    <w:uiPriority w:val="0"/>
    <w:rPr>
      <w:rFonts w:ascii="Courier New" w:hAnsi="Courier New"/>
      <w:sz w:val="20"/>
    </w:rPr>
  </w:style>
  <w:style w:type="character" w:styleId="29">
    <w:name w:val="annotation reference"/>
    <w:basedOn w:val="24"/>
    <w:uiPriority w:val="0"/>
    <w:rPr>
      <w:sz w:val="21"/>
      <w:szCs w:val="21"/>
    </w:rPr>
  </w:style>
  <w:style w:type="character" w:customStyle="1" w:styleId="30">
    <w:name w:val="标题 1 字符"/>
    <w:link w:val="2"/>
    <w:qFormat/>
    <w:uiPriority w:val="0"/>
    <w:rPr>
      <w:rFonts w:ascii="黑体" w:eastAsia="黑体"/>
      <w:bCs/>
      <w:kern w:val="44"/>
      <w:sz w:val="30"/>
      <w:szCs w:val="30"/>
    </w:rPr>
  </w:style>
  <w:style w:type="character" w:customStyle="1" w:styleId="31">
    <w:name w:val="正文文本缩进 字符"/>
    <w:link w:val="10"/>
    <w:qFormat/>
    <w:uiPriority w:val="0"/>
    <w:rPr>
      <w:sz w:val="24"/>
      <w:szCs w:val="24"/>
    </w:rPr>
  </w:style>
  <w:style w:type="character" w:customStyle="1" w:styleId="32">
    <w:name w:val="正文文本缩进 2 字符"/>
    <w:link w:val="12"/>
    <w:qFormat/>
    <w:uiPriority w:val="0"/>
    <w:rPr>
      <w:kern w:val="2"/>
      <w:sz w:val="24"/>
      <w:szCs w:val="24"/>
    </w:rPr>
  </w:style>
  <w:style w:type="character" w:customStyle="1" w:styleId="33">
    <w:name w:val="参考文献正文 Char"/>
    <w:link w:val="34"/>
    <w:qFormat/>
    <w:uiPriority w:val="0"/>
    <w:rPr>
      <w:rFonts w:ascii="宋体" w:hAnsi="宋体" w:eastAsia="宋体"/>
      <w:sz w:val="21"/>
      <w:szCs w:val="21"/>
      <w:lang w:val="en-US" w:eastAsia="zh-CN" w:bidi="en-US"/>
    </w:rPr>
  </w:style>
  <w:style w:type="paragraph" w:customStyle="1" w:styleId="34">
    <w:name w:val="参考文献正文"/>
    <w:basedOn w:val="1"/>
    <w:link w:val="33"/>
    <w:qFormat/>
    <w:uiPriority w:val="0"/>
    <w:pPr>
      <w:tabs>
        <w:tab w:val="clear" w:pos="377"/>
      </w:tabs>
      <w:snapToGrid w:val="0"/>
      <w:ind w:firstLine="480" w:firstLineChars="200"/>
      <w:jc w:val="left"/>
    </w:pPr>
    <w:rPr>
      <w:rFonts w:ascii="宋体" w:hAnsi="宋体"/>
      <w:sz w:val="21"/>
      <w:szCs w:val="21"/>
      <w:lang w:bidi="en-US"/>
    </w:rPr>
  </w:style>
  <w:style w:type="character" w:customStyle="1" w:styleId="35">
    <w:name w:val="关键词 Char"/>
    <w:qFormat/>
    <w:uiPriority w:val="0"/>
    <w:rPr>
      <w:rFonts w:ascii="仿宋_GB2312" w:eastAsia="仿宋_GB2312"/>
      <w:sz w:val="24"/>
      <w:szCs w:val="24"/>
      <w:lang w:bidi="en-US"/>
    </w:rPr>
  </w:style>
  <w:style w:type="character" w:customStyle="1" w:styleId="36">
    <w:name w:val="关键词题头 Char"/>
    <w:qFormat/>
    <w:uiPriority w:val="0"/>
    <w:rPr>
      <w:rFonts w:ascii="黑体" w:eastAsia="黑体"/>
      <w:sz w:val="24"/>
      <w:szCs w:val="24"/>
      <w:lang w:bidi="en-US"/>
    </w:rPr>
  </w:style>
  <w:style w:type="character" w:customStyle="1" w:styleId="37">
    <w:name w:val="图名英文 Char"/>
    <w:link w:val="38"/>
    <w:qFormat/>
    <w:uiPriority w:val="0"/>
    <w:rPr>
      <w:rFonts w:eastAsia="宋体"/>
      <w:sz w:val="21"/>
      <w:szCs w:val="21"/>
      <w:lang w:val="en-US" w:eastAsia="en-US" w:bidi="en-US"/>
    </w:rPr>
  </w:style>
  <w:style w:type="paragraph" w:customStyle="1" w:styleId="38">
    <w:name w:val="图名英文"/>
    <w:basedOn w:val="1"/>
    <w:link w:val="37"/>
    <w:qFormat/>
    <w:uiPriority w:val="0"/>
    <w:pPr>
      <w:tabs>
        <w:tab w:val="clear" w:pos="377"/>
      </w:tabs>
      <w:snapToGrid w:val="0"/>
      <w:ind w:firstLine="480" w:firstLineChars="200"/>
      <w:jc w:val="center"/>
    </w:pPr>
    <w:rPr>
      <w:sz w:val="21"/>
      <w:szCs w:val="21"/>
      <w:lang w:eastAsia="en-US" w:bidi="en-US"/>
    </w:rPr>
  </w:style>
  <w:style w:type="character" w:customStyle="1" w:styleId="39">
    <w:name w:val="英文关键词 Char"/>
    <w:qFormat/>
    <w:uiPriority w:val="0"/>
    <w:rPr>
      <w:rFonts w:ascii="Calibri" w:hAnsi="Calibri" w:eastAsia="宋体"/>
      <w:sz w:val="24"/>
      <w:szCs w:val="24"/>
      <w:lang w:eastAsia="en-US" w:bidi="en-US"/>
    </w:rPr>
  </w:style>
  <w:style w:type="character" w:customStyle="1" w:styleId="40">
    <w:name w:val="正文1 Char"/>
    <w:link w:val="41"/>
    <w:qFormat/>
    <w:uiPriority w:val="0"/>
    <w:rPr>
      <w:rFonts w:eastAsia="宋体"/>
      <w:sz w:val="24"/>
      <w:lang w:val="en-US" w:eastAsia="en-US" w:bidi="en-US"/>
    </w:rPr>
  </w:style>
  <w:style w:type="paragraph" w:customStyle="1" w:styleId="41">
    <w:name w:val="正文1"/>
    <w:basedOn w:val="1"/>
    <w:link w:val="40"/>
    <w:qFormat/>
    <w:uiPriority w:val="0"/>
    <w:pPr>
      <w:tabs>
        <w:tab w:val="clear" w:pos="377"/>
      </w:tabs>
      <w:snapToGrid w:val="0"/>
      <w:ind w:firstLine="480" w:firstLineChars="200"/>
      <w:jc w:val="left"/>
    </w:pPr>
    <w:rPr>
      <w:szCs w:val="20"/>
      <w:lang w:eastAsia="en-US" w:bidi="en-US"/>
    </w:rPr>
  </w:style>
  <w:style w:type="character" w:customStyle="1" w:styleId="42">
    <w:name w:val="图名中文 Char"/>
    <w:link w:val="43"/>
    <w:qFormat/>
    <w:uiPriority w:val="0"/>
    <w:rPr>
      <w:rFonts w:ascii="宋体" w:hAnsi="宋体" w:eastAsia="宋体"/>
      <w:sz w:val="21"/>
      <w:szCs w:val="21"/>
      <w:lang w:val="en-US" w:eastAsia="en-US" w:bidi="en-US"/>
    </w:rPr>
  </w:style>
  <w:style w:type="paragraph" w:customStyle="1" w:styleId="43">
    <w:name w:val="图名中文"/>
    <w:basedOn w:val="1"/>
    <w:link w:val="42"/>
    <w:qFormat/>
    <w:uiPriority w:val="0"/>
    <w:pPr>
      <w:tabs>
        <w:tab w:val="clear" w:pos="377"/>
      </w:tabs>
      <w:snapToGrid w:val="0"/>
      <w:ind w:firstLine="480" w:firstLineChars="200"/>
      <w:jc w:val="center"/>
    </w:pPr>
    <w:rPr>
      <w:rFonts w:ascii="宋体" w:hAnsi="宋体"/>
      <w:sz w:val="21"/>
      <w:szCs w:val="21"/>
      <w:lang w:eastAsia="en-US" w:bidi="en-US"/>
    </w:rPr>
  </w:style>
  <w:style w:type="paragraph" w:customStyle="1" w:styleId="44">
    <w:name w:val="样式 标题 1 + 段后: 1 行"/>
    <w:basedOn w:val="2"/>
    <w:qFormat/>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customStyle="1" w:styleId="45">
    <w:name w:val="样式 参考文献标题 + 段后: 1 行"/>
    <w:basedOn w:val="1"/>
    <w:qFormat/>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paragraph" w:customStyle="1" w:styleId="46">
    <w:name w:val="_Style 39"/>
    <w:unhideWhenUsed/>
    <w:qFormat/>
    <w:uiPriority w:val="99"/>
    <w:rPr>
      <w:rFonts w:ascii="Times New Roman" w:hAnsi="Times New Roman" w:eastAsia="宋体" w:cs="Times New Roman"/>
      <w:sz w:val="24"/>
      <w:szCs w:val="24"/>
      <w:lang w:val="en-US" w:eastAsia="zh-CN" w:bidi="ar-SA"/>
    </w:rPr>
  </w:style>
  <w:style w:type="paragraph" w:customStyle="1" w:styleId="47">
    <w:name w:val="ckwx"/>
    <w:basedOn w:val="34"/>
    <w:qFormat/>
    <w:uiPriority w:val="0"/>
    <w:pPr>
      <w:numPr>
        <w:ilvl w:val="0"/>
        <w:numId w:val="1"/>
      </w:numPr>
      <w:spacing w:line="440" w:lineRule="exact"/>
      <w:ind w:left="642" w:hanging="200" w:hangingChars="200"/>
      <w:jc w:val="both"/>
    </w:pPr>
    <w:rPr>
      <w:rFonts w:ascii="Times New Roman" w:hAnsi="Times New Roman"/>
    </w:rPr>
  </w:style>
  <w:style w:type="paragraph" w:customStyle="1" w:styleId="48">
    <w:name w:val="zw"/>
    <w:basedOn w:val="1"/>
    <w:link w:val="50"/>
    <w:qFormat/>
    <w:uiPriority w:val="0"/>
    <w:pPr>
      <w:spacing w:line="360" w:lineRule="auto"/>
      <w:ind w:firstLine="200" w:firstLineChars="200"/>
    </w:pPr>
    <w:rPr>
      <w:szCs w:val="30"/>
    </w:rPr>
  </w:style>
  <w:style w:type="character" w:customStyle="1" w:styleId="49">
    <w:name w:val="zw 字符"/>
    <w:basedOn w:val="24"/>
    <w:qFormat/>
    <w:uiPriority w:val="0"/>
    <w:rPr>
      <w:sz w:val="24"/>
      <w:szCs w:val="30"/>
    </w:rPr>
  </w:style>
  <w:style w:type="character" w:customStyle="1" w:styleId="50">
    <w:name w:val="zw Char"/>
    <w:link w:val="48"/>
    <w:qFormat/>
    <w:uiPriority w:val="0"/>
    <w:rPr>
      <w:szCs w:val="30"/>
    </w:rPr>
  </w:style>
  <w:style w:type="character" w:customStyle="1" w:styleId="51">
    <w:name w:val="xbt 字符"/>
    <w:basedOn w:val="49"/>
    <w:link w:val="52"/>
    <w:qFormat/>
    <w:uiPriority w:val="0"/>
    <w:rPr>
      <w:sz w:val="24"/>
      <w:szCs w:val="30"/>
      <w:vertAlign w:val="superscript"/>
    </w:rPr>
  </w:style>
  <w:style w:type="paragraph" w:customStyle="1" w:styleId="52">
    <w:name w:val="xbt"/>
    <w:basedOn w:val="48"/>
    <w:link w:val="51"/>
    <w:qFormat/>
    <w:uiPriority w:val="0"/>
    <w:pPr>
      <w:ind w:firstLine="480"/>
    </w:pPr>
    <w:rPr>
      <w:vertAlign w:val="superscript"/>
    </w:rPr>
  </w:style>
  <w:style w:type="paragraph" w:customStyle="1" w:styleId="53">
    <w:name w:val="AMDisplayEquation"/>
    <w:basedOn w:val="48"/>
    <w:next w:val="1"/>
    <w:link w:val="54"/>
    <w:autoRedefine/>
    <w:qFormat/>
    <w:uiPriority w:val="0"/>
    <w:pPr>
      <w:bidi/>
      <w:ind w:firstLine="480"/>
    </w:pPr>
  </w:style>
  <w:style w:type="character" w:customStyle="1" w:styleId="54">
    <w:name w:val="AMDisplayEquation Char"/>
    <w:link w:val="53"/>
    <w:qFormat/>
    <w:uiPriority w:val="0"/>
    <w:rPr>
      <w:rFonts w:ascii="Times New Roman" w:hAnsi="Times New Roman" w:eastAsia="宋体"/>
    </w:rPr>
  </w:style>
  <w:style w:type="character" w:customStyle="1" w:styleId="55">
    <w:name w:val="标题 2 字符"/>
    <w:link w:val="3"/>
    <w:qFormat/>
    <w:uiPriority w:val="0"/>
    <w:rPr>
      <w:rFonts w:ascii="黑体" w:eastAsia="黑体"/>
      <w:bCs/>
      <w:sz w:val="28"/>
      <w:szCs w:val="28"/>
    </w:rPr>
  </w:style>
  <w:style w:type="character" w:customStyle="1" w:styleId="56">
    <w:name w:val="批注文字 字符"/>
    <w:basedOn w:val="24"/>
    <w:link w:val="9"/>
    <w:uiPriority w:val="0"/>
    <w:rPr>
      <w:sz w:val="24"/>
      <w:szCs w:val="24"/>
    </w:rPr>
  </w:style>
  <w:style w:type="character" w:customStyle="1" w:styleId="57">
    <w:name w:val="批注主题 字符"/>
    <w:basedOn w:val="56"/>
    <w:link w:val="21"/>
    <w:uiPriority w:val="0"/>
    <w:rPr>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comments" Target="comment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6.xml"/><Relationship Id="rId2" Type="http://schemas.openxmlformats.org/officeDocument/2006/relationships/settings" Target="settings.xml"/><Relationship Id="rId19" Type="http://schemas.openxmlformats.org/officeDocument/2006/relationships/footer" Target="footer5.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footer" Target="footer3.xml"/><Relationship Id="rId13" Type="http://schemas.openxmlformats.org/officeDocument/2006/relationships/footer" Target="footer2.xml"/><Relationship Id="rId12" Type="http://schemas.openxmlformats.org/officeDocument/2006/relationships/footer" Target="footer1.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大连理工大学学士学位论文模板.dot</Template>
  <Pages>43</Pages>
  <Words>14113</Words>
  <Characters>17898</Characters>
  <Lines>249</Lines>
  <Paragraphs>70</Paragraphs>
  <TotalTime>4</TotalTime>
  <ScaleCrop>false</ScaleCrop>
  <LinksUpToDate>false</LinksUpToDate>
  <CharactersWithSpaces>18949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2024-04-18T01:08:00Z</dcterms:created>
  <dc:creator>tomtree</dc:creator>
  <cp:lastModifiedBy>Thanos</cp:lastModifiedBy>
  <cp:lastPrinted>2017-06-09T03:54:00Z</cp:lastPrinted>
  <dcterms:modified xsi:type="dcterms:W3CDTF">2025-04-29T03:12:49Z</dcterms:modified>
  <dc:subject>模板</dc:subject>
  <dc:title>重庆交通大学本科毕业设计（论文）模板</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KSOTemplateDocerSaveRecord">
    <vt:lpwstr>eyJoZGlkIjoiYWNhOWYxZWZkNDQwYjU2ZTM5ODhlODk5N2QwOWY3ZmUiLCJ1c2VySWQiOiIzNDYzMzA0MjUifQ==</vt:lpwstr>
  </property>
  <property fmtid="{D5CDD505-2E9C-101B-9397-08002B2CF9AE}" pid="4" name="ICV">
    <vt:lpwstr>FAAFFC9687CF40E5B8B1EFB67B85E7D1_13</vt:lpwstr>
  </property>
</Properties>
</file>