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5B43C6"/>
          <w:sz w:val="26"/>
        </w:rPr>
        <w:t>SHAZAM AI</w:t>
      </w:r>
    </w:p>
    <w:p>
      <w:pPr>
        <w:pStyle w:val="Title"/>
      </w:pPr>
      <w:r>
        <w:t>Product Requirements Document</w:t>
      </w:r>
    </w:p>
    <w:p>
      <w:pPr>
        <w:pStyle w:val="Subtitle"/>
      </w:pPr>
      <w:r>
        <w:rPr>
          <w:color w:val="5A5F6E"/>
          <w:sz w:val="26"/>
        </w:rPr>
        <w:t>A task-first AI workspace with intelligent routing, quota-aware fallback, and multimodal execution.</w:t>
      </w:r>
    </w:p>
    <w:p>
      <w:r>
        <w:rPr>
          <w:b/>
          <w:color w:val="5B43C6"/>
          <w:sz w:val="18"/>
        </w:rPr>
        <w:t>PRD  |  Version 0.1  |  27 October 2026</w:t>
      </w:r>
    </w:p>
    <w:p>
      <w:r>
        <w:t>Status: production-oriented MVP specification for implementation planning. All provider availability, pricing, model IDs, quotas, licenses, and API terms must be revalidated during implementation.</w:t>
      </w:r>
    </w:p>
    <w:p>
      <w:r>
        <w:br w:type="page"/>
      </w:r>
    </w:p>
    <w:p>
      <w:pPr>
        <w:pStyle w:val="Heading1"/>
      </w:pPr>
      <w:r>
        <w:t>1. Executive summary</w:t>
      </w:r>
    </w:p>
    <w:p>
      <w:r>
        <w:t>Shazam AI is a public-facing, extensible AI workspace that routes a user's task to an eligible model or tool based on capability, quality evidence, availability, latency, privacy preferences, and cost. The MVP is not a model directory and does not promise unlimited free inference. It is an orchestration layer that helps people get useful work done while making access constraints visible.</w:t>
      </w:r>
    </w:p>
    <w:p>
      <w:pPr>
        <w:pStyle w:val="Heading1"/>
      </w:pPr>
      <w:r>
        <w:t>2. Product thesis</w:t>
      </w:r>
    </w:p>
    <w:p>
      <w:r>
        <w:t>Users should describe the outcome they want, not have to know which model or provider to choose. Shazam classifies the task, filters out incompatible or unavailable routes, selects a model, executes the request, retries safely when a route fails, and tells the user what happened.</w:t>
      </w:r>
    </w:p>
    <w:p>
      <w:pPr>
        <w:pStyle w:val="Heading1"/>
      </w:pPr>
      <w:r>
        <w:t>3. Target users</w:t>
      </w:r>
    </w:p>
    <w:p>
      <w:pPr>
        <w:pStyle w:val="ListBullet"/>
      </w:pPr>
      <w:r>
        <w:t>Budget-conscious builders, students, creators, and independent developers who want to use eligible free models and their own API access.</w:t>
      </w:r>
    </w:p>
    <w:p>
      <w:pPr>
        <w:pStyle w:val="ListBullet"/>
      </w:pPr>
      <w:r>
        <w:t>Developers who need one interface for multiple model providers and coding workflows.</w:t>
      </w:r>
    </w:p>
    <w:p>
      <w:pPr>
        <w:pStyle w:val="ListBullet"/>
      </w:pPr>
      <w:r>
        <w:t>Creative users who need image, audio, and video tools without maintaining many separate workspaces.</w:t>
      </w:r>
    </w:p>
    <w:p>
      <w:pPr>
        <w:pStyle w:val="ListBullet"/>
      </w:pPr>
      <w:r>
        <w:t>Power users and small teams who need transparent routing, spend limits, provider control, and usage history.</w:t>
      </w:r>
    </w:p>
    <w:p>
      <w:pPr>
        <w:pStyle w:val="Heading1"/>
      </w:pPr>
      <w:r>
        <w:t>4. Jobs to be done</w:t>
      </w:r>
    </w:p>
    <w:p>
      <w:pPr>
        <w:pStyle w:val="ListBullet"/>
      </w:pPr>
      <w:r>
        <w:t>When I ask for a task, automatically choose a suitable available model without requiring me to understand the model market.</w:t>
      </w:r>
    </w:p>
    <w:p>
      <w:pPr>
        <w:pStyle w:val="ListBullet"/>
      </w:pPr>
      <w:r>
        <w:t>When a provider's quota or rate limit is reached, switch to an eligible fallback without losing task context.</w:t>
      </w:r>
    </w:p>
    <w:p>
      <w:pPr>
        <w:pStyle w:val="ListBullet"/>
      </w:pPr>
      <w:r>
        <w:t>When I need to code, generate media, or reason deeply, use the right capability and execution tool—not merely a text model.</w:t>
      </w:r>
    </w:p>
    <w:p>
      <w:pPr>
        <w:pStyle w:val="ListBullet"/>
      </w:pPr>
      <w:r>
        <w:t>When a model is not free, show the cost and require explicit permission before spending.</w:t>
      </w:r>
    </w:p>
    <w:p>
      <w:pPr>
        <w:pStyle w:val="ListBullet"/>
      </w:pPr>
      <w:r>
        <w:t>When I connect my own API key, keep usage and cost attributable to my own provider account.</w:t>
      </w:r>
    </w:p>
    <w:p>
      <w:pPr>
        <w:pStyle w:val="Heading1"/>
      </w:pPr>
      <w:r>
        <w:t>5. MVP scope</w:t>
      </w:r>
    </w:p>
    <w:p>
      <w:pPr>
        <w:pStyle w:val="Heading2"/>
      </w:pPr>
      <w:r>
        <w:t>P0 — required for public beta</w:t>
      </w:r>
    </w:p>
    <w:p>
      <w:pPr>
        <w:pStyle w:val="ListBullet"/>
      </w:pPr>
      <w:r>
        <w:t>Account creation, sign-in, settings, and a clear privacy/retention notice.</w:t>
      </w:r>
    </w:p>
    <w:p>
      <w:pPr>
        <w:pStyle w:val="ListBullet"/>
      </w:pPr>
      <w:r>
        <w:t>Chat workspace with streaming text responses, conversation history, file attachments for supported text/PDF/image inputs, and model-route transparency.</w:t>
      </w:r>
    </w:p>
    <w:p>
      <w:pPr>
        <w:pStyle w:val="ListBullet"/>
      </w:pPr>
      <w:r>
        <w:t>Provider registry and adapters for at least three independently configured routes, including at least one Chinese-origin model/provider and one aggregator route. Do not hard-code a guarantee that any route is free.</w:t>
      </w:r>
    </w:p>
    <w:p>
      <w:pPr>
        <w:pStyle w:val="ListBullet"/>
      </w:pPr>
      <w:r>
        <w:t>Bring-your-own-key (BYOK) for supported providers, encrypted at rest, masked in UI, never returned after creation, and never logged.</w:t>
      </w:r>
    </w:p>
    <w:p>
      <w:pPr>
        <w:pStyle w:val="ListBullet"/>
      </w:pPr>
      <w:r>
        <w:t>Task classifier for general chat, reasoning/planning, coding help, document summarization, vision understanding, and media generation intent.</w:t>
      </w:r>
    </w:p>
    <w:p>
      <w:pPr>
        <w:pStyle w:val="ListBullet"/>
      </w:pPr>
      <w:r>
        <w:t>Capability-aware routing with user controls: Free only, Lowest cost, Balanced, Best quality, and Manual pin.</w:t>
      </w:r>
    </w:p>
    <w:p>
      <w:pPr>
        <w:pStyle w:val="ListBullet"/>
      </w:pPr>
      <w:r>
        <w:t>Quota/availability tracking using provider-reported values where possible; otherwise show estimated/unknown status.</w:t>
      </w:r>
    </w:p>
    <w:p>
      <w:pPr>
        <w:pStyle w:val="ListBullet"/>
      </w:pPr>
      <w:r>
        <w:t>Retry and fallback on retryable errors, respecting idempotency and provider terms; preserve conversation/task state.</w:t>
      </w:r>
    </w:p>
    <w:p>
      <w:pPr>
        <w:pStyle w:val="ListBullet"/>
      </w:pPr>
      <w:r>
        <w:t>Usage ledger with provider, model, route, timestamp, estimated/actual cost when available, tokens/units, fallback reason, and user budget.</w:t>
      </w:r>
    </w:p>
    <w:p>
      <w:pPr>
        <w:pStyle w:val="ListBullet"/>
      </w:pPr>
      <w:r>
        <w:t>Admin-configurable model catalogue, provider health, feature flags, limits, and emergency disable switches.</w:t>
      </w:r>
    </w:p>
    <w:p>
      <w:pPr>
        <w:pStyle w:val="ListBullet"/>
      </w:pPr>
      <w:r>
        <w:t>Basic abuse prevention: per-user request limits, file-size limits, timeouts, output caps, and rate limiting.</w:t>
      </w:r>
    </w:p>
    <w:p>
      <w:pPr>
        <w:pStyle w:val="Heading2"/>
      </w:pPr>
      <w:r>
        <w:t>P1 — next after the core proves itself</w:t>
      </w:r>
    </w:p>
    <w:p>
      <w:pPr>
        <w:pStyle w:val="ListBullet"/>
      </w:pPr>
      <w:r>
        <w:t>Coding agent with a disposable isolated workspace, repository import, file edits, terminal commands, test runs, diffs, and human approval for destructive actions.</w:t>
      </w:r>
    </w:p>
    <w:p>
      <w:pPr>
        <w:pStyle w:val="ListBullet"/>
      </w:pPr>
      <w:r>
        <w:t>Image generation/editing through providers with official API access and documented rights; async job queue and asset storage.</w:t>
      </w:r>
    </w:p>
    <w:p>
      <w:pPr>
        <w:pStyle w:val="ListBullet"/>
      </w:pPr>
      <w:r>
        <w:t>Audio transcription and speech generation.</w:t>
      </w:r>
    </w:p>
    <w:p>
      <w:pPr>
        <w:pStyle w:val="ListBullet"/>
      </w:pPr>
      <w:r>
        <w:t>Video generation as an asynchronous paid/credit-gated capability, only where official API access and unit economics are validated.</w:t>
      </w:r>
    </w:p>
    <w:p>
      <w:pPr>
        <w:pStyle w:val="ListBullet"/>
      </w:pPr>
      <w:r>
        <w:t>Model comparison/evaluation harness and opt-in user feedback.</w:t>
      </w:r>
    </w:p>
    <w:p>
      <w:pPr>
        <w:pStyle w:val="Heading2"/>
      </w:pPr>
      <w:r>
        <w:t>Explicitly out of scope for first public beta</w:t>
      </w:r>
    </w:p>
    <w:p>
      <w:pPr>
        <w:pStyle w:val="ListBullet"/>
      </w:pPr>
      <w:r>
        <w:t>Unlimited free hosted inference, account rotation, quota evasion, scraping consumer chat UIs, or using personal subscriptions as unofficial APIs.</w:t>
      </w:r>
    </w:p>
    <w:p>
      <w:pPr>
        <w:pStyle w:val="ListBullet"/>
      </w:pPr>
      <w:r>
        <w:t>Unattended production deployments, financial transactions, autonomous destructive operations, or unsandboxed arbitrary shell execution.</w:t>
      </w:r>
    </w:p>
    <w:p>
      <w:pPr>
        <w:pStyle w:val="ListBullet"/>
      </w:pPr>
      <w:r>
        <w:t>Guaranteeing that a model is the global best based only on third-party benchmark rankings.</w:t>
      </w:r>
    </w:p>
    <w:p>
      <w:pPr>
        <w:pStyle w:val="ListBullet"/>
      </w:pPr>
      <w:r>
        <w:t>A native mobile app, enterprise SSO, team billing, marketplace payouts, and fine-tuning.</w:t>
      </w:r>
    </w:p>
    <w:p>
      <w:pPr>
        <w:pStyle w:val="Heading1"/>
      </w:pPr>
      <w:r>
        <w:t>6. Product principles</w:t>
      </w:r>
    </w:p>
    <w:p>
      <w:pPr>
        <w:pStyle w:val="ListBullet"/>
      </w:pPr>
      <w:r>
        <w:t>Task-first: user intent is primary; model selection can be overridden.</w:t>
      </w:r>
    </w:p>
    <w:p>
      <w:pPr>
        <w:pStyle w:val="ListBullet"/>
      </w:pPr>
      <w:r>
        <w:t>Honest economics: distinguish free API, BYOK, local, trial credit, and paid routes.</w:t>
      </w:r>
    </w:p>
    <w:p>
      <w:pPr>
        <w:pStyle w:val="ListBullet"/>
      </w:pPr>
      <w:r>
        <w:t>Transparent routing: show selected model/provider, why it was chosen, and whether quota is observed or estimated.</w:t>
      </w:r>
    </w:p>
    <w:p>
      <w:pPr>
        <w:pStyle w:val="ListBullet"/>
      </w:pPr>
      <w:r>
        <w:t>Fail gracefully: fallback is attempted only when compatible and safe; otherwise explain the blocker.</w:t>
      </w:r>
    </w:p>
    <w:p>
      <w:pPr>
        <w:pStyle w:val="ListBullet"/>
      </w:pPr>
      <w:r>
        <w:t>Provider-neutral: no provider is privileged in the data model or application architecture.</w:t>
      </w:r>
    </w:p>
    <w:p>
      <w:pPr>
        <w:pStyle w:val="ListBullet"/>
      </w:pPr>
      <w:r>
        <w:t>Privacy by design: minimize retention, redact secrets, and disclose third-party processing.</w:t>
      </w:r>
    </w:p>
    <w:p>
      <w:pPr>
        <w:pStyle w:val="ListBullet"/>
      </w:pPr>
      <w:r>
        <w:t>Capability before popularity: ratings and benchmarks are evidence inputs, not the only routing signal.</w:t>
      </w:r>
    </w:p>
    <w:p>
      <w:pPr>
        <w:pStyle w:val="Heading1"/>
      </w:pPr>
      <w:r>
        <w:t>7. Core user flows</w:t>
      </w:r>
    </w:p>
    <w:p>
      <w:pPr>
        <w:pStyle w:val="ListNumber"/>
      </w:pPr>
      <w:r>
        <w:t>User signs up, chooses privacy and default cost policy, and optionally connects provider API keys.</w:t>
      </w:r>
    </w:p>
    <w:p>
      <w:pPr>
        <w:pStyle w:val="ListNumber"/>
      </w:pPr>
      <w:r>
        <w:t>User submits a request. Shazam classifies task and required capabilities.</w:t>
      </w:r>
    </w:p>
    <w:p>
      <w:pPr>
        <w:pStyle w:val="ListNumber"/>
      </w:pPr>
      <w:r>
        <w:t>Router filters candidates by modality, tools, context size, region, user policy, quota/health, license, and cost ceiling.</w:t>
      </w:r>
    </w:p>
    <w:p>
      <w:pPr>
        <w:pStyle w:val="ListNumber"/>
      </w:pPr>
      <w:r>
        <w:t>Router scores remaining candidates using benchmark evidence and live telemetry, then selects one route.</w:t>
      </w:r>
    </w:p>
    <w:p>
      <w:pPr>
        <w:pStyle w:val="ListNumber"/>
      </w:pPr>
      <w:r>
        <w:t>Execution layer calls the provider or tool; streaming/async status is displayed.</w:t>
      </w:r>
    </w:p>
    <w:p>
      <w:pPr>
        <w:pStyle w:val="ListNumber"/>
      </w:pPr>
      <w:r>
        <w:t>On retryable failure, route to the next eligible candidate and preserve task state. Never silently switch to a paid route.</w:t>
      </w:r>
    </w:p>
    <w:p>
      <w:pPr>
        <w:pStyle w:val="ListNumber"/>
      </w:pPr>
      <w:r>
        <w:t>Store a usage record, route rationale, outcome, and feedback signal.</w:t>
      </w:r>
    </w:p>
    <w:p>
      <w:pPr>
        <w:pStyle w:val="Heading1"/>
      </w:pPr>
      <w:r>
        <w:t>8. Model catalogue and ranking</w:t>
      </w:r>
    </w:p>
    <w:p>
      <w:r>
        <w:t>Treat model discovery as a continuously refreshed registry, not a static hard-coded list. Seed candidates to evaluate: Gemini API models; OpenAI API models; Anthropic API models; DeepSeek; Qwen/Alibaba Cloud Model Studio; Z.ai/GLM; Moonshot/Kimi; MiniMax; OpenRouter routes; Hugging Face Inference Providers; compatible local models; and official image/video/audio APIs. Inclusion depends on verified API access, current terms, cost, capabilities, and availability—not brand reputation.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5B43C6"/>
          </w:tcPr>
          <w:p>
            <w:r>
              <w:rPr>
                <w:b/>
                <w:color w:val="FFFFFF"/>
              </w:rPr>
              <w:t>Capability</w:t>
            </w:r>
          </w:p>
        </w:tc>
        <w:tc>
          <w:tcPr>
            <w:tcW w:type="dxa" w:w="3312"/>
            <w:shd w:fill="5B43C6"/>
          </w:tcPr>
          <w:p>
            <w:r>
              <w:rPr>
                <w:b/>
                <w:color w:val="FFFFFF"/>
              </w:rPr>
              <w:t>Candidate families to evaluate</w:t>
            </w:r>
          </w:p>
        </w:tc>
        <w:tc>
          <w:tcPr>
            <w:tcW w:type="dxa" w:w="3312"/>
            <w:shd w:fill="5B43C6"/>
          </w:tcPr>
          <w:p>
            <w:r>
              <w:rPr>
                <w:b/>
                <w:color w:val="FFFFFF"/>
              </w:rPr>
              <w:t>MVP treatment</w:t>
            </w:r>
          </w:p>
        </w:tc>
      </w:tr>
      <w:tr>
        <w:tc>
          <w:tcPr>
            <w:tcW w:type="dxa" w:w="3312"/>
          </w:tcPr>
          <w:p>
            <w:r>
              <w:t>General chat / writing</w:t>
            </w:r>
          </w:p>
        </w:tc>
        <w:tc>
          <w:tcPr>
            <w:tcW w:type="dxa" w:w="3312"/>
          </w:tcPr>
          <w:p>
            <w:r>
              <w:t>Gemini Flash-class, DeepSeek, Qwen, GLM, OpenRouter free routes</w:t>
            </w:r>
          </w:p>
        </w:tc>
        <w:tc>
          <w:tcPr>
            <w:tcW w:type="dxa" w:w="3312"/>
          </w:tcPr>
          <w:p>
            <w:r>
              <w:t>P0, API-verified routes only</w:t>
            </w:r>
          </w:p>
        </w:tc>
      </w:tr>
      <w:tr>
        <w:tc>
          <w:tcPr>
            <w:tcW w:type="dxa" w:w="3312"/>
          </w:tcPr>
          <w:p>
            <w:r>
              <w:t>Deep reasoning / planning</w:t>
            </w:r>
          </w:p>
        </w:tc>
        <w:tc>
          <w:tcPr>
            <w:tcW w:type="dxa" w:w="3312"/>
          </w:tcPr>
          <w:p>
            <w:r>
              <w:t>Gemini reasoning models, DeepSeek reasoning-capable models, Qwen/GLM/Kimi candidates, paid premium routes if user permits</w:t>
            </w:r>
          </w:p>
        </w:tc>
        <w:tc>
          <w:tcPr>
            <w:tcW w:type="dxa" w:w="3312"/>
          </w:tcPr>
          <w:p>
            <w:r>
              <w:t>P0 classification; bounded planning budget</w:t>
            </w:r>
          </w:p>
        </w:tc>
      </w:tr>
      <w:tr>
        <w:tc>
          <w:tcPr>
            <w:tcW w:type="dxa" w:w="3312"/>
          </w:tcPr>
          <w:p>
            <w:r>
              <w:t>Coding</w:t>
            </w:r>
          </w:p>
        </w:tc>
        <w:tc>
          <w:tcPr>
            <w:tcW w:type="dxa" w:w="3312"/>
          </w:tcPr>
          <w:p>
            <w:r>
              <w:t>Qwen Coder-family, DeepSeek, GLM, suitable OpenRouter/HF routes; premium coding APIs if BYOK</w:t>
            </w:r>
          </w:p>
        </w:tc>
        <w:tc>
          <w:tcPr>
            <w:tcW w:type="dxa" w:w="3312"/>
          </w:tcPr>
          <w:p>
            <w:r>
              <w:t>P0 chat/code assistance; execution agent P1</w:t>
            </w:r>
          </w:p>
        </w:tc>
      </w:tr>
      <w:tr>
        <w:tc>
          <w:tcPr>
            <w:tcW w:type="dxa" w:w="3312"/>
          </w:tcPr>
          <w:p>
            <w:r>
              <w:t>Vision / documents</w:t>
            </w:r>
          </w:p>
        </w:tc>
        <w:tc>
          <w:tcPr>
            <w:tcW w:type="dxa" w:w="3312"/>
          </w:tcPr>
          <w:p>
            <w:r>
              <w:t>Models with documented image/PDF or vision support</w:t>
            </w:r>
          </w:p>
        </w:tc>
        <w:tc>
          <w:tcPr>
            <w:tcW w:type="dxa" w:w="3312"/>
          </w:tcPr>
          <w:p>
            <w:r>
              <w:t>P0 where provider supports it</w:t>
            </w:r>
          </w:p>
        </w:tc>
      </w:tr>
      <w:tr>
        <w:tc>
          <w:tcPr>
            <w:tcW w:type="dxa" w:w="3312"/>
          </w:tcPr>
          <w:p>
            <w:r>
              <w:t>Image generation/editing</w:t>
            </w:r>
          </w:p>
        </w:tc>
        <w:tc>
          <w:tcPr>
            <w:tcW w:type="dxa" w:w="3312"/>
          </w:tcPr>
          <w:p>
            <w:r>
              <w:t>Official image APIs and hosted open-weight image models</w:t>
            </w:r>
          </w:p>
        </w:tc>
        <w:tc>
          <w:tcPr>
            <w:tcW w:type="dxa" w:w="3312"/>
          </w:tcPr>
          <w:p>
            <w:r>
              <w:t>P1; capability and cost checks</w:t>
            </w:r>
          </w:p>
        </w:tc>
      </w:tr>
      <w:tr>
        <w:tc>
          <w:tcPr>
            <w:tcW w:type="dxa" w:w="3312"/>
          </w:tcPr>
          <w:p>
            <w:r>
              <w:t>Video generation</w:t>
            </w:r>
          </w:p>
        </w:tc>
        <w:tc>
          <w:tcPr>
            <w:tcW w:type="dxa" w:w="3312"/>
          </w:tcPr>
          <w:p>
            <w:r>
              <w:t>Official APIs for eligible services such as Veo, Sora, Kling, MiniMax/Hailuo, or other providers as access permits</w:t>
            </w:r>
          </w:p>
        </w:tc>
        <w:tc>
          <w:tcPr>
            <w:tcW w:type="dxa" w:w="3312"/>
          </w:tcPr>
          <w:p>
            <w:r>
              <w:t>P1/P2; async and cost-gated</w:t>
            </w:r>
          </w:p>
        </w:tc>
      </w:tr>
      <w:tr>
        <w:tc>
          <w:tcPr>
            <w:tcW w:type="dxa" w:w="3312"/>
          </w:tcPr>
          <w:p>
            <w:r>
              <w:t>Audio</w:t>
            </w:r>
          </w:p>
        </w:tc>
        <w:tc>
          <w:tcPr>
            <w:tcW w:type="dxa" w:w="3312"/>
          </w:tcPr>
          <w:p>
            <w:r>
              <w:t>Official transcription, speech, and audio-understanding APIs</w:t>
            </w:r>
          </w:p>
        </w:tc>
        <w:tc>
          <w:tcPr>
            <w:tcW w:type="dxa" w:w="3312"/>
          </w:tcPr>
          <w:p>
            <w:r>
              <w:t>P1</w:t>
            </w:r>
          </w:p>
        </w:tc>
      </w:tr>
      <w:tr>
        <w:tc>
          <w:tcPr>
            <w:tcW w:type="dxa" w:w="3312"/>
          </w:tcPr>
          <w:p>
            <w:r>
              <w:t>Local inference</w:t>
            </w:r>
          </w:p>
        </w:tc>
        <w:tc>
          <w:tcPr>
            <w:tcW w:type="dxa" w:w="3312"/>
          </w:tcPr>
          <w:p>
            <w:r>
              <w:t>Ollama-compatible or other supported local runtimes/models</w:t>
            </w:r>
          </w:p>
        </w:tc>
        <w:tc>
          <w:tcPr>
            <w:tcW w:type="dxa" w:w="3312"/>
          </w:tcPr>
          <w:p>
            <w:r>
              <w:t>P1; user-managed hardware</w:t>
            </w:r>
          </w:p>
        </w:tc>
      </w:tr>
    </w:tbl>
    <w:p/>
    <w:p>
      <w:r>
        <w:t>Interpret 'Gem' as likely referring to Google Gemini, while explicitly distinguishing Gemini hosted models from Gemma open-weight models. The official OpenAI API pricing page currently lists `gpt-6-astra`; include it as a premium, paid/BYOK candidate for deep planning and reasoning only after verifying the exact model ID, endpoint, account access, and current pricing. Do not classify it as free by default. Consumer ChatGPT access does not automatically confer API access. Treat all premium reasoning routes as opt-in under the user's cost policy.</w:t>
      </w:r>
    </w:p>
    <w:p>
      <w:pPr>
        <w:pStyle w:val="Heading1"/>
      </w:pPr>
      <w:r>
        <w:t>9. Routing policies</w:t>
      </w:r>
    </w:p>
    <w:tbl>
      <w:tblPr>
        <w:tblStyle w:val="LightShading-Accent1"/>
        <w:tblW w:type="auto" w:w="0"/>
        <w:tblLook w:firstColumn="1" w:firstRow="1" w:lastColumn="0" w:lastRow="0" w:noHBand="0" w:noVBand="1" w:val="04A0"/>
      </w:tblPr>
      <w:tblGrid>
        <w:gridCol w:w="4968"/>
        <w:gridCol w:w="4968"/>
      </w:tblGrid>
      <w:tr>
        <w:tc>
          <w:tcPr>
            <w:tcW w:type="dxa" w:w="4968"/>
            <w:shd w:fill="5B43C6"/>
          </w:tcPr>
          <w:p>
            <w:r>
              <w:rPr>
                <w:b/>
                <w:color w:val="FFFFFF"/>
              </w:rPr>
              <w:t>Policy</w:t>
            </w:r>
          </w:p>
        </w:tc>
        <w:tc>
          <w:tcPr>
            <w:tcW w:type="dxa" w:w="4968"/>
            <w:shd w:fill="5B43C6"/>
          </w:tcPr>
          <w:p>
            <w:r>
              <w:rPr>
                <w:b/>
                <w:color w:val="FFFFFF"/>
              </w:rPr>
              <w:t>Expected behaviour</w:t>
            </w:r>
          </w:p>
        </w:tc>
      </w:tr>
      <w:tr>
        <w:tc>
          <w:tcPr>
            <w:tcW w:type="dxa" w:w="4968"/>
          </w:tcPr>
          <w:p>
            <w:r>
              <w:t>Free only</w:t>
            </w:r>
          </w:p>
        </w:tc>
        <w:tc>
          <w:tcPr>
            <w:tcW w:type="dxa" w:w="4968"/>
          </w:tcPr>
          <w:p>
            <w:r>
              <w:t>Use routes whose current request cost is verified as zero or eligible user-owned free allowance; block paid fallback.</w:t>
            </w:r>
          </w:p>
        </w:tc>
      </w:tr>
      <w:tr>
        <w:tc>
          <w:tcPr>
            <w:tcW w:type="dxa" w:w="4968"/>
          </w:tcPr>
          <w:p>
            <w:r>
              <w:t>Lowest cost</w:t>
            </w:r>
          </w:p>
        </w:tc>
        <w:tc>
          <w:tcPr>
            <w:tcW w:type="dxa" w:w="4968"/>
          </w:tcPr>
          <w:p>
            <w:r>
              <w:t>Minimize estimated total task cost while satisfying minimum quality/capability constraints.</w:t>
            </w:r>
          </w:p>
        </w:tc>
      </w:tr>
      <w:tr>
        <w:tc>
          <w:tcPr>
            <w:tcW w:type="dxa" w:w="4968"/>
          </w:tcPr>
          <w:p>
            <w:r>
              <w:t>Balanced (default)</w:t>
            </w:r>
          </w:p>
        </w:tc>
        <w:tc>
          <w:tcPr>
            <w:tcW w:type="dxa" w:w="4968"/>
          </w:tcPr>
          <w:p>
            <w:r>
              <w:t>Optimize estimated success/quality, availability, latency, and cost.</w:t>
            </w:r>
          </w:p>
        </w:tc>
      </w:tr>
      <w:tr>
        <w:tc>
          <w:tcPr>
            <w:tcW w:type="dxa" w:w="4968"/>
          </w:tcPr>
          <w:p>
            <w:r>
              <w:t>Best quality</w:t>
            </w:r>
          </w:p>
        </w:tc>
        <w:tc>
          <w:tcPr>
            <w:tcW w:type="dxa" w:w="4968"/>
          </w:tcPr>
          <w:p>
            <w:r>
              <w:t>Use the highest-scoring compatible route; show expected cost and ask permission if it exceeds budget.</w:t>
            </w:r>
          </w:p>
        </w:tc>
      </w:tr>
      <w:tr>
        <w:tc>
          <w:tcPr>
            <w:tcW w:type="dxa" w:w="4968"/>
          </w:tcPr>
          <w:p>
            <w:r>
              <w:t>Manual pin</w:t>
            </w:r>
          </w:p>
        </w:tc>
        <w:tc>
          <w:tcPr>
            <w:tcW w:type="dxa" w:w="4968"/>
          </w:tcPr>
          <w:p>
            <w:r>
              <w:t>Respect the selected model/provider unless unavailable; offer fallback but do not switch without user consent if pinned.</w:t>
            </w:r>
          </w:p>
        </w:tc>
      </w:tr>
    </w:tbl>
    <w:p/>
    <w:p>
      <w:pPr>
        <w:pStyle w:val="Heading1"/>
      </w:pPr>
      <w:r>
        <w:t>10. Success metrics</w:t>
      </w:r>
    </w:p>
    <w:tbl>
      <w:tblPr>
        <w:tblStyle w:val="LightShading-Accent1"/>
        <w:tblW w:type="auto" w:w="0"/>
        <w:tblLook w:firstColumn="1" w:firstRow="1" w:lastColumn="0" w:lastRow="0" w:noHBand="0" w:noVBand="1" w:val="04A0"/>
      </w:tblPr>
      <w:tblGrid>
        <w:gridCol w:w="4968"/>
        <w:gridCol w:w="4968"/>
      </w:tblGrid>
      <w:tr>
        <w:tc>
          <w:tcPr>
            <w:tcW w:type="dxa" w:w="4968"/>
            <w:shd w:fill="5B43C6"/>
          </w:tcPr>
          <w:p>
            <w:r>
              <w:rPr>
                <w:b/>
                <w:color w:val="FFFFFF"/>
              </w:rPr>
              <w:t>Metric</w:t>
            </w:r>
          </w:p>
        </w:tc>
        <w:tc>
          <w:tcPr>
            <w:tcW w:type="dxa" w:w="4968"/>
            <w:shd w:fill="5B43C6"/>
          </w:tcPr>
          <w:p>
            <w:r>
              <w:rPr>
                <w:b/>
                <w:color w:val="FFFFFF"/>
              </w:rPr>
              <w:t>MVP target / definition</w:t>
            </w:r>
          </w:p>
        </w:tc>
      </w:tr>
      <w:tr>
        <w:tc>
          <w:tcPr>
            <w:tcW w:type="dxa" w:w="4968"/>
          </w:tcPr>
          <w:p>
            <w:r>
              <w:t>Task success</w:t>
            </w:r>
          </w:p>
        </w:tc>
        <w:tc>
          <w:tcPr>
            <w:tcW w:type="dxa" w:w="4968"/>
          </w:tcPr>
          <w:p>
            <w:r>
              <w:t>Baseline at launch; improve by task class using a repeatable evaluation set.</w:t>
            </w:r>
          </w:p>
        </w:tc>
      </w:tr>
      <w:tr>
        <w:tc>
          <w:tcPr>
            <w:tcW w:type="dxa" w:w="4968"/>
          </w:tcPr>
          <w:p>
            <w:r>
              <w:t>Fallback success</w:t>
            </w:r>
          </w:p>
        </w:tc>
        <w:tc>
          <w:tcPr>
            <w:tcW w:type="dxa" w:w="4968"/>
          </w:tcPr>
          <w:p>
            <w:r>
              <w:t>At least 90% of eligible retryable failures either recover or produce a clear actionable explanation.</w:t>
            </w:r>
          </w:p>
        </w:tc>
      </w:tr>
      <w:tr>
        <w:tc>
          <w:tcPr>
            <w:tcW w:type="dxa" w:w="4968"/>
          </w:tcPr>
          <w:p>
            <w:r>
              <w:t>Cost-policy correctness</w:t>
            </w:r>
          </w:p>
        </w:tc>
        <w:tc>
          <w:tcPr>
            <w:tcW w:type="dxa" w:w="4968"/>
          </w:tcPr>
          <w:p>
            <w:r>
              <w:t>100% of paid calls require an eligible user-funded route or explicit permission; no paid fallback under Free-only.</w:t>
            </w:r>
          </w:p>
        </w:tc>
      </w:tr>
      <w:tr>
        <w:tc>
          <w:tcPr>
            <w:tcW w:type="dxa" w:w="4968"/>
          </w:tcPr>
          <w:p>
            <w:r>
              <w:t>Routing transparency</w:t>
            </w:r>
          </w:p>
        </w:tc>
        <w:tc>
          <w:tcPr>
            <w:tcW w:type="dxa" w:w="4968"/>
          </w:tcPr>
          <w:p>
            <w:r>
              <w:t>100% of completed requests show selected route and reason in request details.</w:t>
            </w:r>
          </w:p>
        </w:tc>
      </w:tr>
      <w:tr>
        <w:tc>
          <w:tcPr>
            <w:tcW w:type="dxa" w:w="4968"/>
          </w:tcPr>
          <w:p>
            <w:r>
              <w:t>Credential safety</w:t>
            </w:r>
          </w:p>
        </w:tc>
        <w:tc>
          <w:tcPr>
            <w:tcW w:type="dxa" w:w="4968"/>
          </w:tcPr>
          <w:p>
            <w:r>
              <w:t>No provider secrets in application logs, analytics, client responses, or error traces.</w:t>
            </w:r>
          </w:p>
        </w:tc>
      </w:tr>
      <w:tr>
        <w:tc>
          <w:tcPr>
            <w:tcW w:type="dxa" w:w="4968"/>
          </w:tcPr>
          <w:p>
            <w:r>
              <w:t>Availability freshness</w:t>
            </w:r>
          </w:p>
        </w:tc>
        <w:tc>
          <w:tcPr>
            <w:tcW w:type="dxa" w:w="4968"/>
          </w:tcPr>
          <w:p>
            <w:r>
              <w:t>Every route has last-checked timestamp and status: available, degraded, exhausted, unknown, disabled.</w:t>
            </w:r>
          </w:p>
        </w:tc>
      </w:tr>
      <w:tr>
        <w:tc>
          <w:tcPr>
            <w:tcW w:type="dxa" w:w="4968"/>
          </w:tcPr>
          <w:p>
            <w:r>
              <w:t>Time to first token</w:t>
            </w:r>
          </w:p>
        </w:tc>
        <w:tc>
          <w:tcPr>
            <w:tcW w:type="dxa" w:w="4968"/>
          </w:tcPr>
          <w:p>
            <w:r>
              <w:t>Measure p50/p95 per provider and task class; establish baseline before setting targets.</w:t>
            </w:r>
          </w:p>
        </w:tc>
      </w:tr>
      <w:tr>
        <w:tc>
          <w:tcPr>
            <w:tcW w:type="dxa" w:w="4968"/>
          </w:tcPr>
          <w:p>
            <w:r>
              <w:t>User satisfaction</w:t>
            </w:r>
          </w:p>
        </w:tc>
        <w:tc>
          <w:tcPr>
            <w:tcW w:type="dxa" w:w="4968"/>
          </w:tcPr>
          <w:p>
            <w:r>
              <w:t>Optional thumbs-up/down tied to task category and route; no training on private content by default.</w:t>
            </w:r>
          </w:p>
        </w:tc>
      </w:tr>
    </w:tbl>
    <w:p/>
    <w:p>
      <w:pPr>
        <w:pStyle w:val="Heading1"/>
      </w:pPr>
      <w:r>
        <w:t>11. Risks and mitigations</w:t>
      </w:r>
    </w:p>
    <w:tbl>
      <w:tblPr>
        <w:tblStyle w:val="LightShading-Accent1"/>
        <w:tblW w:type="auto" w:w="0"/>
        <w:tblLook w:firstColumn="1" w:firstRow="1" w:lastColumn="0" w:lastRow="0" w:noHBand="0" w:noVBand="1" w:val="04A0"/>
      </w:tblPr>
      <w:tblGrid>
        <w:gridCol w:w="4968"/>
        <w:gridCol w:w="4968"/>
      </w:tblGrid>
      <w:tr>
        <w:tc>
          <w:tcPr>
            <w:tcW w:type="dxa" w:w="4968"/>
            <w:shd w:fill="5B43C6"/>
          </w:tcPr>
          <w:p>
            <w:r>
              <w:rPr>
                <w:b/>
                <w:color w:val="FFFFFF"/>
              </w:rPr>
              <w:t>Risk</w:t>
            </w:r>
          </w:p>
        </w:tc>
        <w:tc>
          <w:tcPr>
            <w:tcW w:type="dxa" w:w="4968"/>
            <w:shd w:fill="5B43C6"/>
          </w:tcPr>
          <w:p>
            <w:r>
              <w:rPr>
                <w:b/>
                <w:color w:val="FFFFFF"/>
              </w:rPr>
              <w:t>Mitigation</w:t>
            </w:r>
          </w:p>
        </w:tc>
      </w:tr>
      <w:tr>
        <w:tc>
          <w:tcPr>
            <w:tcW w:type="dxa" w:w="4968"/>
          </w:tcPr>
          <w:p>
            <w:r>
              <w:t>Free quota changes/disappears</w:t>
            </w:r>
          </w:p>
        </w:tc>
        <w:tc>
          <w:tcPr>
            <w:tcW w:type="dxa" w:w="4968"/>
          </w:tcPr>
          <w:p>
            <w:r>
              <w:t>Dynamic provider metadata, health probes, admin disable, fallback, visible last-verified timestamp.</w:t>
            </w:r>
          </w:p>
        </w:tc>
      </w:tr>
      <w:tr>
        <w:tc>
          <w:tcPr>
            <w:tcW w:type="dxa" w:w="4968"/>
          </w:tcPr>
          <w:p>
            <w:r>
              <w:t>Provider terms prohibit intended use</w:t>
            </w:r>
          </w:p>
        </w:tc>
        <w:tc>
          <w:tcPr>
            <w:tcW w:type="dxa" w:w="4968"/>
          </w:tcPr>
          <w:p>
            <w:r>
              <w:t>Provider review checklist, legal/terms approval, adapter-level enable/disable.</w:t>
            </w:r>
          </w:p>
        </w:tc>
      </w:tr>
      <w:tr>
        <w:tc>
          <w:tcPr>
            <w:tcW w:type="dxa" w:w="4968"/>
          </w:tcPr>
          <w:p>
            <w:r>
              <w:t>Incorrect model ranking</w:t>
            </w:r>
          </w:p>
        </w:tc>
        <w:tc>
          <w:tcPr>
            <w:tcW w:type="dxa" w:w="4968"/>
          </w:tcPr>
          <w:p>
            <w:r>
              <w:t>Task-specific evals, confidence thresholds, feedback, human override, no unsupported global claims.</w:t>
            </w:r>
          </w:p>
        </w:tc>
      </w:tr>
      <w:tr>
        <w:tc>
          <w:tcPr>
            <w:tcW w:type="dxa" w:w="4968"/>
          </w:tcPr>
          <w:p>
            <w:r>
              <w:t>Sensitive prompts sent to third parties</w:t>
            </w:r>
          </w:p>
        </w:tc>
        <w:tc>
          <w:tcPr>
            <w:tcW w:type="dxa" w:w="4968"/>
          </w:tcPr>
          <w:p>
            <w:r>
              <w:t>Privacy controls, disclosure, data minimization, retention settings, BYOK isolation.</w:t>
            </w:r>
          </w:p>
        </w:tc>
      </w:tr>
      <w:tr>
        <w:tc>
          <w:tcPr>
            <w:tcW w:type="dxa" w:w="4968"/>
          </w:tcPr>
          <w:p>
            <w:r>
              <w:t>Runaway cost</w:t>
            </w:r>
          </w:p>
        </w:tc>
        <w:tc>
          <w:tcPr>
            <w:tcW w:type="dxa" w:w="4968"/>
          </w:tcPr>
          <w:p>
            <w:r>
              <w:t>Hard budgets, spend reservations, per-user limits, async job estimates, no silent paid fallback.</w:t>
            </w:r>
          </w:p>
        </w:tc>
      </w:tr>
      <w:tr>
        <w:tc>
          <w:tcPr>
            <w:tcW w:type="dxa" w:w="4968"/>
          </w:tcPr>
          <w:p>
            <w:r>
              <w:t>Malicious coding tasks</w:t>
            </w:r>
          </w:p>
        </w:tc>
        <w:tc>
          <w:tcPr>
            <w:tcW w:type="dxa" w:w="4968"/>
          </w:tcPr>
          <w:p>
            <w:r>
              <w:t>Isolated sandbox, outbound network controls, resource limits, approvals, audit log.</w:t>
            </w:r>
          </w:p>
        </w:tc>
      </w:tr>
      <w:tr>
        <w:tc>
          <w:tcPr>
            <w:tcW w:type="dxa" w:w="4968"/>
          </w:tcPr>
          <w:p>
            <w:r>
              <w:t>Prompt injection in documents/web content</w:t>
            </w:r>
          </w:p>
        </w:tc>
        <w:tc>
          <w:tcPr>
            <w:tcW w:type="dxa" w:w="4968"/>
          </w:tcPr>
          <w:p>
            <w:r>
              <w:t>Treat retrieved content as untrusted data; tools enforce independent authorization.</w:t>
            </w:r>
          </w:p>
        </w:tc>
      </w:tr>
    </w:tbl>
    <w:p/>
    <w:p>
      <w:pPr>
        <w:pStyle w:val="Heading1"/>
      </w:pPr>
      <w:r>
        <w:t>12. Release acceptance criteria</w:t>
      </w:r>
    </w:p>
    <w:p>
      <w:pPr>
        <w:pStyle w:val="ListBullet"/>
      </w:pPr>
      <w:r>
        <w:t>A user can complete a chat task using a supported route and inspect the model/provider used.</w:t>
      </w:r>
    </w:p>
    <w:p>
      <w:pPr>
        <w:pStyle w:val="ListBullet"/>
      </w:pPr>
      <w:r>
        <w:t>A route can be disabled or marked exhausted without a deployment; router selects a compatible fallback.</w:t>
      </w:r>
    </w:p>
    <w:p>
      <w:pPr>
        <w:pStyle w:val="ListBullet"/>
      </w:pPr>
      <w:r>
        <w:t>Free-only mode never invokes a paid route, including during retries.</w:t>
      </w:r>
    </w:p>
    <w:p>
      <w:pPr>
        <w:pStyle w:val="ListBullet"/>
      </w:pPr>
      <w:r>
        <w:t>BYOK secret is encrypted at rest, masked in UI, and redacted from logs.</w:t>
      </w:r>
    </w:p>
    <w:p>
      <w:pPr>
        <w:pStyle w:val="ListBullet"/>
      </w:pPr>
      <w:r>
        <w:t>Provider failure, timeout, 429/rate-limit, and quota-exhaustion states are tested.</w:t>
      </w:r>
    </w:p>
    <w:p>
      <w:pPr>
        <w:pStyle w:val="ListBullet"/>
      </w:pPr>
      <w:r>
        <w:t>Every model entry records official documentation URL, last verification date, license/terms status, modalities, context limits, pricing type, quota observability, and route status.</w:t>
      </w:r>
    </w:p>
    <w:p>
      <w:pPr>
        <w:pStyle w:val="ListBullet"/>
      </w:pPr>
      <w:r>
        <w:t>Public beta passes authentication, authorization, rate-limit, file validation, and secret-handling tests.</w:t>
      </w:r>
    </w:p>
    <w:p>
      <w:pPr>
        <w:pStyle w:val="Heading1"/>
      </w:pPr>
      <w:r>
        <w:t>Reference links and verification notes</w:t>
      </w:r>
    </w:p>
    <w:p>
      <w:r>
        <w:t>These links are starting points, not a permanent promise of access. Verify model IDs, commercial-use rights, geographic eligibility, data-retention terms, and rate limits against current official documentation before enabling each connector.</w:t>
      </w:r>
    </w:p>
    <w:p>
      <w:pPr>
        <w:pStyle w:val="ListBullet"/>
      </w:pPr>
      <w:r>
        <w:rPr>
          <w:b/>
        </w:rPr>
        <w:t xml:space="preserve">Google Gemini API pricing and free tier: </w:t>
      </w:r>
      <w:r>
        <w:t>https://ai.google.dev/gemini-api/docs/pricing</w:t>
      </w:r>
    </w:p>
    <w:p>
      <w:pPr>
        <w:pStyle w:val="ListBullet"/>
      </w:pPr>
      <w:r>
        <w:rPr>
          <w:b/>
        </w:rPr>
        <w:t xml:space="preserve">DeepSeek API pricing and model capabilities: </w:t>
      </w:r>
      <w:r>
        <w:t>https://api-docs.deepseek.com/quick_start/pricing/</w:t>
      </w:r>
    </w:p>
    <w:p>
      <w:pPr>
        <w:pStyle w:val="ListBullet"/>
      </w:pPr>
      <w:r>
        <w:rPr>
          <w:b/>
        </w:rPr>
        <w:t xml:space="preserve">OpenRouter free models: </w:t>
      </w:r>
      <w:r>
        <w:t>https://openrouter.ai/collections/free-models</w:t>
      </w:r>
    </w:p>
    <w:p>
      <w:pPr>
        <w:pStyle w:val="ListBullet"/>
      </w:pPr>
      <w:r>
        <w:rPr>
          <w:b/>
        </w:rPr>
        <w:t xml:space="preserve">OpenRouter model catalogue and routing: </w:t>
      </w:r>
      <w:r>
        <w:t>https://openrouter.ai/openrouter</w:t>
      </w:r>
    </w:p>
    <w:p>
      <w:pPr>
        <w:pStyle w:val="ListBullet"/>
      </w:pPr>
      <w:r>
        <w:rPr>
          <w:b/>
        </w:rPr>
        <w:t xml:space="preserve">Hugging Face Inference Providers: </w:t>
      </w:r>
      <w:r>
        <w:t>https://huggingface.co/docs/inference-providers/index</w:t>
      </w:r>
    </w:p>
    <w:p>
      <w:pPr>
        <w:pStyle w:val="ListBullet"/>
      </w:pPr>
      <w:r>
        <w:rPr>
          <w:b/>
        </w:rPr>
        <w:t xml:space="preserve">Hugging Face Inference Providers pricing: </w:t>
      </w:r>
      <w:r>
        <w:t>https://huggingface.co/docs/inference-providers/pricing</w:t>
      </w:r>
    </w:p>
    <w:p>
      <w:pPr>
        <w:pStyle w:val="ListBullet"/>
      </w:pPr>
      <w:r>
        <w:rPr>
          <w:b/>
        </w:rPr>
        <w:t xml:space="preserve">OpenAI API pricing: </w:t>
      </w:r>
      <w:r>
        <w:t>https://developers.openai.com/api/docs/pricing</w:t>
      </w:r>
    </w:p>
    <w:p>
      <w:pPr>
        <w:pStyle w:val="ListBullet"/>
      </w:pPr>
      <w:r>
        <w:rPr>
          <w:b/>
        </w:rPr>
        <w:t xml:space="preserve">Qwen Code authentication and provider notes: </w:t>
      </w:r>
      <w:r>
        <w:t>https://qwenlm.github.io/qwen-code-docs/en/users/configuration/auth/</w:t>
      </w:r>
    </w:p>
    <w:p>
      <w:pPr>
        <w:pStyle w:val="ListBullet"/>
      </w:pPr>
      <w:r>
        <w:rPr>
          <w:b/>
        </w:rPr>
        <w:t xml:space="preserve">MiniMax official GitHub / API access overview: </w:t>
      </w:r>
      <w:r>
        <w:t>https://github.com/MiniMax-AI/MiniMax</w:t>
      </w:r>
    </w:p>
    <w:p>
      <w:pPr>
        <w:pStyle w:val="ListBullet"/>
      </w:pPr>
      <w:r>
        <w:rPr>
          <w:b/>
        </w:rPr>
        <w:t xml:space="preserve">Kling AI official GitHub / API access overview: </w:t>
      </w:r>
      <w:r>
        <w:t>https://github.com/klingai-official/Kling-AI</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working draft  •  27 October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5D82"/>
        <w:sz w:val="16"/>
      </w:rPr>
      <w:t>SHAZAM AI  /  PRODUCT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11B3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43C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11B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11B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