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b/>
          <w:color w:val="5B43C6"/>
          <w:sz w:val="26"/>
        </w:rPr>
        <w:t>SHAZAM AI</w:t>
      </w:r>
    </w:p>
    <w:p>
      <w:pPr>
        <w:pStyle w:val="Title"/>
      </w:pPr>
      <w:r>
        <w:t>Technical Requirements Document</w:t>
      </w:r>
    </w:p>
    <w:p>
      <w:pPr>
        <w:pStyle w:val="Subtitle"/>
      </w:pPr>
      <w:r>
        <w:rPr>
          <w:color w:val="5A5F6E"/>
          <w:sz w:val="26"/>
        </w:rPr>
        <w:t>Implementation contracts, data model, APIs, security, routing, and operational requirements.</w:t>
      </w:r>
    </w:p>
    <w:p>
      <w:r>
        <w:rPr>
          <w:b/>
          <w:color w:val="5B43C6"/>
          <w:sz w:val="18"/>
        </w:rPr>
        <w:t>TRD  |  Version 0.1  |  27 October 2026</w:t>
      </w:r>
    </w:p>
    <w:p>
      <w:r>
        <w:t>Status: production-oriented MVP specification for implementation planning. All provider availability, pricing, model IDs, quotas, licenses, and API terms must be revalidated during implementation.</w:t>
      </w:r>
    </w:p>
    <w:p>
      <w:r>
        <w:br w:type="page"/>
      </w:r>
    </w:p>
    <w:p>
      <w:pPr>
        <w:pStyle w:val="Heading1"/>
      </w:pPr>
      <w:r>
        <w:t>1. Technical goals</w:t>
      </w:r>
    </w:p>
    <w:p>
      <w:pPr>
        <w:pStyle w:val="ListBullet"/>
      </w:pPr>
      <w:r>
        <w:t>Normalize access to heterogeneous provider APIs without erasing provider-specific capabilities.</w:t>
      </w:r>
    </w:p>
    <w:p>
      <w:pPr>
        <w:pStyle w:val="ListBullet"/>
      </w:pPr>
      <w:r>
        <w:t>Make routing decisions explainable, testable, and constrained by explicit user cost/privacy policy.</w:t>
      </w:r>
    </w:p>
    <w:p>
      <w:pPr>
        <w:pStyle w:val="ListBullet"/>
      </w:pPr>
      <w:r>
        <w:t>Support sync streaming text tasks and async long-running media/agent tasks.</w:t>
      </w:r>
    </w:p>
    <w:p>
      <w:pPr>
        <w:pStyle w:val="ListBullet"/>
      </w:pPr>
      <w:r>
        <w:t>Keep secrets and provider credentials isolated from browser clients and logs.</w:t>
      </w:r>
    </w:p>
    <w:p>
      <w:pPr>
        <w:pStyle w:val="ListBullet"/>
      </w:pPr>
      <w:r>
        <w:t>Make provider onboarding a configuration + adapter task, not a product rewrite.</w:t>
      </w:r>
    </w:p>
    <w:p>
      <w:pPr>
        <w:pStyle w:val="Heading1"/>
      </w:pPr>
      <w:r>
        <w:t>2. Reference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5B43C6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12"/>
            <w:shd w:fill="5B43C6"/>
          </w:tcPr>
          <w:p>
            <w:r>
              <w:rPr>
                <w:b/>
                <w:color w:val="FFFFFF"/>
              </w:rPr>
              <w:t>Recommended choice</w:t>
            </w:r>
          </w:p>
        </w:tc>
        <w:tc>
          <w:tcPr>
            <w:tcW w:type="dxa" w:w="3312"/>
            <w:shd w:fill="5B43C6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3312"/>
          </w:tcPr>
          <w:p>
            <w:r>
              <w:t>Web client</w:t>
            </w:r>
          </w:p>
        </w:tc>
        <w:tc>
          <w:tcPr>
            <w:tcW w:type="dxa" w:w="3312"/>
          </w:tcPr>
          <w:p>
            <w:r>
              <w:t>Next.js + TypeScript</w:t>
            </w:r>
          </w:p>
        </w:tc>
        <w:tc>
          <w:tcPr>
            <w:tcW w:type="dxa" w:w="3312"/>
          </w:tcPr>
          <w:p>
            <w:r>
              <w:t>Responsive app; server actions/API routes only for suitable lightweight operations.</w:t>
            </w:r>
          </w:p>
        </w:tc>
      </w:tr>
      <w:tr>
        <w:tc>
          <w:tcPr>
            <w:tcW w:type="dxa" w:w="3312"/>
          </w:tcPr>
          <w:p>
            <w:r>
              <w:t>Application API</w:t>
            </w:r>
          </w:p>
        </w:tc>
        <w:tc>
          <w:tcPr>
            <w:tcW w:type="dxa" w:w="3312"/>
          </w:tcPr>
          <w:p>
            <w:r>
              <w:t>TypeScript Node service (Fastify/NestJS or equivalent)</w:t>
            </w:r>
          </w:p>
        </w:tc>
        <w:tc>
          <w:tcPr>
            <w:tcW w:type="dxa" w:w="3312"/>
          </w:tcPr>
          <w:p>
            <w:r>
              <w:t>Versioned REST API; SSE for streaming; strict schema validation.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PostgreSQL</w:t>
            </w:r>
          </w:p>
        </w:tc>
        <w:tc>
          <w:tcPr>
            <w:tcW w:type="dxa" w:w="3312"/>
          </w:tcPr>
          <w:p>
            <w:r>
              <w:t>Users, provider configs, model registry, conversations, tasks, usage ledger, feedback, audit.</w:t>
            </w:r>
          </w:p>
        </w:tc>
      </w:tr>
      <w:tr>
        <w:tc>
          <w:tcPr>
            <w:tcW w:type="dxa" w:w="3312"/>
          </w:tcPr>
          <w:p>
            <w:r>
              <w:t>Queue</w:t>
            </w:r>
          </w:p>
        </w:tc>
        <w:tc>
          <w:tcPr>
            <w:tcW w:type="dxa" w:w="3312"/>
          </w:tcPr>
          <w:p>
            <w:r>
              <w:t>Redis-backed queue or managed durable queue</w:t>
            </w:r>
          </w:p>
        </w:tc>
        <w:tc>
          <w:tcPr>
            <w:tcW w:type="dxa" w:w="3312"/>
          </w:tcPr>
          <w:p>
            <w:r>
              <w:t>Async image/video, coding jobs, retries, and provider polling.</w:t>
            </w:r>
          </w:p>
        </w:tc>
      </w:tr>
      <w:tr>
        <w:tc>
          <w:tcPr>
            <w:tcW w:type="dxa" w:w="3312"/>
          </w:tcPr>
          <w:p>
            <w:r>
              <w:t>Object storage</w:t>
            </w:r>
          </w:p>
        </w:tc>
        <w:tc>
          <w:tcPr>
            <w:tcW w:type="dxa" w:w="3312"/>
          </w:tcPr>
          <w:p>
            <w:r>
              <w:t>S3-compatible storage</w:t>
            </w:r>
          </w:p>
        </w:tc>
        <w:tc>
          <w:tcPr>
            <w:tcW w:type="dxa" w:w="3312"/>
          </w:tcPr>
          <w:p>
            <w:r>
              <w:t>Uploads/generated assets with signed URLs, malware scanning, TTL policy.</w:t>
            </w:r>
          </w:p>
        </w:tc>
      </w:tr>
      <w:tr>
        <w:tc>
          <w:tcPr>
            <w:tcW w:type="dxa" w:w="3312"/>
          </w:tcPr>
          <w:p>
            <w:r>
              <w:t>Secrets</w:t>
            </w:r>
          </w:p>
        </w:tc>
        <w:tc>
          <w:tcPr>
            <w:tcW w:type="dxa" w:w="3312"/>
          </w:tcPr>
          <w:p>
            <w:r>
              <w:t>Cloud KMS/secret manager plus envelope encryption</w:t>
            </w:r>
          </w:p>
        </w:tc>
        <w:tc>
          <w:tcPr>
            <w:tcW w:type="dxa" w:w="3312"/>
          </w:tcPr>
          <w:p>
            <w:r>
              <w:t>BYOK keys encrypted; never log or expose plaintext after creation.</w:t>
            </w:r>
          </w:p>
        </w:tc>
      </w:tr>
      <w:tr>
        <w:tc>
          <w:tcPr>
            <w:tcW w:type="dxa" w:w="3312"/>
          </w:tcPr>
          <w:p>
            <w:r>
              <w:t>Observability</w:t>
            </w:r>
          </w:p>
        </w:tc>
        <w:tc>
          <w:tcPr>
            <w:tcW w:type="dxa" w:w="3312"/>
          </w:tcPr>
          <w:p>
            <w:r>
              <w:t>OpenTelemetry + structured logs + metrics</w:t>
            </w:r>
          </w:p>
        </w:tc>
        <w:tc>
          <w:tcPr>
            <w:tcW w:type="dxa" w:w="3312"/>
          </w:tcPr>
          <w:p>
            <w:r>
              <w:t>Redact prompts/secrets by default; opt-in content logging only with consent.</w:t>
            </w:r>
          </w:p>
        </w:tc>
      </w:tr>
      <w:tr>
        <w:tc>
          <w:tcPr>
            <w:tcW w:type="dxa" w:w="3312"/>
          </w:tcPr>
          <w:p>
            <w:r>
              <w:t>Execution sandbox</w:t>
            </w:r>
          </w:p>
        </w:tc>
        <w:tc>
          <w:tcPr>
            <w:tcW w:type="dxa" w:w="3312"/>
          </w:tcPr>
          <w:p>
            <w:r>
              <w:t>Isolated containers/microVMs</w:t>
            </w:r>
          </w:p>
        </w:tc>
        <w:tc>
          <w:tcPr>
            <w:tcW w:type="dxa" w:w="3312"/>
          </w:tcPr>
          <w:p>
            <w:r>
              <w:t>P1 coding agent; no privileged container; limits on CPU, RAM, disk, runtime, and network.</w:t>
            </w:r>
          </w:p>
        </w:tc>
      </w:tr>
      <w:tr>
        <w:tc>
          <w:tcPr>
            <w:tcW w:type="dxa" w:w="3312"/>
          </w:tcPr>
          <w:p>
            <w:r>
              <w:t>Deployment</w:t>
            </w:r>
          </w:p>
        </w:tc>
        <w:tc>
          <w:tcPr>
            <w:tcW w:type="dxa" w:w="3312"/>
          </w:tcPr>
          <w:p>
            <w:r>
              <w:t>Containerized app + managed DB/queue</w:t>
            </w:r>
          </w:p>
        </w:tc>
        <w:tc>
          <w:tcPr>
            <w:tcW w:type="dxa" w:w="3312"/>
          </w:tcPr>
          <w:p>
            <w:r>
              <w:t>Use staging and production environments, migrations, rollback, backups, feature flags.</w:t>
            </w:r>
          </w:p>
        </w:tc>
      </w:tr>
    </w:tbl>
    <w:p/>
    <w:p>
      <w:pPr>
        <w:pStyle w:val="Heading1"/>
      </w:pPr>
      <w:r>
        <w:t>3. System modules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5B43C6"/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4968"/>
            <w:shd w:fill="5B43C6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4968"/>
          </w:tcPr>
          <w:p>
            <w:r>
              <w:t>Auth &amp; account</w:t>
            </w:r>
          </w:p>
        </w:tc>
        <w:tc>
          <w:tcPr>
            <w:tcW w:type="dxa" w:w="4968"/>
          </w:tcPr>
          <w:p>
            <w:r>
              <w:t>Identity, sessions, user preferences, consent, account deletion/export.</w:t>
            </w:r>
          </w:p>
        </w:tc>
      </w:tr>
      <w:tr>
        <w:tc>
          <w:tcPr>
            <w:tcW w:type="dxa" w:w="4968"/>
          </w:tcPr>
          <w:p>
            <w:r>
              <w:t>Provider registry</w:t>
            </w:r>
          </w:p>
        </w:tc>
        <w:tc>
          <w:tcPr>
            <w:tcW w:type="dxa" w:w="4968"/>
          </w:tcPr>
          <w:p>
            <w:r>
              <w:t>Providers, endpoints, model IDs, capability metadata, pricing/quota metadata, terms, health, verification timestamps.</w:t>
            </w:r>
          </w:p>
        </w:tc>
      </w:tr>
      <w:tr>
        <w:tc>
          <w:tcPr>
            <w:tcW w:type="dxa" w:w="4968"/>
          </w:tcPr>
          <w:p>
            <w:r>
              <w:t>Credential vault</w:t>
            </w:r>
          </w:p>
        </w:tc>
        <w:tc>
          <w:tcPr>
            <w:tcW w:type="dxa" w:w="4968"/>
          </w:tcPr>
          <w:p>
            <w:r>
              <w:t>Encrypt/decrypt BYOK keys server-side; per-user/provider access control; key rotation and deletion.</w:t>
            </w:r>
          </w:p>
        </w:tc>
      </w:tr>
      <w:tr>
        <w:tc>
          <w:tcPr>
            <w:tcW w:type="dxa" w:w="4968"/>
          </w:tcPr>
          <w:p>
            <w:r>
              <w:t>Task classifier</w:t>
            </w:r>
          </w:p>
        </w:tc>
        <w:tc>
          <w:tcPr>
            <w:tcW w:type="dxa" w:w="4968"/>
          </w:tcPr>
          <w:p>
            <w:r>
              <w:t>Map user intent to task class, modalities, tools, quality threshold, context need, sensitivity, budget.</w:t>
            </w:r>
          </w:p>
        </w:tc>
      </w:tr>
      <w:tr>
        <w:tc>
          <w:tcPr>
            <w:tcW w:type="dxa" w:w="4968"/>
          </w:tcPr>
          <w:p>
            <w:r>
              <w:t>Router</w:t>
            </w:r>
          </w:p>
        </w:tc>
        <w:tc>
          <w:tcPr>
            <w:tcW w:type="dxa" w:w="4968"/>
          </w:tcPr>
          <w:p>
            <w:r>
              <w:t>Filter, score, select candidate; produce route rationale and rejected-candidate reasons.</w:t>
            </w:r>
          </w:p>
        </w:tc>
      </w:tr>
      <w:tr>
        <w:tc>
          <w:tcPr>
            <w:tcW w:type="dxa" w:w="4968"/>
          </w:tcPr>
          <w:p>
            <w:r>
              <w:t>Provider adapters</w:t>
            </w:r>
          </w:p>
        </w:tc>
        <w:tc>
          <w:tcPr>
            <w:tcW w:type="dxa" w:w="4968"/>
          </w:tcPr>
          <w:p>
            <w:r>
              <w:t>Normalize request/response, streaming, errors, usage, cost, retry hints, async job status.</w:t>
            </w:r>
          </w:p>
        </w:tc>
      </w:tr>
      <w:tr>
        <w:tc>
          <w:tcPr>
            <w:tcW w:type="dxa" w:w="4968"/>
          </w:tcPr>
          <w:p>
            <w:r>
              <w:t>Quota manager</w:t>
            </w:r>
          </w:p>
        </w:tc>
        <w:tc>
          <w:tcPr>
            <w:tcW w:type="dxa" w:w="4968"/>
          </w:tcPr>
          <w:p>
            <w:r>
              <w:t>Track observed/estimated/unknown usage; cooldowns; user/provider limits; reservations and concurrency.</w:t>
            </w:r>
          </w:p>
        </w:tc>
      </w:tr>
      <w:tr>
        <w:tc>
          <w:tcPr>
            <w:tcW w:type="dxa" w:w="4968"/>
          </w:tcPr>
          <w:p>
            <w:r>
              <w:t>Execution orchestrator</w:t>
            </w:r>
          </w:p>
        </w:tc>
        <w:tc>
          <w:tcPr>
            <w:tcW w:type="dxa" w:w="4968"/>
          </w:tcPr>
          <w:p>
            <w:r>
              <w:t>Run selected model/tool, manage retries, async jobs, task state, cancellation and checkpoints.</w:t>
            </w:r>
          </w:p>
        </w:tc>
      </w:tr>
      <w:tr>
        <w:tc>
          <w:tcPr>
            <w:tcW w:type="dxa" w:w="4968"/>
          </w:tcPr>
          <w:p>
            <w:r>
              <w:t>Usage ledger</w:t>
            </w:r>
          </w:p>
        </w:tc>
        <w:tc>
          <w:tcPr>
            <w:tcW w:type="dxa" w:w="4968"/>
          </w:tcPr>
          <w:p>
            <w:r>
              <w:t>Append-only request-level usage, provider charges, local estimates, user-visible cost classification.</w:t>
            </w:r>
          </w:p>
        </w:tc>
      </w:tr>
      <w:tr>
        <w:tc>
          <w:tcPr>
            <w:tcW w:type="dxa" w:w="4968"/>
          </w:tcPr>
          <w:p>
            <w:r>
              <w:t>Admin console</w:t>
            </w:r>
          </w:p>
        </w:tc>
        <w:tc>
          <w:tcPr>
            <w:tcW w:type="dxa" w:w="4968"/>
          </w:tcPr>
          <w:p>
            <w:r>
              <w:t>Manage providers/models, validation state, kill switches, limits, incidents and routing policies.</w:t>
            </w:r>
          </w:p>
        </w:tc>
      </w:tr>
      <w:tr>
        <w:tc>
          <w:tcPr>
            <w:tcW w:type="dxa" w:w="4968"/>
          </w:tcPr>
          <w:p>
            <w:r>
              <w:t>Evaluation service</w:t>
            </w:r>
          </w:p>
        </w:tc>
        <w:tc>
          <w:tcPr>
            <w:tcW w:type="dxa" w:w="4968"/>
          </w:tcPr>
          <w:p>
            <w:r>
              <w:t>Run offline benchmark suites and online quality signals; publish versioned route scores.</w:t>
            </w:r>
          </w:p>
        </w:tc>
      </w:tr>
    </w:tbl>
    <w:p/>
    <w:p>
      <w:pPr>
        <w:pStyle w:val="Heading1"/>
      </w:pPr>
      <w:r>
        <w:t>4. Domain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5B43C6"/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4968"/>
            <w:shd w:fill="5B43C6"/>
          </w:tcPr>
          <w:p>
            <w:r>
              <w:rPr>
                <w:b/>
                <w:color w:val="FFFFFF"/>
              </w:rPr>
              <w:t>Key fields / requirements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id, email/identity subject, created_at, status, data_region, retention preference.</w:t>
            </w:r>
          </w:p>
        </w:tc>
      </w:tr>
      <w:tr>
        <w:tc>
          <w:tcPr>
            <w:tcW w:type="dxa" w:w="4968"/>
          </w:tcPr>
          <w:p>
            <w:r>
              <w:t>UserPreference</w:t>
            </w:r>
          </w:p>
        </w:tc>
        <w:tc>
          <w:tcPr>
            <w:tcW w:type="dxa" w:w="4968"/>
          </w:tcPr>
          <w:p>
            <w:r>
              <w:t>user_id, routing_policy, max_cost_per_task, monthly_budget, allowed_regions, allowed_providers, privacy mode.</w:t>
            </w:r>
          </w:p>
        </w:tc>
      </w:tr>
      <w:tr>
        <w:tc>
          <w:tcPr>
            <w:tcW w:type="dxa" w:w="4968"/>
          </w:tcPr>
          <w:p>
            <w:r>
              <w:t>Provider</w:t>
            </w:r>
          </w:p>
        </w:tc>
        <w:tc>
          <w:tcPr>
            <w:tcW w:type="dxa" w:w="4968"/>
          </w:tcPr>
          <w:p>
            <w:r>
              <w:t>id, name, category, official_docs_url, terms_url, adapter_type, status, last_verified_at.</w:t>
            </w:r>
          </w:p>
        </w:tc>
      </w:tr>
      <w:tr>
        <w:tc>
          <w:tcPr>
            <w:tcW w:type="dxa" w:w="4968"/>
          </w:tcPr>
          <w:p>
            <w:r>
              <w:t>ProviderCredential</w:t>
            </w:r>
          </w:p>
        </w:tc>
        <w:tc>
          <w:tcPr>
            <w:tcW w:type="dxa" w:w="4968"/>
          </w:tcPr>
          <w:p>
            <w:r>
              <w:t>id, user_id, provider_id, encrypted_secret, key_version, status, created_at, last_validated_at; never store plaintext.</w:t>
            </w:r>
          </w:p>
        </w:tc>
      </w:tr>
      <w:tr>
        <w:tc>
          <w:tcPr>
            <w:tcW w:type="dxa" w:w="4968"/>
          </w:tcPr>
          <w:p>
            <w:r>
              <w:t>Model</w:t>
            </w:r>
          </w:p>
        </w:tc>
        <w:tc>
          <w:tcPr>
            <w:tcW w:type="dxa" w:w="4968"/>
          </w:tcPr>
          <w:p>
            <w:r>
              <w:t>id, provider_id, canonical_name, provider_model_id, modalities, context_window, output_limit, tool_support, structured_output, license, pricing_type, free_tier_notes, terms status.</w:t>
            </w:r>
          </w:p>
        </w:tc>
      </w:tr>
      <w:tr>
        <w:tc>
          <w:tcPr>
            <w:tcW w:type="dxa" w:w="4968"/>
          </w:tcPr>
          <w:p>
            <w:r>
              <w:t>ModelCapability</w:t>
            </w:r>
          </w:p>
        </w:tc>
        <w:tc>
          <w:tcPr>
            <w:tcW w:type="dxa" w:w="4968"/>
          </w:tcPr>
          <w:p>
            <w:r>
              <w:t>model_id, capability, evidence_url, confidence, verified_at, notes.</w:t>
            </w:r>
          </w:p>
        </w:tc>
      </w:tr>
      <w:tr>
        <w:tc>
          <w:tcPr>
            <w:tcW w:type="dxa" w:w="4968"/>
          </w:tcPr>
          <w:p>
            <w:r>
              <w:t>RouteTelemetry</w:t>
            </w:r>
          </w:p>
        </w:tc>
        <w:tc>
          <w:tcPr>
            <w:tcW w:type="dxa" w:w="4968"/>
          </w:tcPr>
          <w:p>
            <w:r>
              <w:t>provider/model, latency, error rates, recent health, rate-limit cooldown, sample window.</w:t>
            </w:r>
          </w:p>
        </w:tc>
      </w:tr>
      <w:tr>
        <w:tc>
          <w:tcPr>
            <w:tcW w:type="dxa" w:w="4968"/>
          </w:tcPr>
          <w:p>
            <w:r>
              <w:t>QuotaSnapshot</w:t>
            </w:r>
          </w:p>
        </w:tc>
        <w:tc>
          <w:tcPr>
            <w:tcW w:type="dxa" w:w="4968"/>
          </w:tcPr>
          <w:p>
            <w:r>
              <w:t>provider/model/user scope, remaining units if exposed, reset_at, observed_at, source, confidence: observed/estimated/unknown.</w:t>
            </w:r>
          </w:p>
        </w:tc>
      </w:tr>
      <w:tr>
        <w:tc>
          <w:tcPr>
            <w:tcW w:type="dxa" w:w="4968"/>
          </w:tcPr>
          <w:p>
            <w:r>
              <w:t>Conversation</w:t>
            </w:r>
          </w:p>
        </w:tc>
        <w:tc>
          <w:tcPr>
            <w:tcW w:type="dxa" w:w="4968"/>
          </w:tcPr>
          <w:p>
            <w:r>
              <w:t>id, user_id, title, created_at, updated_at, retention state.</w:t>
            </w:r>
          </w:p>
        </w:tc>
      </w:tr>
      <w:tr>
        <w:tc>
          <w:tcPr>
            <w:tcW w:type="dxa" w:w="4968"/>
          </w:tcPr>
          <w:p>
            <w:r>
              <w:t>Message</w:t>
            </w:r>
          </w:p>
        </w:tc>
        <w:tc>
          <w:tcPr>
            <w:tcW w:type="dxa" w:w="4968"/>
          </w:tcPr>
          <w:p>
            <w:r>
              <w:t>id, conversation_id, role, content reference, attachments, selected route, timestamps; private content excluded from logs.</w:t>
            </w:r>
          </w:p>
        </w:tc>
      </w:tr>
      <w:tr>
        <w:tc>
          <w:tcPr>
            <w:tcW w:type="dxa" w:w="4968"/>
          </w:tcPr>
          <w:p>
            <w:r>
              <w:t>TaskRun</w:t>
            </w:r>
          </w:p>
        </w:tc>
        <w:tc>
          <w:tcPr>
            <w:tcW w:type="dxa" w:w="4968"/>
          </w:tcPr>
          <w:p>
            <w:r>
              <w:t>id, user_id, task_class, policy, state, selected route, retry count, estimated/actual cost, idempotency key.</w:t>
            </w:r>
          </w:p>
        </w:tc>
      </w:tr>
      <w:tr>
        <w:tc>
          <w:tcPr>
            <w:tcW w:type="dxa" w:w="4968"/>
          </w:tcPr>
          <w:p>
            <w:r>
              <w:t>UsageEvent</w:t>
            </w:r>
          </w:p>
        </w:tc>
        <w:tc>
          <w:tcPr>
            <w:tcW w:type="dxa" w:w="4968"/>
          </w:tcPr>
          <w:p>
            <w:r>
              <w:t>append-only request ID, user, provider, model, input/output units, provider-reported cost, estimated cost, status, fallback reason.</w:t>
            </w:r>
          </w:p>
        </w:tc>
      </w:tr>
      <w:tr>
        <w:tc>
          <w:tcPr>
            <w:tcW w:type="dxa" w:w="4968"/>
          </w:tcPr>
          <w:p>
            <w:r>
              <w:t>Asset</w:t>
            </w:r>
          </w:p>
        </w:tc>
        <w:tc>
          <w:tcPr>
            <w:tcW w:type="dxa" w:w="4968"/>
          </w:tcPr>
          <w:p>
            <w:r>
              <w:t>id, owner, storage key, mime, size, hash, malware status, retention deadline.</w:t>
            </w:r>
          </w:p>
        </w:tc>
      </w:tr>
      <w:tr>
        <w:tc>
          <w:tcPr>
            <w:tcW w:type="dxa" w:w="4968"/>
          </w:tcPr>
          <w:p>
            <w:r>
              <w:t>AuditEvent</w:t>
            </w:r>
          </w:p>
        </w:tc>
        <w:tc>
          <w:tcPr>
            <w:tcW w:type="dxa" w:w="4968"/>
          </w:tcPr>
          <w:p>
            <w:r>
              <w:t>actor, action, target, timestamp, outcome, safe metadata; no secrets or raw prompt by default.</w:t>
            </w:r>
          </w:p>
        </w:tc>
      </w:tr>
    </w:tbl>
    <w:p/>
    <w:p>
      <w:pPr>
        <w:pStyle w:val="Heading1"/>
      </w:pPr>
      <w:r>
        <w:t>5. API surface (initial)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5B43C6"/>
          </w:tcPr>
          <w:p>
            <w:r>
              <w:rPr>
                <w:b/>
                <w:color w:val="FFFFFF"/>
              </w:rPr>
              <w:t>Method &amp; path</w:t>
            </w:r>
          </w:p>
        </w:tc>
        <w:tc>
          <w:tcPr>
            <w:tcW w:type="dxa" w:w="4968"/>
            <w:shd w:fill="5B43C6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GET /api/v1/catalog</w:t>
            </w:r>
          </w:p>
        </w:tc>
        <w:tc>
          <w:tcPr>
            <w:tcW w:type="dxa" w:w="4968"/>
          </w:tcPr>
          <w:p>
            <w:r>
              <w:t>Return enabled models and capabilities, with user-safe pricing/availability metadata.</w:t>
            </w:r>
          </w:p>
        </w:tc>
      </w:tr>
      <w:tr>
        <w:tc>
          <w:tcPr>
            <w:tcW w:type="dxa" w:w="4968"/>
          </w:tcPr>
          <w:p>
            <w:r>
              <w:t>GET /api/v1/providers</w:t>
            </w:r>
          </w:p>
        </w:tc>
        <w:tc>
          <w:tcPr>
            <w:tcW w:type="dxa" w:w="4968"/>
          </w:tcPr>
          <w:p>
            <w:r>
              <w:t>Return provider connection status; never expose credentials.</w:t>
            </w:r>
          </w:p>
        </w:tc>
      </w:tr>
      <w:tr>
        <w:tc>
          <w:tcPr>
            <w:tcW w:type="dxa" w:w="4968"/>
          </w:tcPr>
          <w:p>
            <w:r>
              <w:t>POST /api/v1/credentials</w:t>
            </w:r>
          </w:p>
        </w:tc>
        <w:tc>
          <w:tcPr>
            <w:tcW w:type="dxa" w:w="4968"/>
          </w:tcPr>
          <w:p>
            <w:r>
              <w:t>Validate and securely store a user-owned provider key.</w:t>
            </w:r>
          </w:p>
        </w:tc>
      </w:tr>
      <w:tr>
        <w:tc>
          <w:tcPr>
            <w:tcW w:type="dxa" w:w="4968"/>
          </w:tcPr>
          <w:p>
            <w:r>
              <w:t>DELETE /api/v1/credentials/:id</w:t>
            </w:r>
          </w:p>
        </w:tc>
        <w:tc>
          <w:tcPr>
            <w:tcW w:type="dxa" w:w="4968"/>
          </w:tcPr>
          <w:p>
            <w:r>
              <w:t>Revoke/delete a credential and associated provider usage linkage.</w:t>
            </w:r>
          </w:p>
        </w:tc>
      </w:tr>
      <w:tr>
        <w:tc>
          <w:tcPr>
            <w:tcW w:type="dxa" w:w="4968"/>
          </w:tcPr>
          <w:p>
            <w:r>
              <w:t>POST /api/v1/tasks</w:t>
            </w:r>
          </w:p>
        </w:tc>
        <w:tc>
          <w:tcPr>
            <w:tcW w:type="dxa" w:w="4968"/>
          </w:tcPr>
          <w:p>
            <w:r>
              <w:t>Create a task; accept task intent, attachments, policy, budget and optional pinned route.</w:t>
            </w:r>
          </w:p>
        </w:tc>
      </w:tr>
      <w:tr>
        <w:tc>
          <w:tcPr>
            <w:tcW w:type="dxa" w:w="4968"/>
          </w:tcPr>
          <w:p>
            <w:r>
              <w:t>GET /api/v1/tasks/:id</w:t>
            </w:r>
          </w:p>
        </w:tc>
        <w:tc>
          <w:tcPr>
            <w:tcW w:type="dxa" w:w="4968"/>
          </w:tcPr>
          <w:p>
            <w:r>
              <w:t>Read task state, route decision, retries and usage.</w:t>
            </w:r>
          </w:p>
        </w:tc>
      </w:tr>
      <w:tr>
        <w:tc>
          <w:tcPr>
            <w:tcW w:type="dxa" w:w="4968"/>
          </w:tcPr>
          <w:p>
            <w:r>
              <w:t>POST /api/v1/tasks/:id/cancel</w:t>
            </w:r>
          </w:p>
        </w:tc>
        <w:tc>
          <w:tcPr>
            <w:tcW w:type="dxa" w:w="4968"/>
          </w:tcPr>
          <w:p>
            <w:r>
              <w:t>Cancel task and best-effort stop provider/worker execution.</w:t>
            </w:r>
          </w:p>
        </w:tc>
      </w:tr>
      <w:tr>
        <w:tc>
          <w:tcPr>
            <w:tcW w:type="dxa" w:w="4968"/>
          </w:tcPr>
          <w:p>
            <w:r>
              <w:t>GET /api/v1/tasks/:id/events</w:t>
            </w:r>
          </w:p>
        </w:tc>
        <w:tc>
          <w:tcPr>
            <w:tcW w:type="dxa" w:w="4968"/>
          </w:tcPr>
          <w:p>
            <w:r>
              <w:t>SSE stream for status, text deltas, tool status, route switch, completion.</w:t>
            </w:r>
          </w:p>
        </w:tc>
      </w:tr>
      <w:tr>
        <w:tc>
          <w:tcPr>
            <w:tcW w:type="dxa" w:w="4968"/>
          </w:tcPr>
          <w:p>
            <w:r>
              <w:t>GET /api/v1/usage</w:t>
            </w:r>
          </w:p>
        </w:tc>
        <w:tc>
          <w:tcPr>
            <w:tcW w:type="dxa" w:w="4968"/>
          </w:tcPr>
          <w:p>
            <w:r>
              <w:t>User usage ledger and cost summary.</w:t>
            </w:r>
          </w:p>
        </w:tc>
      </w:tr>
      <w:tr>
        <w:tc>
          <w:tcPr>
            <w:tcW w:type="dxa" w:w="4968"/>
          </w:tcPr>
          <w:p>
            <w:r>
              <w:t>GET /api/v1/settings</w:t>
            </w:r>
          </w:p>
        </w:tc>
        <w:tc>
          <w:tcPr>
            <w:tcW w:type="dxa" w:w="4968"/>
          </w:tcPr>
          <w:p>
            <w:r>
              <w:t>Read preferences and limits.</w:t>
            </w:r>
          </w:p>
        </w:tc>
      </w:tr>
      <w:tr>
        <w:tc>
          <w:tcPr>
            <w:tcW w:type="dxa" w:w="4968"/>
          </w:tcPr>
          <w:p>
            <w:r>
              <w:t>PATCH /api/v1/settings</w:t>
            </w:r>
          </w:p>
        </w:tc>
        <w:tc>
          <w:tcPr>
            <w:tcW w:type="dxa" w:w="4968"/>
          </w:tcPr>
          <w:p>
            <w:r>
              <w:t>Update routing/cost/privacy preferences.</w:t>
            </w:r>
          </w:p>
        </w:tc>
      </w:tr>
      <w:tr>
        <w:tc>
          <w:tcPr>
            <w:tcW w:type="dxa" w:w="4968"/>
          </w:tcPr>
          <w:p>
            <w:r>
              <w:t>Admin routes</w:t>
            </w:r>
          </w:p>
        </w:tc>
        <w:tc>
          <w:tcPr>
            <w:tcW w:type="dxa" w:w="4968"/>
          </w:tcPr>
          <w:p>
            <w:r>
              <w:t>Protected; provider/model CRUD, health, quota overrides, kill switch, route policy versions.</w:t>
            </w:r>
          </w:p>
        </w:tc>
      </w:tr>
    </w:tbl>
    <w:p/>
    <w:p>
      <w:pPr>
        <w:pStyle w:val="Heading1"/>
      </w:pPr>
      <w:r>
        <w:t>6. Routing algorithm</w:t>
      </w:r>
    </w:p>
    <w:p>
      <w:pPr>
        <w:pStyle w:val="ListNumber"/>
      </w:pPr>
      <w:r>
        <w:t>Parse request into TaskSpec: task class, input modalities, required output modality, tool requirements, context estimate, quality floor, sensitivity, budget, policy, and optional pinned model.</w:t>
      </w:r>
    </w:p>
    <w:p>
      <w:pPr>
        <w:pStyle w:val="ListNumber"/>
      </w:pPr>
      <w:r>
        <w:t>Retrieve enabled models whose verified capabilities satisfy the TaskSpec.</w:t>
      </w:r>
    </w:p>
    <w:p>
      <w:pPr>
        <w:pStyle w:val="ListNumber"/>
      </w:pPr>
      <w:r>
        <w:t>Filter by user/provider permissions, region, terms/license approval, modality, context/output constraints, budget, provider health, quota/cooldown, and credential availability.</w:t>
      </w:r>
    </w:p>
    <w:p>
      <w:pPr>
        <w:pStyle w:val="ListNumber"/>
      </w:pPr>
      <w:r>
        <w:t>Estimate route cost. If pricing is unknown, label as unknown and block in Free-only mode unless the provider has a verified zero-cost allowance for that exact route.</w:t>
      </w:r>
    </w:p>
    <w:p>
      <w:pPr>
        <w:pStyle w:val="ListNumber"/>
      </w:pPr>
      <w:r>
        <w:t>Compute a score from task-specific evaluation quality, provider health, latency, cost, quota risk, and privacy fit. Keep score weights versioned and inspectable.</w:t>
      </w:r>
    </w:p>
    <w:p>
      <w:pPr>
        <w:pStyle w:val="ListNumber"/>
      </w:pPr>
      <w:r>
        <w:t>Select the highest-ranked eligible candidate; save decision trace including candidates considered and reasons for rejection.</w:t>
      </w:r>
    </w:p>
    <w:p>
      <w:pPr>
        <w:pStyle w:val="ListNumber"/>
      </w:pPr>
      <w:r>
        <w:t>Execute request; on retryable failure, use exponential backoff and next eligible route. Do not retry non-idempotent operations without an idempotency strategy.</w:t>
      </w:r>
    </w:p>
    <w:p>
      <w:pPr>
        <w:pStyle w:val="ListNumber"/>
      </w:pPr>
      <w:r>
        <w:t>Never switch from Free-only to paid, or from a pinned model to a different model, without the user's configured consent.</w:t>
      </w:r>
    </w:p>
    <w:p>
      <w:pPr>
        <w:pStyle w:val="ListNumber"/>
      </w:pPr>
      <w:r>
        <w:t>Persist final usage and feedback. Update route telemetry and quota estimates.</w:t>
      </w:r>
    </w:p>
    <w:p>
      <w:r>
        <w:t>Suggested score: route_score = wq*quality + wh*health + wl*latency_score + wc*cost_score + wqta*quota_confidence + wp*privacy_fit. Normalize inputs per task class. Hard constraints are filters, not score penalties. Do not treat crowd usage or star ratings as equivalent to measured task quality.</w:t>
      </w:r>
    </w:p>
    <w:p>
      <w:pPr>
        <w:pStyle w:val="Heading1"/>
      </w:pPr>
      <w:r>
        <w:t>7. Provider adapter contract</w:t>
      </w:r>
    </w:p>
    <w:p>
      <w:r>
        <w:t>Each adapter must implement: validateCredentials; listModels or provide a verified static catalogue; describeCapabilities; estimateCost; estimateQuotaStatus; generateText (stream and non-stream where supported); generateStructuredOutput where supported; generateMedia/createAsyncJob/pollAsyncJob/cancelJob where supported; normalizeError; normalizeUsage; healthCheck. Unsupported methods must return an explicit unsupported-capability result, not silently emulate incompatible behavior.</w:t>
      </w:r>
    </w:p>
    <w:p>
      <w:pPr>
        <w:pStyle w:val="Heading1"/>
      </w:pPr>
      <w:r>
        <w:t>8. Provider and model metadata</w:t>
      </w:r>
    </w:p>
    <w:p>
      <w:pPr>
        <w:pStyle w:val="ListBullet"/>
      </w:pPr>
      <w:r>
        <w:t>Official model ID, provider, endpoint region, official documentation, API availability and last-verified timestamp.</w:t>
      </w:r>
    </w:p>
    <w:p>
      <w:pPr>
        <w:pStyle w:val="ListBullet"/>
      </w:pPr>
      <w:r>
        <w:t>Input/output modalities, context window, max output, tool calling, structured output, streaming, async jobs, image input, image output, video/audio support.</w:t>
      </w:r>
    </w:p>
    <w:p>
      <w:pPr>
        <w:pStyle w:val="ListBullet"/>
      </w:pPr>
      <w:r>
        <w:t>Pricing type: verified_free, user_allowance, paid, local_compute, unknown. Never infer free status from the UI subscription.</w:t>
      </w:r>
    </w:p>
    <w:p>
      <w:pPr>
        <w:pStyle w:val="ListBullet"/>
      </w:pPr>
      <w:r>
        <w:t>Quota observability: provider_reported, locally_estimated, opaque, or unknown.</w:t>
      </w:r>
    </w:p>
    <w:p>
      <w:pPr>
        <w:pStyle w:val="ListBullet"/>
      </w:pPr>
      <w:r>
        <w:t>Terms, commercial-use restrictions, data retention/training policy, geographic restrictions, safety constraints and license for open weights.</w:t>
      </w:r>
    </w:p>
    <w:p>
      <w:pPr>
        <w:pStyle w:val="ListBullet"/>
      </w:pPr>
      <w:r>
        <w:t>Evaluation scores by task type, benchmark name/version, sample count, date, and confidence interval where available.</w:t>
      </w:r>
    </w:p>
    <w:p>
      <w:pPr>
        <w:pStyle w:val="Heading1"/>
      </w:pPr>
      <w:r>
        <w:t>9. Security and privacy requirements</w:t>
      </w:r>
    </w:p>
    <w:p>
      <w:pPr>
        <w:pStyle w:val="ListBullet"/>
      </w:pPr>
      <w:r>
        <w:t>TLS in transit; database/storage encryption at rest; managed KMS for key encryption.</w:t>
      </w:r>
    </w:p>
    <w:p>
      <w:pPr>
        <w:pStyle w:val="ListBullet"/>
      </w:pPr>
      <w:r>
        <w:t>BYOK secrets are never delivered to the browser after initial submission, never included in logs, and redacted from traces/errors.</w:t>
      </w:r>
    </w:p>
    <w:p>
      <w:pPr>
        <w:pStyle w:val="ListBullet"/>
      </w:pPr>
      <w:r>
        <w:t>Strict tenant isolation in all DB queries and object storage authorization.</w:t>
      </w:r>
    </w:p>
    <w:p>
      <w:pPr>
        <w:pStyle w:val="ListBullet"/>
      </w:pPr>
      <w:r>
        <w:t>Rate limiting at IP, account, provider credential and task level; abuse detection and account suspension workflow.</w:t>
      </w:r>
    </w:p>
    <w:p>
      <w:pPr>
        <w:pStyle w:val="ListBullet"/>
      </w:pPr>
      <w:r>
        <w:t>Validate file types using MIME sniffing and size limits; scan uploads; store outside web root; use short-lived signed URLs.</w:t>
      </w:r>
    </w:p>
    <w:p>
      <w:pPr>
        <w:pStyle w:val="ListBullet"/>
      </w:pPr>
      <w:r>
        <w:t>Treat model output and uploaded/retrieved content as untrusted. Never let model text override authorization or security policy.</w:t>
      </w:r>
    </w:p>
    <w:p>
      <w:pPr>
        <w:pStyle w:val="ListBullet"/>
      </w:pPr>
      <w:r>
        <w:t>Use SSRF protections, outbound network allowlists, command allowlists where possible, and secret isolation in the coding sandbox.</w:t>
      </w:r>
    </w:p>
    <w:p>
      <w:pPr>
        <w:pStyle w:val="ListBullet"/>
      </w:pPr>
      <w:r>
        <w:t>Explicit approval gates for deployments, deletion, external messaging, purchases, credentials, or other consequential operations.</w:t>
      </w:r>
    </w:p>
    <w:p>
      <w:pPr>
        <w:pStyle w:val="ListBullet"/>
      </w:pPr>
      <w:r>
        <w:t>Document data retention, provider data sharing, content-training policies, user deletion/export, and incident response.</w:t>
      </w:r>
    </w:p>
    <w:p>
      <w:pPr>
        <w:pStyle w:val="Heading1"/>
      </w:pPr>
      <w:r>
        <w:t>10. Reliability, performance, and operations</w:t>
      </w:r>
    </w:p>
    <w:p>
      <w:pPr>
        <w:pStyle w:val="ListBullet"/>
      </w:pPr>
      <w:r>
        <w:t>Set configurable connect/read/total timeouts per provider and task type.</w:t>
      </w:r>
    </w:p>
    <w:p>
      <w:pPr>
        <w:pStyle w:val="ListBullet"/>
      </w:pPr>
      <w:r>
        <w:t>Use exponential backoff with jitter for 429/5xx, respecting Retry-After and provider terms.</w:t>
      </w:r>
    </w:p>
    <w:p>
      <w:pPr>
        <w:pStyle w:val="ListBullet"/>
      </w:pPr>
      <w:r>
        <w:t>Circuit breaker for degraded providers; bounded retries; cancellation propagation.</w:t>
      </w:r>
    </w:p>
    <w:p>
      <w:pPr>
        <w:pStyle w:val="ListBullet"/>
      </w:pPr>
      <w:r>
        <w:t>Idempotency keys for task creation and supported provider operations.</w:t>
      </w:r>
    </w:p>
    <w:p>
      <w:pPr>
        <w:pStyle w:val="ListBullet"/>
      </w:pPr>
      <w:r>
        <w:t>SSE reconnection support and persisted task state so network interruption does not lose work.</w:t>
      </w:r>
    </w:p>
    <w:p>
      <w:pPr>
        <w:pStyle w:val="ListBullet"/>
      </w:pPr>
      <w:r>
        <w:t>Health checks and synthetic tests that do not spend paid quota unless explicitly configured.</w:t>
      </w:r>
    </w:p>
    <w:p>
      <w:pPr>
        <w:pStyle w:val="ListBullet"/>
      </w:pPr>
      <w:r>
        <w:t>Metrics: success/error/timeout rate, p50/p95 latency, time-to-first-token, cost per success, fallback frequency, quota exhaustion, queue delay, sandbox usage.</w:t>
      </w:r>
    </w:p>
    <w:p>
      <w:pPr>
        <w:pStyle w:val="ListBullet"/>
      </w:pPr>
      <w:r>
        <w:t>Backups, tested restore, migrations, staged rollout, rollback plan, feature flags and provider kill switches.</w:t>
      </w:r>
    </w:p>
    <w:p>
      <w:pPr>
        <w:pStyle w:val="Heading1"/>
      </w:pPr>
      <w:r>
        <w:t>11. Coding agent technical boundary (P1)</w:t>
      </w:r>
    </w:p>
    <w:p>
      <w:pPr>
        <w:pStyle w:val="ListBullet"/>
      </w:pPr>
      <w:r>
        <w:t>Execute each task in a disposable isolated workspace; no privileged host access and no shared filesystem between tenants.</w:t>
      </w:r>
    </w:p>
    <w:p>
      <w:pPr>
        <w:pStyle w:val="ListBullet"/>
      </w:pPr>
      <w:r>
        <w:t>Default-deny outbound network; allow package registries and user-approved destinations only where practical.</w:t>
      </w:r>
    </w:p>
    <w:p>
      <w:pPr>
        <w:pStyle w:val="ListBullet"/>
      </w:pPr>
      <w:r>
        <w:t>CPU, memory, disk, process, runtime, output and token budgets enforced outside the model.</w:t>
      </w:r>
    </w:p>
    <w:p>
      <w:pPr>
        <w:pStyle w:val="ListBullet"/>
      </w:pPr>
      <w:r>
        <w:t>Require approval for destructive commands, secret access, deployment, publishing, or external side effects.</w:t>
      </w:r>
    </w:p>
    <w:p>
      <w:pPr>
        <w:pStyle w:val="ListBullet"/>
      </w:pPr>
      <w:r>
        <w:t>Capture diffs, command logs with secret redaction, test results and a reproducible task summary.</w:t>
      </w:r>
    </w:p>
    <w:p>
      <w:pPr>
        <w:pStyle w:val="ListBullet"/>
      </w:pPr>
      <w:r>
        <w:t>Model tool calls are proposals; policy engine independently authorizes every tool invocation.</w:t>
      </w:r>
    </w:p>
    <w:p>
      <w:pPr>
        <w:pStyle w:val="Heading1"/>
      </w:pPr>
      <w:r>
        <w:t>12. Test strategy</w:t>
      </w:r>
    </w:p>
    <w:p>
      <w:pPr>
        <w:pStyle w:val="ListBullet"/>
      </w:pPr>
      <w:r>
        <w:t>Unit tests for classifier, candidate filters, scoring, cost calculations, quota state transitions, and error normalization.</w:t>
      </w:r>
    </w:p>
    <w:p>
      <w:pPr>
        <w:pStyle w:val="ListBullet"/>
      </w:pPr>
      <w:r>
        <w:t>Contract tests for each provider adapter using mocks and safe low-cost live smoke tests.</w:t>
      </w:r>
    </w:p>
    <w:p>
      <w:pPr>
        <w:pStyle w:val="ListBullet"/>
      </w:pPr>
      <w:r>
        <w:t>Integration tests for streaming, retries, fallback, cancellation, BYOK isolation, and usage ledger consistency.</w:t>
      </w:r>
    </w:p>
    <w:p>
      <w:pPr>
        <w:pStyle w:val="ListBullet"/>
      </w:pPr>
      <w:r>
        <w:t>Security tests for IDOR, secret leakage, SSRF, prompt injection, malicious files, rate-limit bypass and sandbox escape assumptions.</w:t>
      </w:r>
    </w:p>
    <w:p>
      <w:pPr>
        <w:pStyle w:val="ListBullet"/>
      </w:pPr>
      <w:r>
        <w:t>Evaluation tests with versioned examples for coding, reasoning, writing, summarization, and vision; score by task success rather than preference alone.</w:t>
      </w:r>
    </w:p>
    <w:p>
      <w:pPr>
        <w:pStyle w:val="ListBullet"/>
      </w:pPr>
      <w:r>
        <w:t>Chaos tests for provider timeouts, 429s, malformed payloads, revoked credentials and stale quota snapshots.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Every P0 requirement has acceptance tests and telemetry.</w:t>
      </w:r>
    </w:p>
    <w:p>
      <w:pPr>
        <w:pStyle w:val="ListBullet"/>
      </w:pPr>
      <w:r>
        <w:t>No secrets or raw private content are present in logs by default.</w:t>
      </w:r>
    </w:p>
    <w:p>
      <w:pPr>
        <w:pStyle w:val="ListBullet"/>
      </w:pPr>
      <w:r>
        <w:t>No paid calls occur under Free-only policy.</w:t>
      </w:r>
    </w:p>
    <w:p>
      <w:pPr>
        <w:pStyle w:val="ListBullet"/>
      </w:pPr>
      <w:r>
        <w:t>Provider status and metadata have verification timestamps.</w:t>
      </w:r>
    </w:p>
    <w:p>
      <w:pPr>
        <w:pStyle w:val="ListBullet"/>
      </w:pPr>
      <w:r>
        <w:t>All error states are user-actionable and have correlation IDs.</w:t>
      </w:r>
    </w:p>
    <w:p>
      <w:pPr>
        <w:pStyle w:val="ListBullet"/>
      </w:pPr>
      <w:r>
        <w:t>Staging load, recovery, backup restore, and security checks pass before public launch.</w:t>
      </w:r>
    </w:p>
    <w:p>
      <w:pPr>
        <w:pStyle w:val="Heading1"/>
      </w:pPr>
      <w:r>
        <w:t>Reference links and verification notes</w:t>
      </w:r>
    </w:p>
    <w:p>
      <w:r>
        <w:t>These links are starting points, not a permanent promise of access. Verify model IDs, commercial-use rights, geographic eligibility, data-retention terms, and rate limits against current official documentation before enabling each connector.</w:t>
      </w:r>
    </w:p>
    <w:p>
      <w:pPr>
        <w:pStyle w:val="ListBullet"/>
      </w:pPr>
      <w:r>
        <w:rPr>
          <w:b/>
        </w:rPr>
        <w:t xml:space="preserve">Google Gemini API pricing and free tier: </w:t>
      </w:r>
      <w:r>
        <w:t>https://ai.google.dev/gemini-api/docs/pricing</w:t>
      </w:r>
    </w:p>
    <w:p>
      <w:pPr>
        <w:pStyle w:val="ListBullet"/>
      </w:pPr>
      <w:r>
        <w:rPr>
          <w:b/>
        </w:rPr>
        <w:t xml:space="preserve">DeepSeek API pricing and model capabilities: </w:t>
      </w:r>
      <w:r>
        <w:t>https://api-docs.deepseek.com/quick_start/pricing/</w:t>
      </w:r>
    </w:p>
    <w:p>
      <w:pPr>
        <w:pStyle w:val="ListBullet"/>
      </w:pPr>
      <w:r>
        <w:rPr>
          <w:b/>
        </w:rPr>
        <w:t xml:space="preserve">OpenRouter free models: </w:t>
      </w:r>
      <w:r>
        <w:t>https://openrouter.ai/collections/free-models</w:t>
      </w:r>
    </w:p>
    <w:p>
      <w:pPr>
        <w:pStyle w:val="ListBullet"/>
      </w:pPr>
      <w:r>
        <w:rPr>
          <w:b/>
        </w:rPr>
        <w:t xml:space="preserve">OpenRouter model catalogue and routing: </w:t>
      </w:r>
      <w:r>
        <w:t>https://openrouter.ai/openrouter</w:t>
      </w:r>
    </w:p>
    <w:p>
      <w:pPr>
        <w:pStyle w:val="ListBullet"/>
      </w:pPr>
      <w:r>
        <w:rPr>
          <w:b/>
        </w:rPr>
        <w:t xml:space="preserve">Hugging Face Inference Providers: </w:t>
      </w:r>
      <w:r>
        <w:t>https://huggingface.co/docs/inference-providers/index</w:t>
      </w:r>
    </w:p>
    <w:p>
      <w:pPr>
        <w:pStyle w:val="ListBullet"/>
      </w:pPr>
      <w:r>
        <w:rPr>
          <w:b/>
        </w:rPr>
        <w:t xml:space="preserve">Hugging Face Inference Providers pricing: </w:t>
      </w:r>
      <w:r>
        <w:t>https://huggingface.co/docs/inference-providers/pricing</w:t>
      </w:r>
    </w:p>
    <w:p>
      <w:pPr>
        <w:pStyle w:val="ListBullet"/>
      </w:pPr>
      <w:r>
        <w:rPr>
          <w:b/>
        </w:rPr>
        <w:t xml:space="preserve">OpenAI API pricing: </w:t>
      </w:r>
      <w:r>
        <w:t>https://developers.openai.com/api/docs/pricing</w:t>
      </w:r>
    </w:p>
    <w:p>
      <w:pPr>
        <w:pStyle w:val="ListBullet"/>
      </w:pPr>
      <w:r>
        <w:rPr>
          <w:b/>
        </w:rPr>
        <w:t xml:space="preserve">Qwen Code authentication and provider notes: </w:t>
      </w:r>
      <w:r>
        <w:t>https://qwenlm.github.io/qwen-code-docs/en/users/configuration/auth/</w:t>
      </w:r>
    </w:p>
    <w:p>
      <w:pPr>
        <w:pStyle w:val="ListBullet"/>
      </w:pPr>
      <w:r>
        <w:rPr>
          <w:b/>
        </w:rPr>
        <w:t xml:space="preserve">MiniMax official GitHub / API access overview: </w:t>
      </w:r>
      <w:r>
        <w:t>https://github.com/MiniMax-AI/MiniMax</w:t>
      </w:r>
    </w:p>
    <w:p>
      <w:pPr>
        <w:pStyle w:val="ListBullet"/>
      </w:pPr>
      <w:r>
        <w:rPr>
          <w:b/>
        </w:rPr>
        <w:t xml:space="preserve">Kling AI official GitHub / API access overview: </w:t>
      </w:r>
      <w:r>
        <w:t>https://github.com/klingai-official/Kling-AI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working draft  •  27 October 2026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45D82"/>
        <w:sz w:val="16"/>
      </w:rPr>
      <w:t>SHAZAM AI  /  PRODUCT &amp;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A30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11B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5B43C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11B3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11B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