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5B43C6"/>
          <w:sz w:val="26"/>
        </w:rPr>
        <w:t>SHAZAM AI</w:t>
      </w:r>
    </w:p>
    <w:p>
      <w:pPr>
        <w:pStyle w:val="Title"/>
      </w:pPr>
      <w:r>
        <w:t>System Architecture</w:t>
      </w:r>
    </w:p>
    <w:p>
      <w:pPr>
        <w:pStyle w:val="Subtitle"/>
      </w:pPr>
      <w:r>
        <w:rPr>
          <w:color w:val="5A5F6E"/>
          <w:sz w:val="26"/>
        </w:rPr>
        <w:t>Logical architecture, runtime flows, trust boundaries, deployment topology, and scaling path.</w:t>
      </w:r>
    </w:p>
    <w:p>
      <w:r>
        <w:rPr>
          <w:b/>
          <w:color w:val="5B43C6"/>
          <w:sz w:val="18"/>
        </w:rPr>
        <w:t>ARCHITECTURE  |  Version 0.1  |  27 October 2026</w:t>
      </w:r>
    </w:p>
    <w:p>
      <w:r>
        <w:t>Status: production-oriented MVP specification for implementation planning. All provider availability, pricing, model IDs, quotas, licenses, and API terms must be revalidated during implementation.</w:t>
      </w:r>
    </w:p>
    <w:p>
      <w:r>
        <w:br w:type="page"/>
      </w:r>
    </w:p>
    <w:p>
      <w:pPr>
        <w:pStyle w:val="Heading1"/>
      </w:pPr>
      <w:r>
        <w:t>1. Architecture summary</w:t>
      </w:r>
    </w:p>
    <w:p>
      <w:r>
        <w:t>Use a modular monolith for the first beta, with clear module boundaries and an asynchronous worker process. Do not begin with dozens of microservices. Split services only when traffic, deployment cadence, or security boundaries justify it. The model/provider boundary is the key abstraction.</w:t>
      </w:r>
    </w:p>
    <w:p>
      <w:pPr>
        <w:pStyle w:val="Heading1"/>
      </w:pPr>
      <w:r>
        <w:t>2. Logical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B43C6"/>
          </w:tcPr>
          <w:p>
            <w:r>
              <w:rPr>
                <w:b/>
                <w:color w:val="FFFFFF"/>
              </w:rPr>
              <w:t>Layer</w:t>
            </w:r>
          </w:p>
        </w:tc>
        <w:tc>
          <w:tcPr>
            <w:tcW w:type="dxa" w:w="3312"/>
            <w:shd w:fill="5B43C6"/>
          </w:tcPr>
          <w:p>
            <w:r>
              <w:rPr>
                <w:b/>
                <w:color w:val="FFFFFF"/>
              </w:rPr>
              <w:t>Components</w:t>
            </w:r>
          </w:p>
        </w:tc>
        <w:tc>
          <w:tcPr>
            <w:tcW w:type="dxa" w:w="3312"/>
            <w:shd w:fill="5B43C6"/>
          </w:tcPr>
          <w:p>
            <w:r>
              <w:rPr>
                <w:b/>
                <w:color w:val="FFFFFF"/>
              </w:rPr>
              <w:t>Trust boundary</w:t>
            </w:r>
          </w:p>
        </w:tc>
      </w:tr>
      <w:tr>
        <w:tc>
          <w:tcPr>
            <w:tcW w:type="dxa" w:w="3312"/>
          </w:tcPr>
          <w:p>
            <w:r>
              <w:t>Experience</w:t>
            </w:r>
          </w:p>
        </w:tc>
        <w:tc>
          <w:tcPr>
            <w:tcW w:type="dxa" w:w="3312"/>
          </w:tcPr>
          <w:p>
            <w:r>
              <w:t>Next.js app: chat, task panel, catalogue, settings, usage, admin</w:t>
            </w:r>
          </w:p>
        </w:tc>
        <w:tc>
          <w:tcPr>
            <w:tcW w:type="dxa" w:w="3312"/>
          </w:tcPr>
          <w:p>
            <w:r>
              <w:t>Browser is untrusted; no provider secret access.</w:t>
            </w:r>
          </w:p>
        </w:tc>
      </w:tr>
      <w:tr>
        <w:tc>
          <w:tcPr>
            <w:tcW w:type="dxa" w:w="3312"/>
          </w:tcPr>
          <w:p>
            <w:r>
              <w:t>API edge</w:t>
            </w:r>
          </w:p>
        </w:tc>
        <w:tc>
          <w:tcPr>
            <w:tcW w:type="dxa" w:w="3312"/>
          </w:tcPr>
          <w:p>
            <w:r>
              <w:t>Auth/session, schema validation, rate limiting, request IDs</w:t>
            </w:r>
          </w:p>
        </w:tc>
        <w:tc>
          <w:tcPr>
            <w:tcW w:type="dxa" w:w="3312"/>
          </w:tcPr>
          <w:p>
            <w:r>
              <w:t>Authenticate/authorize before accessing tenant data.</w:t>
            </w:r>
          </w:p>
        </w:tc>
      </w:tr>
      <w:tr>
        <w:tc>
          <w:tcPr>
            <w:tcW w:type="dxa" w:w="3312"/>
          </w:tcPr>
          <w:p>
            <w:r>
              <w:t>Application domain</w:t>
            </w:r>
          </w:p>
        </w:tc>
        <w:tc>
          <w:tcPr>
            <w:tcW w:type="dxa" w:w="3312"/>
          </w:tcPr>
          <w:p>
            <w:r>
              <w:t>Conversation service, task service, settings, usage ledger</w:t>
            </w:r>
          </w:p>
        </w:tc>
        <w:tc>
          <w:tcPr>
            <w:tcW w:type="dxa" w:w="3312"/>
          </w:tcPr>
          <w:p>
            <w:r>
              <w:t>User/tenant boundary enforced on every operation.</w:t>
            </w:r>
          </w:p>
        </w:tc>
      </w:tr>
      <w:tr>
        <w:tc>
          <w:tcPr>
            <w:tcW w:type="dxa" w:w="3312"/>
          </w:tcPr>
          <w:p>
            <w:r>
              <w:t>Intelligence</w:t>
            </w:r>
          </w:p>
        </w:tc>
        <w:tc>
          <w:tcPr>
            <w:tcW w:type="dxa" w:w="3312"/>
          </w:tcPr>
          <w:p>
            <w:r>
              <w:t>Task classifier, router, candidate filter, score engine, policy engine</w:t>
            </w:r>
          </w:p>
        </w:tc>
        <w:tc>
          <w:tcPr>
            <w:tcW w:type="dxa" w:w="3312"/>
          </w:tcPr>
          <w:p>
            <w:r>
              <w:t>Model suggestions cannot override policy.</w:t>
            </w:r>
          </w:p>
        </w:tc>
      </w:tr>
      <w:tr>
        <w:tc>
          <w:tcPr>
            <w:tcW w:type="dxa" w:w="3312"/>
          </w:tcPr>
          <w:p>
            <w:r>
              <w:t>Execution</w:t>
            </w:r>
          </w:p>
        </w:tc>
        <w:tc>
          <w:tcPr>
            <w:tcW w:type="dxa" w:w="3312"/>
          </w:tcPr>
          <w:p>
            <w:r>
              <w:t>Provider adapters, async worker, retry manager, tool runner</w:t>
            </w:r>
          </w:p>
        </w:tc>
        <w:tc>
          <w:tcPr>
            <w:tcW w:type="dxa" w:w="3312"/>
          </w:tcPr>
          <w:p>
            <w:r>
              <w:t>Only server-side code can use provider credentials.</w:t>
            </w:r>
          </w:p>
        </w:tc>
      </w:tr>
      <w:tr>
        <w:tc>
          <w:tcPr>
            <w:tcW w:type="dxa" w:w="3312"/>
          </w:tcPr>
          <w:p>
            <w:r>
              <w:t>Provider plane</w:t>
            </w:r>
          </w:p>
        </w:tc>
        <w:tc>
          <w:tcPr>
            <w:tcW w:type="dxa" w:w="3312"/>
          </w:tcPr>
          <w:p>
            <w:r>
              <w:t>Official APIs, aggregators, local runtime connectors, media APIs</w:t>
            </w:r>
          </w:p>
        </w:tc>
        <w:tc>
          <w:tcPr>
            <w:tcW w:type="dxa" w:w="3312"/>
          </w:tcPr>
          <w:p>
            <w:r>
              <w:t>External services receive only necessary request data.</w:t>
            </w:r>
          </w:p>
        </w:tc>
      </w:tr>
      <w:tr>
        <w:tc>
          <w:tcPr>
            <w:tcW w:type="dxa" w:w="3312"/>
          </w:tcPr>
          <w:p>
            <w:r>
              <w:t>Persistence</w:t>
            </w:r>
          </w:p>
        </w:tc>
        <w:tc>
          <w:tcPr>
            <w:tcW w:type="dxa" w:w="3312"/>
          </w:tcPr>
          <w:p>
            <w:r>
              <w:t>PostgreSQL, Redis/queue, object storage, secret manager</w:t>
            </w:r>
          </w:p>
        </w:tc>
        <w:tc>
          <w:tcPr>
            <w:tcW w:type="dxa" w:w="3312"/>
          </w:tcPr>
          <w:p>
            <w:r>
              <w:t>Encryption, least privilege, signed access, retention controls.</w:t>
            </w:r>
          </w:p>
        </w:tc>
      </w:tr>
      <w:tr>
        <w:tc>
          <w:tcPr>
            <w:tcW w:type="dxa" w:w="3312"/>
          </w:tcPr>
          <w:p>
            <w:r>
              <w:t>Operations</w:t>
            </w:r>
          </w:p>
        </w:tc>
        <w:tc>
          <w:tcPr>
            <w:tcW w:type="dxa" w:w="3312"/>
          </w:tcPr>
          <w:p>
            <w:r>
              <w:t>Telemetry, audit, alerts, admin kill switches, eval harness</w:t>
            </w:r>
          </w:p>
        </w:tc>
        <w:tc>
          <w:tcPr>
            <w:tcW w:type="dxa" w:w="3312"/>
          </w:tcPr>
          <w:p>
            <w:r>
              <w:t>No secrets; prompt/content logging disabled by default.</w:t>
            </w:r>
          </w:p>
        </w:tc>
      </w:tr>
    </w:tbl>
    <w:p/>
    <w:p>
      <w:pPr>
        <w:pStyle w:val="Heading1"/>
      </w:pPr>
      <w:r>
        <w:t>3. Request lifecycle</w:t>
      </w:r>
    </w:p>
    <w:p>
      <w:pPr>
        <w:pStyle w:val="ListNumber"/>
      </w:pPr>
      <w:r>
        <w:t>Browser sends POST /tasks with user request, selected policy, optional attachments and optional pinned model.</w:t>
      </w:r>
    </w:p>
    <w:p>
      <w:pPr>
        <w:pStyle w:val="ListNumber"/>
      </w:pPr>
      <w:r>
        <w:t>API validates identity, schema, upload references, request limits, user budget, and consent state.</w:t>
      </w:r>
    </w:p>
    <w:p>
      <w:pPr>
        <w:pStyle w:val="ListNumber"/>
      </w:pPr>
      <w:r>
        <w:t>Task classifier produces a typed TaskSpec. For ambiguous multimodal tasks, request clarification rather than guessing.</w:t>
      </w:r>
    </w:p>
    <w:p>
      <w:pPr>
        <w:pStyle w:val="ListNumber"/>
      </w:pPr>
      <w:r>
        <w:t>Router fetches eligible models from registry and current telemetry/quota snapshots.</w:t>
      </w:r>
    </w:p>
    <w:p>
      <w:pPr>
        <w:pStyle w:val="ListNumber"/>
      </w:pPr>
      <w:r>
        <w:t>Policy engine rejects candidates violating user constraints, terms approval, region/privacy rules, budget, or required capability.</w:t>
      </w:r>
    </w:p>
    <w:p>
      <w:pPr>
        <w:pStyle w:val="ListNumber"/>
      </w:pPr>
      <w:r>
        <w:t>Score engine ranks remaining candidates and emits an auditable decision trace.</w:t>
      </w:r>
    </w:p>
    <w:p>
      <w:pPr>
        <w:pStyle w:val="ListNumber"/>
      </w:pPr>
      <w:r>
        <w:t>Execution service invokes the provider adapter; streaming tokens/status are sent through SSE and persisted safely.</w:t>
      </w:r>
    </w:p>
    <w:p>
      <w:pPr>
        <w:pStyle w:val="ListNumber"/>
      </w:pPr>
      <w:r>
        <w:t>Retry manager classifies failures; quota/rate-limit errors trigger cooldown and eligible fallback; policy is re-applied before every retry.</w:t>
      </w:r>
    </w:p>
    <w:p>
      <w:pPr>
        <w:pStyle w:val="ListNumber"/>
      </w:pPr>
      <w:r>
        <w:t>Usage ledger records outcome and cost. Router telemetry updates asynchronously.</w:t>
      </w:r>
    </w:p>
    <w:p>
      <w:pPr>
        <w:pStyle w:val="ListNumber"/>
      </w:pPr>
      <w:r>
        <w:t>UI shows result, chosen model/provider, reason, cost classification, fallback history and feedback control.</w:t>
      </w:r>
    </w:p>
    <w:p>
      <w:pPr>
        <w:pStyle w:val="Heading1"/>
      </w:pPr>
      <w:r>
        <w:t>4. Routing state machine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B43C6"/>
          </w:tcPr>
          <w:p>
            <w:r>
              <w:rPr>
                <w:b/>
                <w:color w:val="FFFFFF"/>
              </w:rPr>
              <w:t>State</w:t>
            </w:r>
          </w:p>
        </w:tc>
        <w:tc>
          <w:tcPr>
            <w:tcW w:type="dxa" w:w="3312"/>
            <w:shd w:fill="5B43C6"/>
          </w:tcPr>
          <w:p>
            <w:r>
              <w:rPr>
                <w:b/>
                <w:color w:val="FFFFFF"/>
              </w:rPr>
              <w:t>Meaning</w:t>
            </w:r>
          </w:p>
        </w:tc>
        <w:tc>
          <w:tcPr>
            <w:tcW w:type="dxa" w:w="3312"/>
            <w:shd w:fill="5B43C6"/>
          </w:tcPr>
          <w:p>
            <w:r>
              <w:rPr>
                <w:b/>
                <w:color w:val="FFFFFF"/>
              </w:rPr>
              <w:t>Allowed transition</w:t>
            </w:r>
          </w:p>
        </w:tc>
      </w:tr>
      <w:tr>
        <w:tc>
          <w:tcPr>
            <w:tcW w:type="dxa" w:w="3312"/>
          </w:tcPr>
          <w:p>
            <w:r>
              <w:t>created</w:t>
            </w:r>
          </w:p>
        </w:tc>
        <w:tc>
          <w:tcPr>
            <w:tcW w:type="dxa" w:w="3312"/>
          </w:tcPr>
          <w:p>
            <w:r>
              <w:t>Task accepted</w:t>
            </w:r>
          </w:p>
        </w:tc>
        <w:tc>
          <w:tcPr>
            <w:tcW w:type="dxa" w:w="3312"/>
          </w:tcPr>
          <w:p>
            <w:r>
              <w:t>classified, failed, cancelled</w:t>
            </w:r>
          </w:p>
        </w:tc>
      </w:tr>
      <w:tr>
        <w:tc>
          <w:tcPr>
            <w:tcW w:type="dxa" w:w="3312"/>
          </w:tcPr>
          <w:p>
            <w:r>
              <w:t>classified</w:t>
            </w:r>
          </w:p>
        </w:tc>
        <w:tc>
          <w:tcPr>
            <w:tcW w:type="dxa" w:w="3312"/>
          </w:tcPr>
          <w:p>
            <w:r>
              <w:t>TaskSpec generated</w:t>
            </w:r>
          </w:p>
        </w:tc>
        <w:tc>
          <w:tcPr>
            <w:tcW w:type="dxa" w:w="3312"/>
          </w:tcPr>
          <w:p>
            <w:r>
              <w:t>routing, needs_clarification, failed</w:t>
            </w:r>
          </w:p>
        </w:tc>
      </w:tr>
      <w:tr>
        <w:tc>
          <w:tcPr>
            <w:tcW w:type="dxa" w:w="3312"/>
          </w:tcPr>
          <w:p>
            <w:r>
              <w:t>routing</w:t>
            </w:r>
          </w:p>
        </w:tc>
        <w:tc>
          <w:tcPr>
            <w:tcW w:type="dxa" w:w="3312"/>
          </w:tcPr>
          <w:p>
            <w:r>
              <w:t>Candidate filter and scoring</w:t>
            </w:r>
          </w:p>
        </w:tc>
        <w:tc>
          <w:tcPr>
            <w:tcW w:type="dxa" w:w="3312"/>
          </w:tcPr>
          <w:p>
            <w:r>
              <w:t>running, waiting_for_user_approval, unavailable, failed</w:t>
            </w:r>
          </w:p>
        </w:tc>
      </w:tr>
      <w:tr>
        <w:tc>
          <w:tcPr>
            <w:tcW w:type="dxa" w:w="3312"/>
          </w:tcPr>
          <w:p>
            <w:r>
              <w:t>running</w:t>
            </w:r>
          </w:p>
        </w:tc>
        <w:tc>
          <w:tcPr>
            <w:tcW w:type="dxa" w:w="3312"/>
          </w:tcPr>
          <w:p>
            <w:r>
              <w:t>Provider/tool execution active</w:t>
            </w:r>
          </w:p>
        </w:tc>
        <w:tc>
          <w:tcPr>
            <w:tcW w:type="dxa" w:w="3312"/>
          </w:tcPr>
          <w:p>
            <w:r>
              <w:t>streaming, retry_wait, succeeded, failed, cancelled</w:t>
            </w:r>
          </w:p>
        </w:tc>
      </w:tr>
      <w:tr>
        <w:tc>
          <w:tcPr>
            <w:tcW w:type="dxa" w:w="3312"/>
          </w:tcPr>
          <w:p>
            <w:r>
              <w:t>streaming</w:t>
            </w:r>
          </w:p>
        </w:tc>
        <w:tc>
          <w:tcPr>
            <w:tcW w:type="dxa" w:w="3312"/>
          </w:tcPr>
          <w:p>
            <w:r>
              <w:t>Partial output being delivered</w:t>
            </w:r>
          </w:p>
        </w:tc>
        <w:tc>
          <w:tcPr>
            <w:tcW w:type="dxa" w:w="3312"/>
          </w:tcPr>
          <w:p>
            <w:r>
              <w:t>running, retry_wait if safe, succeeded, failed, cancelled</w:t>
            </w:r>
          </w:p>
        </w:tc>
      </w:tr>
      <w:tr>
        <w:tc>
          <w:tcPr>
            <w:tcW w:type="dxa" w:w="3312"/>
          </w:tcPr>
          <w:p>
            <w:r>
              <w:t>retry_wait</w:t>
            </w:r>
          </w:p>
        </w:tc>
        <w:tc>
          <w:tcPr>
            <w:tcW w:type="dxa" w:w="3312"/>
          </w:tcPr>
          <w:p>
            <w:r>
              <w:t>Cooldown/backoff</w:t>
            </w:r>
          </w:p>
        </w:tc>
        <w:tc>
          <w:tcPr>
            <w:tcW w:type="dxa" w:w="3312"/>
          </w:tcPr>
          <w:p>
            <w:r>
              <w:t>routing, failed, cancelled</w:t>
            </w:r>
          </w:p>
        </w:tc>
      </w:tr>
      <w:tr>
        <w:tc>
          <w:tcPr>
            <w:tcW w:type="dxa" w:w="3312"/>
          </w:tcPr>
          <w:p>
            <w:r>
              <w:t>waiting_for_user_approval</w:t>
            </w:r>
          </w:p>
        </w:tc>
        <w:tc>
          <w:tcPr>
            <w:tcW w:type="dxa" w:w="3312"/>
          </w:tcPr>
          <w:p>
            <w:r>
              <w:t>Potential cost or side effect needs consent</w:t>
            </w:r>
          </w:p>
        </w:tc>
        <w:tc>
          <w:tcPr>
            <w:tcW w:type="dxa" w:w="3312"/>
          </w:tcPr>
          <w:p>
            <w:r>
              <w:t>routing, cancelled</w:t>
            </w:r>
          </w:p>
        </w:tc>
      </w:tr>
      <w:tr>
        <w:tc>
          <w:tcPr>
            <w:tcW w:type="dxa" w:w="3312"/>
          </w:tcPr>
          <w:p>
            <w:r>
              <w:t>succeeded</w:t>
            </w:r>
          </w:p>
        </w:tc>
        <w:tc>
          <w:tcPr>
            <w:tcW w:type="dxa" w:w="3312"/>
          </w:tcPr>
          <w:p>
            <w:r>
              <w:t>Completed</w:t>
            </w:r>
          </w:p>
        </w:tc>
        <w:tc>
          <w:tcPr>
            <w:tcW w:type="dxa" w:w="3312"/>
          </w:tcPr>
          <w:p>
            <w:r>
              <w:t>terminal</w:t>
            </w:r>
          </w:p>
        </w:tc>
      </w:tr>
      <w:tr>
        <w:tc>
          <w:tcPr>
            <w:tcW w:type="dxa" w:w="3312"/>
          </w:tcPr>
          <w:p>
            <w:r>
              <w:t>failed</w:t>
            </w:r>
          </w:p>
        </w:tc>
        <w:tc>
          <w:tcPr>
            <w:tcW w:type="dxa" w:w="3312"/>
          </w:tcPr>
          <w:p>
            <w:r>
              <w:t>No safe eligible route or task failed</w:t>
            </w:r>
          </w:p>
        </w:tc>
        <w:tc>
          <w:tcPr>
            <w:tcW w:type="dxa" w:w="3312"/>
          </w:tcPr>
          <w:p>
            <w:r>
              <w:t>terminal; user may retry</w:t>
            </w:r>
          </w:p>
        </w:tc>
      </w:tr>
      <w:tr>
        <w:tc>
          <w:tcPr>
            <w:tcW w:type="dxa" w:w="3312"/>
          </w:tcPr>
          <w:p>
            <w:r>
              <w:t>cancelled</w:t>
            </w:r>
          </w:p>
        </w:tc>
        <w:tc>
          <w:tcPr>
            <w:tcW w:type="dxa" w:w="3312"/>
          </w:tcPr>
          <w:p>
            <w:r>
              <w:t>Cancelled</w:t>
            </w:r>
          </w:p>
        </w:tc>
        <w:tc>
          <w:tcPr>
            <w:tcW w:type="dxa" w:w="3312"/>
          </w:tcPr>
          <w:p>
            <w:r>
              <w:t>terminal</w:t>
            </w:r>
          </w:p>
        </w:tc>
      </w:tr>
    </w:tbl>
    <w:p/>
    <w:p>
      <w:pPr>
        <w:pStyle w:val="Heading1"/>
      </w:pPr>
      <w:r>
        <w:t>5. Deployment topology</w:t>
      </w:r>
    </w:p>
    <w:p>
      <w:r>
        <w:t>Initial deployment: one web/API application, one worker deployment, managed PostgreSQL, managed Redis/queue, object storage, and a managed secret/KMS service. Separate staging and production credentials. Keep local model execution optional and outside the core cloud trust boundary.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B43C6"/>
          </w:tcPr>
          <w:p>
            <w:r>
              <w:rPr>
                <w:b/>
                <w:color w:val="FFFFFF"/>
              </w:rPr>
              <w:t>Runtime</w:t>
            </w:r>
          </w:p>
        </w:tc>
        <w:tc>
          <w:tcPr>
            <w:tcW w:type="dxa" w:w="3312"/>
            <w:shd w:fill="5B43C6"/>
          </w:tcPr>
          <w:p>
            <w:r>
              <w:rPr>
                <w:b/>
                <w:color w:val="FFFFFF"/>
              </w:rPr>
              <w:t>Deployable unit</w:t>
            </w:r>
          </w:p>
        </w:tc>
        <w:tc>
          <w:tcPr>
            <w:tcW w:type="dxa" w:w="3312"/>
            <w:shd w:fill="5B43C6"/>
          </w:tcPr>
          <w:p>
            <w:r>
              <w:rPr>
                <w:b/>
                <w:color w:val="FFFFFF"/>
              </w:rPr>
              <w:t>Scaling trigger</w:t>
            </w:r>
          </w:p>
        </w:tc>
      </w:tr>
      <w:tr>
        <w:tc>
          <w:tcPr>
            <w:tcW w:type="dxa" w:w="3312"/>
          </w:tcPr>
          <w:p>
            <w:r>
              <w:t>Web/API</w:t>
            </w:r>
          </w:p>
        </w:tc>
        <w:tc>
          <w:tcPr>
            <w:tcW w:type="dxa" w:w="3312"/>
          </w:tcPr>
          <w:p>
            <w:r>
              <w:t>Containerized Next.js/API service</w:t>
            </w:r>
          </w:p>
        </w:tc>
        <w:tc>
          <w:tcPr>
            <w:tcW w:type="dxa" w:w="3312"/>
          </w:tcPr>
          <w:p>
            <w:r>
              <w:t>Concurrent users, request rate, latency</w:t>
            </w:r>
          </w:p>
        </w:tc>
      </w:tr>
      <w:tr>
        <w:tc>
          <w:tcPr>
            <w:tcW w:type="dxa" w:w="3312"/>
          </w:tcPr>
          <w:p>
            <w:r>
              <w:t>Workers</w:t>
            </w:r>
          </w:p>
        </w:tc>
        <w:tc>
          <w:tcPr>
            <w:tcW w:type="dxa" w:w="3312"/>
          </w:tcPr>
          <w:p>
            <w:r>
              <w:t>Queue consumers for async jobs and provider polling</w:t>
            </w:r>
          </w:p>
        </w:tc>
        <w:tc>
          <w:tcPr>
            <w:tcW w:type="dxa" w:w="3312"/>
          </w:tcPr>
          <w:p>
            <w:r>
              <w:t>Queue depth, job duration, provider concurrency</w:t>
            </w:r>
          </w:p>
        </w:tc>
      </w:tr>
      <w:tr>
        <w:tc>
          <w:tcPr>
            <w:tcW w:type="dxa" w:w="3312"/>
          </w:tcPr>
          <w:p>
            <w:r>
              <w:t>Database</w:t>
            </w:r>
          </w:p>
        </w:tc>
        <w:tc>
          <w:tcPr>
            <w:tcW w:type="dxa" w:w="3312"/>
          </w:tcPr>
          <w:p>
            <w:r>
              <w:t>Managed PostgreSQL</w:t>
            </w:r>
          </w:p>
        </w:tc>
        <w:tc>
          <w:tcPr>
            <w:tcW w:type="dxa" w:w="3312"/>
          </w:tcPr>
          <w:p>
            <w:r>
              <w:t>Connections, query latency, storage, tenant count</w:t>
            </w:r>
          </w:p>
        </w:tc>
      </w:tr>
      <w:tr>
        <w:tc>
          <w:tcPr>
            <w:tcW w:type="dxa" w:w="3312"/>
          </w:tcPr>
          <w:p>
            <w:r>
              <w:t>Queue/cache</w:t>
            </w:r>
          </w:p>
        </w:tc>
        <w:tc>
          <w:tcPr>
            <w:tcW w:type="dxa" w:w="3312"/>
          </w:tcPr>
          <w:p>
            <w:r>
              <w:t>Managed Redis or durable queue</w:t>
            </w:r>
          </w:p>
        </w:tc>
        <w:tc>
          <w:tcPr>
            <w:tcW w:type="dxa" w:w="3312"/>
          </w:tcPr>
          <w:p>
            <w:r>
              <w:t>Queue depth, retry volume, rate-limit counters</w:t>
            </w:r>
          </w:p>
        </w:tc>
      </w:tr>
      <w:tr>
        <w:tc>
          <w:tcPr>
            <w:tcW w:type="dxa" w:w="3312"/>
          </w:tcPr>
          <w:p>
            <w:r>
              <w:t>Object store</w:t>
            </w:r>
          </w:p>
        </w:tc>
        <w:tc>
          <w:tcPr>
            <w:tcW w:type="dxa" w:w="3312"/>
          </w:tcPr>
          <w:p>
            <w:r>
              <w:t>S3-compatible bucket</w:t>
            </w:r>
          </w:p>
        </w:tc>
        <w:tc>
          <w:tcPr>
            <w:tcW w:type="dxa" w:w="3312"/>
          </w:tcPr>
          <w:p>
            <w:r>
              <w:t>Asset volume, egress, retention</w:t>
            </w:r>
          </w:p>
        </w:tc>
      </w:tr>
      <w:tr>
        <w:tc>
          <w:tcPr>
            <w:tcW w:type="dxa" w:w="3312"/>
          </w:tcPr>
          <w:p>
            <w:r>
              <w:t>Sandbox pool (P1)</w:t>
            </w:r>
          </w:p>
        </w:tc>
        <w:tc>
          <w:tcPr>
            <w:tcW w:type="dxa" w:w="3312"/>
          </w:tcPr>
          <w:p>
            <w:r>
              <w:t>Isolated ephemeral execution environments</w:t>
            </w:r>
          </w:p>
        </w:tc>
        <w:tc>
          <w:tcPr>
            <w:tcW w:type="dxa" w:w="3312"/>
          </w:tcPr>
          <w:p>
            <w:r>
              <w:t>Active tasks, CPU/RAM utilization, queue wait</w:t>
            </w:r>
          </w:p>
        </w:tc>
      </w:tr>
    </w:tbl>
    <w:p/>
    <w:p>
      <w:pPr>
        <w:pStyle w:val="Heading1"/>
      </w:pPr>
      <w:r>
        <w:t>6. Provider registry design</w:t>
      </w:r>
    </w:p>
    <w:p>
      <w:r>
        <w:t>Store canonical capabilities separately from provider-specific metadata. A canonical model may have multiple endpoints/routes, each with different price, availability, context, region, terms, and latency. A route—not just a model name—is the unit of routing.</w:t>
      </w:r>
    </w:p>
    <w:tbl>
      <w:tblPr>
        <w:tblStyle w:val="LightShading-Accent1"/>
        <w:tblW w:type="auto" w:w="0"/>
        <w:tblLook w:firstColumn="1" w:firstRow="1" w:lastColumn="0" w:lastRow="0" w:noHBand="0" w:noVBand="1" w:val="04A0"/>
      </w:tblPr>
      <w:tblGrid>
        <w:gridCol w:w="4968"/>
        <w:gridCol w:w="4968"/>
      </w:tblGrid>
      <w:tr>
        <w:tc>
          <w:tcPr>
            <w:tcW w:type="dxa" w:w="4968"/>
            <w:shd w:fill="5B43C6"/>
          </w:tcPr>
          <w:p>
            <w:r>
              <w:rPr>
                <w:b/>
                <w:color w:val="FFFFFF"/>
              </w:rPr>
              <w:t>Route field</w:t>
            </w:r>
          </w:p>
        </w:tc>
        <w:tc>
          <w:tcPr>
            <w:tcW w:type="dxa" w:w="4968"/>
            <w:shd w:fill="5B43C6"/>
          </w:tcPr>
          <w:p>
            <w:r>
              <w:rPr>
                <w:b/>
                <w:color w:val="FFFFFF"/>
              </w:rPr>
              <w:t>Example values / rules</w:t>
            </w:r>
          </w:p>
        </w:tc>
      </w:tr>
      <w:tr>
        <w:tc>
          <w:tcPr>
            <w:tcW w:type="dxa" w:w="4968"/>
          </w:tcPr>
          <w:p>
            <w:r>
              <w:t>route_id</w:t>
            </w:r>
          </w:p>
        </w:tc>
        <w:tc>
          <w:tcPr>
            <w:tcW w:type="dxa" w:w="4968"/>
          </w:tcPr>
          <w:p>
            <w:r>
              <w:t>Unique stable ID for provider + endpoint + model variant</w:t>
            </w:r>
          </w:p>
        </w:tc>
      </w:tr>
      <w:tr>
        <w:tc>
          <w:tcPr>
            <w:tcW w:type="dxa" w:w="4968"/>
          </w:tcPr>
          <w:p>
            <w:r>
              <w:t>provider_model_id</w:t>
            </w:r>
          </w:p>
        </w:tc>
        <w:tc>
          <w:tcPr>
            <w:tcW w:type="dxa" w:w="4968"/>
          </w:tcPr>
          <w:p>
            <w:r>
              <w:t>Exact ID accepted by API; do not infer from marketing name</w:t>
            </w:r>
          </w:p>
        </w:tc>
      </w:tr>
      <w:tr>
        <w:tc>
          <w:tcPr>
            <w:tcW w:type="dxa" w:w="4968"/>
          </w:tcPr>
          <w:p>
            <w:r>
              <w:t>access_mode</w:t>
            </w:r>
          </w:p>
        </w:tc>
        <w:tc>
          <w:tcPr>
            <w:tcW w:type="dxa" w:w="4968"/>
          </w:tcPr>
          <w:p>
            <w:r>
              <w:t>direct_api, aggregator, byok, local, managed_pool</w:t>
            </w:r>
          </w:p>
        </w:tc>
      </w:tr>
      <w:tr>
        <w:tc>
          <w:tcPr>
            <w:tcW w:type="dxa" w:w="4968"/>
          </w:tcPr>
          <w:p>
            <w:r>
              <w:t>cost_class</w:t>
            </w:r>
          </w:p>
        </w:tc>
        <w:tc>
          <w:tcPr>
            <w:tcW w:type="dxa" w:w="4968"/>
          </w:tcPr>
          <w:p>
            <w:r>
              <w:t>verified_free, user_allowance, paid, local_compute, unknown</w:t>
            </w:r>
          </w:p>
        </w:tc>
      </w:tr>
      <w:tr>
        <w:tc>
          <w:tcPr>
            <w:tcW w:type="dxa" w:w="4968"/>
          </w:tcPr>
          <w:p>
            <w:r>
              <w:t>quota_source</w:t>
            </w:r>
          </w:p>
        </w:tc>
        <w:tc>
          <w:tcPr>
            <w:tcW w:type="dxa" w:w="4968"/>
          </w:tcPr>
          <w:p>
            <w:r>
              <w:t>provider_api, headers, local_estimate, opaque</w:t>
            </w:r>
          </w:p>
        </w:tc>
      </w:tr>
      <w:tr>
        <w:tc>
          <w:tcPr>
            <w:tcW w:type="dxa" w:w="4968"/>
          </w:tcPr>
          <w:p>
            <w:r>
              <w:t>capabilities</w:t>
            </w:r>
          </w:p>
        </w:tc>
        <w:tc>
          <w:tcPr>
            <w:tcW w:type="dxa" w:w="4968"/>
          </w:tcPr>
          <w:p>
            <w:r>
              <w:t>chat, reasoning, code, vision, image_gen, image_edit, video_gen, audio_in, audio_out, embeddings, tools</w:t>
            </w:r>
          </w:p>
        </w:tc>
      </w:tr>
      <w:tr>
        <w:tc>
          <w:tcPr>
            <w:tcW w:type="dxa" w:w="4968"/>
          </w:tcPr>
          <w:p>
            <w:r>
              <w:t>evidence</w:t>
            </w:r>
          </w:p>
        </w:tc>
        <w:tc>
          <w:tcPr>
            <w:tcW w:type="dxa" w:w="4968"/>
          </w:tcPr>
          <w:p>
            <w:r>
              <w:t>Official docs, terms, price page, model card, last verification date</w:t>
            </w:r>
          </w:p>
        </w:tc>
      </w:tr>
      <w:tr>
        <w:tc>
          <w:tcPr>
            <w:tcW w:type="dxa" w:w="4968"/>
          </w:tcPr>
          <w:p>
            <w:r>
              <w:t>route_status</w:t>
            </w:r>
          </w:p>
        </w:tc>
        <w:tc>
          <w:tcPr>
            <w:tcW w:type="dxa" w:w="4968"/>
          </w:tcPr>
          <w:p>
            <w:r>
              <w:t>enabled, degraded, cooldown, exhausted, unknown, disabled</w:t>
            </w:r>
          </w:p>
        </w:tc>
      </w:tr>
      <w:tr>
        <w:tc>
          <w:tcPr>
            <w:tcW w:type="dxa" w:w="4968"/>
          </w:tcPr>
          <w:p>
            <w:r>
              <w:t>privacy</w:t>
            </w:r>
          </w:p>
        </w:tc>
        <w:tc>
          <w:tcPr>
            <w:tcW w:type="dxa" w:w="4968"/>
          </w:tcPr>
          <w:p>
            <w:r>
              <w:t>retention, training use, region, sensitivity eligibility</w:t>
            </w:r>
          </w:p>
        </w:tc>
      </w:tr>
    </w:tbl>
    <w:p/>
    <w:p>
      <w:pPr>
        <w:pStyle w:val="Heading1"/>
      </w:pPr>
      <w:r>
        <w:t>7. Scoring and fallback design</w:t>
      </w:r>
    </w:p>
    <w:p>
      <w:r>
        <w:t>Use a two-stage system: hard eligibility filters followed by task-specific ranking. The router must never choose an incompatible route merely because it is cheap or popular.</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B43C6"/>
          </w:tcPr>
          <w:p>
            <w:r>
              <w:rPr>
                <w:b/>
                <w:color w:val="FFFFFF"/>
              </w:rPr>
              <w:t>Dimension</w:t>
            </w:r>
          </w:p>
        </w:tc>
        <w:tc>
          <w:tcPr>
            <w:tcW w:type="dxa" w:w="3312"/>
            <w:shd w:fill="5B43C6"/>
          </w:tcPr>
          <w:p>
            <w:r>
              <w:rPr>
                <w:b/>
                <w:color w:val="FFFFFF"/>
              </w:rPr>
              <w:t>Signal</w:t>
            </w:r>
          </w:p>
        </w:tc>
        <w:tc>
          <w:tcPr>
            <w:tcW w:type="dxa" w:w="3312"/>
            <w:shd w:fill="5B43C6"/>
          </w:tcPr>
          <w:p>
            <w:r>
              <w:rPr>
                <w:b/>
                <w:color w:val="FFFFFF"/>
              </w:rPr>
              <w:t>Implementation note</w:t>
            </w:r>
          </w:p>
        </w:tc>
      </w:tr>
      <w:tr>
        <w:tc>
          <w:tcPr>
            <w:tcW w:type="dxa" w:w="3312"/>
          </w:tcPr>
          <w:p>
            <w:r>
              <w:t>Capability fit</w:t>
            </w:r>
          </w:p>
        </w:tc>
        <w:tc>
          <w:tcPr>
            <w:tcW w:type="dxa" w:w="3312"/>
          </w:tcPr>
          <w:p>
            <w:r>
              <w:t>Exact supported modality/tools/context</w:t>
            </w:r>
          </w:p>
        </w:tc>
        <w:tc>
          <w:tcPr>
            <w:tcW w:type="dxa" w:w="3312"/>
          </w:tcPr>
          <w:p>
            <w:r>
              <w:t>Hard filter first; no score can override a mismatch.</w:t>
            </w:r>
          </w:p>
        </w:tc>
      </w:tr>
      <w:tr>
        <w:tc>
          <w:tcPr>
            <w:tcW w:type="dxa" w:w="3312"/>
          </w:tcPr>
          <w:p>
            <w:r>
              <w:t>Quality</w:t>
            </w:r>
          </w:p>
        </w:tc>
        <w:tc>
          <w:tcPr>
            <w:tcW w:type="dxa" w:w="3312"/>
          </w:tcPr>
          <w:p>
            <w:r>
              <w:t>Internal task-specific evals and verified external benchmarks</w:t>
            </w:r>
          </w:p>
        </w:tc>
        <w:tc>
          <w:tcPr>
            <w:tcW w:type="dxa" w:w="3312"/>
          </w:tcPr>
          <w:p>
            <w:r>
              <w:t>Store source, date, sample size and task class.</w:t>
            </w:r>
          </w:p>
        </w:tc>
      </w:tr>
      <w:tr>
        <w:tc>
          <w:tcPr>
            <w:tcW w:type="dxa" w:w="3312"/>
          </w:tcPr>
          <w:p>
            <w:r>
              <w:t>Health</w:t>
            </w:r>
          </w:p>
        </w:tc>
        <w:tc>
          <w:tcPr>
            <w:tcW w:type="dxa" w:w="3312"/>
          </w:tcPr>
          <w:p>
            <w:r>
              <w:t>Recent error rate, latency, circuit-breaker state</w:t>
            </w:r>
          </w:p>
        </w:tc>
        <w:tc>
          <w:tcPr>
            <w:tcW w:type="dxa" w:w="3312"/>
          </w:tcPr>
          <w:p>
            <w:r>
              <w:t>Use rolling windows and minimum sample counts.</w:t>
            </w:r>
          </w:p>
        </w:tc>
      </w:tr>
      <w:tr>
        <w:tc>
          <w:tcPr>
            <w:tcW w:type="dxa" w:w="3312"/>
          </w:tcPr>
          <w:p>
            <w:r>
              <w:t>Cost</w:t>
            </w:r>
          </w:p>
        </w:tc>
        <w:tc>
          <w:tcPr>
            <w:tcW w:type="dxa" w:w="3312"/>
          </w:tcPr>
          <w:p>
            <w:r>
              <w:t>Estimated input/output/media units and price schedule</w:t>
            </w:r>
          </w:p>
        </w:tc>
        <w:tc>
          <w:tcPr>
            <w:tcW w:type="dxa" w:w="3312"/>
          </w:tcPr>
          <w:p>
            <w:r>
              <w:t>Unknown price blocks Free-only routes.</w:t>
            </w:r>
          </w:p>
        </w:tc>
      </w:tr>
      <w:tr>
        <w:tc>
          <w:tcPr>
            <w:tcW w:type="dxa" w:w="3312"/>
          </w:tcPr>
          <w:p>
            <w:r>
              <w:t>Quota</w:t>
            </w:r>
          </w:p>
        </w:tc>
        <w:tc>
          <w:tcPr>
            <w:tcW w:type="dxa" w:w="3312"/>
          </w:tcPr>
          <w:p>
            <w:r>
              <w:t>Remaining units/reset/cooldown/observability confidence</w:t>
            </w:r>
          </w:p>
        </w:tc>
        <w:tc>
          <w:tcPr>
            <w:tcW w:type="dxa" w:w="3312"/>
          </w:tcPr>
          <w:p>
            <w:r>
              <w:t>Treat opaque quota as risk, not fabricated remaining balance.</w:t>
            </w:r>
          </w:p>
        </w:tc>
      </w:tr>
      <w:tr>
        <w:tc>
          <w:tcPr>
            <w:tcW w:type="dxa" w:w="3312"/>
          </w:tcPr>
          <w:p>
            <w:r>
              <w:t>Latency</w:t>
            </w:r>
          </w:p>
        </w:tc>
        <w:tc>
          <w:tcPr>
            <w:tcW w:type="dxa" w:w="3312"/>
          </w:tcPr>
          <w:p>
            <w:r>
              <w:t>TTFT and total response distributions</w:t>
            </w:r>
          </w:p>
        </w:tc>
        <w:tc>
          <w:tcPr>
            <w:tcW w:type="dxa" w:w="3312"/>
          </w:tcPr>
          <w:p>
            <w:r>
              <w:t>Use p50/p95 by task class and route.</w:t>
            </w:r>
          </w:p>
        </w:tc>
      </w:tr>
      <w:tr>
        <w:tc>
          <w:tcPr>
            <w:tcW w:type="dxa" w:w="3312"/>
          </w:tcPr>
          <w:p>
            <w:r>
              <w:t>Privacy</w:t>
            </w:r>
          </w:p>
        </w:tc>
        <w:tc>
          <w:tcPr>
            <w:tcW w:type="dxa" w:w="3312"/>
          </w:tcPr>
          <w:p>
            <w:r>
              <w:t>Provider retention/training policy vs user preference</w:t>
            </w:r>
          </w:p>
        </w:tc>
        <w:tc>
          <w:tcPr>
            <w:tcW w:type="dxa" w:w="3312"/>
          </w:tcPr>
          <w:p>
            <w:r>
              <w:t>Hard filter for incompatible privacy requirements.</w:t>
            </w:r>
          </w:p>
        </w:tc>
      </w:tr>
    </w:tbl>
    <w:p/>
    <w:p>
      <w:r>
        <w:t>Fallback order should be recomputed after every failure. A fallback candidate must pass the same policy filters. If the task has already caused an external side effect or produced non-idempotent media jobs, use provider idempotency or task checkpoints before retrying.</w:t>
      </w:r>
    </w:p>
    <w:p>
      <w:pPr>
        <w:pStyle w:val="Heading1"/>
      </w:pPr>
      <w:r>
        <w:t>8. Security architecture</w:t>
      </w:r>
    </w:p>
    <w:p>
      <w:pPr>
        <w:pStyle w:val="ListBullet"/>
      </w:pPr>
      <w:r>
        <w:t>Browser receives app session only, never master provider credentials or plaintext saved BYOK keys.</w:t>
      </w:r>
    </w:p>
    <w:p>
      <w:pPr>
        <w:pStyle w:val="ListBullet"/>
      </w:pPr>
      <w:r>
        <w:t>Credential service encrypts keys with envelope encryption; access is granted only to the execution worker for the owning user and intended provider.</w:t>
      </w:r>
    </w:p>
    <w:p>
      <w:pPr>
        <w:pStyle w:val="ListBullet"/>
      </w:pPr>
      <w:r>
        <w:t>Every task has a policy context: user ID, cost ceiling, allowed providers, region, sensitivity, tool permissions, approval state.</w:t>
      </w:r>
    </w:p>
    <w:p>
      <w:pPr>
        <w:pStyle w:val="ListBullet"/>
      </w:pPr>
      <w:r>
        <w:t>Coding sandbox is a separate trust domain; it receives only the repository and scoped task files, not production credentials.</w:t>
      </w:r>
    </w:p>
    <w:p>
      <w:pPr>
        <w:pStyle w:val="ListBullet"/>
      </w:pPr>
      <w:r>
        <w:t>Tool executor checks an explicit allowlist/policy before executing commands or external calls.</w:t>
      </w:r>
    </w:p>
    <w:p>
      <w:pPr>
        <w:pStyle w:val="ListBullet"/>
      </w:pPr>
      <w:r>
        <w:t>Object storage uses private buckets, short-lived signed URLs, content scanning and deletion policies.</w:t>
      </w:r>
    </w:p>
    <w:p>
      <w:pPr>
        <w:pStyle w:val="ListBullet"/>
      </w:pPr>
      <w:r>
        <w:t>Audit events record high-risk actions without capturing secret material.</w:t>
      </w:r>
    </w:p>
    <w:p>
      <w:pPr>
        <w:pStyle w:val="Heading1"/>
      </w:pPr>
      <w:r>
        <w:t>9. Admin and operations</w:t>
      </w:r>
    </w:p>
    <w:p>
      <w:pPr>
        <w:pStyle w:val="ListBullet"/>
      </w:pPr>
      <w:r>
        <w:t>Provider/model management with validation status, docs links, pricing/terms verification, and kill switch.</w:t>
      </w:r>
    </w:p>
    <w:p>
      <w:pPr>
        <w:pStyle w:val="ListBullet"/>
      </w:pPr>
      <w:r>
        <w:t>Live dashboard for request volume, provider health, quotas, fallback rates, estimated spend and async queue backlog.</w:t>
      </w:r>
    </w:p>
    <w:p>
      <w:pPr>
        <w:pStyle w:val="ListBullet"/>
      </w:pPr>
      <w:r>
        <w:t>Alert on unexpected cost, repeated 429s, provider contract failures, credential errors, queue backlog and secret-leak patterns.</w:t>
      </w:r>
    </w:p>
    <w:p>
      <w:pPr>
        <w:pStyle w:val="ListBullet"/>
      </w:pPr>
      <w:r>
        <w:t>Feature flags for new providers, routing policy versions, media capabilities and beta cohorts.</w:t>
      </w:r>
    </w:p>
    <w:p>
      <w:pPr>
        <w:pStyle w:val="ListBullet"/>
      </w:pPr>
      <w:r>
        <w:t>Incident playbooks: provider outage, pricing change, quota removal, suspected key compromise, sandbox issue, data deletion failure.</w:t>
      </w:r>
    </w:p>
    <w:p>
      <w:pPr>
        <w:pStyle w:val="Heading1"/>
      </w:pPr>
      <w:r>
        <w:t>10. Architectural decisions (ADRs)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B43C6"/>
          </w:tcPr>
          <w:p>
            <w:r>
              <w:rPr>
                <w:b/>
                <w:color w:val="FFFFFF"/>
              </w:rPr>
              <w:t>Decision</w:t>
            </w:r>
          </w:p>
        </w:tc>
        <w:tc>
          <w:tcPr>
            <w:tcW w:type="dxa" w:w="3312"/>
            <w:shd w:fill="5B43C6"/>
          </w:tcPr>
          <w:p>
            <w:r>
              <w:rPr>
                <w:b/>
                <w:color w:val="FFFFFF"/>
              </w:rPr>
              <w:t>Choice</w:t>
            </w:r>
          </w:p>
        </w:tc>
        <w:tc>
          <w:tcPr>
            <w:tcW w:type="dxa" w:w="3312"/>
            <w:shd w:fill="5B43C6"/>
          </w:tcPr>
          <w:p>
            <w:r>
              <w:rPr>
                <w:b/>
                <w:color w:val="FFFFFF"/>
              </w:rPr>
              <w:t>Reason / revisit trigger</w:t>
            </w:r>
          </w:p>
        </w:tc>
      </w:tr>
      <w:tr>
        <w:tc>
          <w:tcPr>
            <w:tcW w:type="dxa" w:w="3312"/>
          </w:tcPr>
          <w:p>
            <w:r>
              <w:t>AD-001</w:t>
            </w:r>
          </w:p>
        </w:tc>
        <w:tc>
          <w:tcPr>
            <w:tcW w:type="dxa" w:w="3312"/>
          </w:tcPr>
          <w:p>
            <w:r>
              <w:t>Modular monolith + workers first</w:t>
            </w:r>
          </w:p>
        </w:tc>
        <w:tc>
          <w:tcPr>
            <w:tcW w:type="dxa" w:w="3312"/>
          </w:tcPr>
          <w:p>
            <w:r>
              <w:t>Faster MVP and simpler ops; split modules if scaling/team boundaries require.</w:t>
            </w:r>
          </w:p>
        </w:tc>
      </w:tr>
      <w:tr>
        <w:tc>
          <w:tcPr>
            <w:tcW w:type="dxa" w:w="3312"/>
          </w:tcPr>
          <w:p>
            <w:r>
              <w:t>AD-002</w:t>
            </w:r>
          </w:p>
        </w:tc>
        <w:tc>
          <w:tcPr>
            <w:tcW w:type="dxa" w:w="3312"/>
          </w:tcPr>
          <w:p>
            <w:r>
              <w:t>Route is the unit of eligibility</w:t>
            </w:r>
          </w:p>
        </w:tc>
        <w:tc>
          <w:tcPr>
            <w:tcW w:type="dxa" w:w="3312"/>
          </w:tcPr>
          <w:p>
            <w:r>
              <w:t>Same model may have multiple providers with different economics and policies.</w:t>
            </w:r>
          </w:p>
        </w:tc>
      </w:tr>
      <w:tr>
        <w:tc>
          <w:tcPr>
            <w:tcW w:type="dxa" w:w="3312"/>
          </w:tcPr>
          <w:p>
            <w:r>
              <w:t>AD-003</w:t>
            </w:r>
          </w:p>
        </w:tc>
        <w:tc>
          <w:tcPr>
            <w:tcW w:type="dxa" w:w="3312"/>
          </w:tcPr>
          <w:p>
            <w:r>
              <w:t>Hard filters before score</w:t>
            </w:r>
          </w:p>
        </w:tc>
        <w:tc>
          <w:tcPr>
            <w:tcW w:type="dxa" w:w="3312"/>
          </w:tcPr>
          <w:p>
            <w:r>
              <w:t>Prevent cost/capability/privacy violations.</w:t>
            </w:r>
          </w:p>
        </w:tc>
      </w:tr>
      <w:tr>
        <w:tc>
          <w:tcPr>
            <w:tcW w:type="dxa" w:w="3312"/>
          </w:tcPr>
          <w:p>
            <w:r>
              <w:t>AD-004</w:t>
            </w:r>
          </w:p>
        </w:tc>
        <w:tc>
          <w:tcPr>
            <w:tcW w:type="dxa" w:w="3312"/>
          </w:tcPr>
          <w:p>
            <w:r>
              <w:t>BYOK-first public economics</w:t>
            </w:r>
          </w:p>
        </w:tc>
        <w:tc>
          <w:tcPr>
            <w:tcW w:type="dxa" w:w="3312"/>
          </w:tcPr>
          <w:p>
            <w:r>
              <w:t>Avoid unbounded inference liability; managed pool can be a separate opt-in product.</w:t>
            </w:r>
          </w:p>
        </w:tc>
      </w:tr>
      <w:tr>
        <w:tc>
          <w:tcPr>
            <w:tcW w:type="dxa" w:w="3312"/>
          </w:tcPr>
          <w:p>
            <w:r>
              <w:t>AD-005</w:t>
            </w:r>
          </w:p>
        </w:tc>
        <w:tc>
          <w:tcPr>
            <w:tcW w:type="dxa" w:w="3312"/>
          </w:tcPr>
          <w:p>
            <w:r>
              <w:t>Async media and agent jobs</w:t>
            </w:r>
          </w:p>
        </w:tc>
        <w:tc>
          <w:tcPr>
            <w:tcW w:type="dxa" w:w="3312"/>
          </w:tcPr>
          <w:p>
            <w:r>
              <w:t>Long-running tasks need polling, cancellation, retry and durable state.</w:t>
            </w:r>
          </w:p>
        </w:tc>
      </w:tr>
      <w:tr>
        <w:tc>
          <w:tcPr>
            <w:tcW w:type="dxa" w:w="3312"/>
          </w:tcPr>
          <w:p>
            <w:r>
              <w:t>AD-006</w:t>
            </w:r>
          </w:p>
        </w:tc>
        <w:tc>
          <w:tcPr>
            <w:tcW w:type="dxa" w:w="3312"/>
          </w:tcPr>
          <w:p>
            <w:r>
              <w:t>No automatic paid fallback</w:t>
            </w:r>
          </w:p>
        </w:tc>
        <w:tc>
          <w:tcPr>
            <w:tcW w:type="dxa" w:w="3312"/>
          </w:tcPr>
          <w:p>
            <w:r>
              <w:t>User trust and predictable costs.</w:t>
            </w:r>
          </w:p>
        </w:tc>
      </w:tr>
      <w:tr>
        <w:tc>
          <w:tcPr>
            <w:tcW w:type="dxa" w:w="3312"/>
          </w:tcPr>
          <w:p>
            <w:r>
              <w:t>AD-007</w:t>
            </w:r>
          </w:p>
        </w:tc>
        <w:tc>
          <w:tcPr>
            <w:tcW w:type="dxa" w:w="3312"/>
          </w:tcPr>
          <w:p>
            <w:r>
              <w:t>Provider facts require evidence timestamps</w:t>
            </w:r>
          </w:p>
        </w:tc>
        <w:tc>
          <w:tcPr>
            <w:tcW w:type="dxa" w:w="3312"/>
          </w:tcPr>
          <w:p>
            <w:r>
              <w:t>Model availability and quotas change frequently.</w:t>
            </w:r>
          </w:p>
        </w:tc>
      </w:tr>
    </w:tbl>
    <w:p/>
    <w:p>
      <w:pPr>
        <w:pStyle w:val="Heading1"/>
      </w:pPr>
      <w:r>
        <w:t>11. Phased architecture roadmap</w:t>
      </w:r>
    </w:p>
    <w:p>
      <w:pPr>
        <w:pStyle w:val="ListBullet"/>
      </w:pPr>
      <w:r>
        <w:t>MVP 0: registry, BYOK, chat, task classification, policy filters, routing, fallback, usage ledger, admin controls.</w:t>
      </w:r>
    </w:p>
    <w:p>
      <w:pPr>
        <w:pStyle w:val="ListBullet"/>
      </w:pPr>
      <w:r>
        <w:t>MVP 1: coding sandbox, repo-aware agent, tool permissions, tests, diffs and checkpoints.</w:t>
      </w:r>
    </w:p>
    <w:p>
      <w:pPr>
        <w:pStyle w:val="ListBullet"/>
      </w:pPr>
      <w:r>
        <w:t>MVP 2: image/audio/video async jobs, asset storage, per-unit cost estimation, cancellation and media-specific policy.</w:t>
      </w:r>
    </w:p>
    <w:p>
      <w:pPr>
        <w:pStyle w:val="ListBullet"/>
      </w:pPr>
      <w:r>
        <w:t>MVP 3: local runtimes, team policies, collaborative workspaces, eval marketplace, community adapters.</w:t>
      </w:r>
    </w:p>
    <w:p>
      <w:pPr>
        <w:pStyle w:val="Heading1"/>
      </w:pPr>
      <w:r>
        <w:t>Reference links and verification notes</w:t>
      </w:r>
    </w:p>
    <w:p>
      <w:r>
        <w:t>These links are starting points, not a permanent promise of access. Verify model IDs, commercial-use rights, geographic eligibility, data-retention terms, and rate limits against current official documentation before enabling each connector.</w:t>
      </w:r>
    </w:p>
    <w:p>
      <w:pPr>
        <w:pStyle w:val="ListBullet"/>
      </w:pPr>
      <w:r>
        <w:rPr>
          <w:b/>
        </w:rPr>
        <w:t xml:space="preserve">Google Gemini API pricing and free tier: </w:t>
      </w:r>
      <w:r>
        <w:t>https://ai.google.dev/gemini-api/docs/pricing</w:t>
      </w:r>
    </w:p>
    <w:p>
      <w:pPr>
        <w:pStyle w:val="ListBullet"/>
      </w:pPr>
      <w:r>
        <w:rPr>
          <w:b/>
        </w:rPr>
        <w:t xml:space="preserve">DeepSeek API pricing and model capabilities: </w:t>
      </w:r>
      <w:r>
        <w:t>https://api-docs.deepseek.com/quick_start/pricing/</w:t>
      </w:r>
    </w:p>
    <w:p>
      <w:pPr>
        <w:pStyle w:val="ListBullet"/>
      </w:pPr>
      <w:r>
        <w:rPr>
          <w:b/>
        </w:rPr>
        <w:t xml:space="preserve">OpenRouter free models: </w:t>
      </w:r>
      <w:r>
        <w:t>https://openrouter.ai/collections/free-models</w:t>
      </w:r>
    </w:p>
    <w:p>
      <w:pPr>
        <w:pStyle w:val="ListBullet"/>
      </w:pPr>
      <w:r>
        <w:rPr>
          <w:b/>
        </w:rPr>
        <w:t xml:space="preserve">OpenRouter model catalogue and routing: </w:t>
      </w:r>
      <w:r>
        <w:t>https://openrouter.ai/openrouter</w:t>
      </w:r>
    </w:p>
    <w:p>
      <w:pPr>
        <w:pStyle w:val="ListBullet"/>
      </w:pPr>
      <w:r>
        <w:rPr>
          <w:b/>
        </w:rPr>
        <w:t xml:space="preserve">Hugging Face Inference Providers: </w:t>
      </w:r>
      <w:r>
        <w:t>https://huggingface.co/docs/inference-providers/index</w:t>
      </w:r>
    </w:p>
    <w:p>
      <w:pPr>
        <w:pStyle w:val="ListBullet"/>
      </w:pPr>
      <w:r>
        <w:rPr>
          <w:b/>
        </w:rPr>
        <w:t xml:space="preserve">Hugging Face Inference Providers pricing: </w:t>
      </w:r>
      <w:r>
        <w:t>https://huggingface.co/docs/inference-providers/pricing</w:t>
      </w:r>
    </w:p>
    <w:p>
      <w:pPr>
        <w:pStyle w:val="ListBullet"/>
      </w:pPr>
      <w:r>
        <w:rPr>
          <w:b/>
        </w:rPr>
        <w:t xml:space="preserve">OpenAI API pricing: </w:t>
      </w:r>
      <w:r>
        <w:t>https://developers.openai.com/api/docs/pricing</w:t>
      </w:r>
    </w:p>
    <w:p>
      <w:pPr>
        <w:pStyle w:val="ListBullet"/>
      </w:pPr>
      <w:r>
        <w:rPr>
          <w:b/>
        </w:rPr>
        <w:t xml:space="preserve">Qwen Code authentication and provider notes: </w:t>
      </w:r>
      <w:r>
        <w:t>https://qwenlm.github.io/qwen-code-docs/en/users/configuration/auth/</w:t>
      </w:r>
    </w:p>
    <w:p>
      <w:pPr>
        <w:pStyle w:val="ListBullet"/>
      </w:pPr>
      <w:r>
        <w:rPr>
          <w:b/>
        </w:rPr>
        <w:t xml:space="preserve">MiniMax official GitHub / API access overview: </w:t>
      </w:r>
      <w:r>
        <w:t>https://github.com/MiniMax-AI/MiniMax</w:t>
      </w:r>
    </w:p>
    <w:p>
      <w:pPr>
        <w:pStyle w:val="ListBullet"/>
      </w:pPr>
      <w:r>
        <w:rPr>
          <w:b/>
        </w:rPr>
        <w:t xml:space="preserve">Kling AI official GitHub / API access overview: </w:t>
      </w:r>
      <w:r>
        <w:t>https://github.com/klingai-official/Kling-AI</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working draft  •  27 October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5D82"/>
        <w:sz w:val="16"/>
      </w:rPr>
      <w:t>SHAZAM AI  /  PRODUCT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11B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43C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11B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11B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