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Dialogue Summarization</w:t>
      </w:r>
    </w:p>
    <w:p>
      <w:pPr>
        <w:jc w:val="center"/>
      </w:pPr>
      <w:r>
        <w:rPr>
          <w:b/>
          <w:sz w:val="46"/>
        </w:rPr>
        <w:t>using LoRA Fine-Tuning</w:t>
      </w:r>
    </w:p>
    <w:p>
      <w:pPr>
        <w:jc w:val="center"/>
      </w:pPr>
      <w:r>
        <w:rPr>
          <w:sz w:val="22"/>
        </w:rPr>
        <w:br/>
        <w:t>Prepared By: Person</w:t>
        <w:br/>
        <w:t>Date: Date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b/>
                <w:sz w:val="19"/>
              </w:rPr>
              <w:t>Project</w:t>
            </w:r>
          </w:p>
        </w:tc>
        <w:tc>
          <w:tcPr>
            <w:tcW w:type="dxa" w:w="4968"/>
            <w:vAlign w:val="center"/>
            <w:shd w:fill="EAF0F6"/>
          </w:tcPr>
          <w:p>
            <w:r/>
            <w:r>
              <w:rPr>
                <w:b/>
                <w:sz w:val="19"/>
              </w:rPr>
              <w:t>Detail</w:t>
            </w:r>
          </w:p>
        </w:tc>
      </w:tr>
      <w:tr>
        <w:tc>
          <w:tcPr>
            <w:tcW w:type="dxa" w:w="4968"/>
            <w:vAlign w:val="center"/>
          </w:tcPr>
          <w:p>
            <w:r/>
            <w:r>
              <w:rPr>
                <w:b w:val="0"/>
                <w:sz w:val="19"/>
              </w:rPr>
              <w:t>Objective</w:t>
            </w:r>
          </w:p>
        </w:tc>
        <w:tc>
          <w:tcPr>
            <w:tcW w:type="dxa" w:w="4968"/>
            <w:vAlign w:val="center"/>
          </w:tcPr>
          <w:p>
            <w:r/>
            <w:r>
              <w:rPr>
                <w:b w:val="0"/>
                <w:sz w:val="19"/>
              </w:rPr>
              <w:t>Explore domain-specific fine-tuning of Qwen2.5-7B-Instruct using LoRA on a dialogue summarization dataset.</w:t>
            </w:r>
          </w:p>
        </w:tc>
      </w:tr>
      <w:tr>
        <w:tc>
          <w:tcPr>
            <w:tcW w:type="dxa" w:w="4968"/>
            <w:vAlign w:val="center"/>
          </w:tcPr>
          <w:p>
            <w:r/>
            <w:r>
              <w:rPr>
                <w:b w:val="0"/>
                <w:sz w:val="19"/>
              </w:rPr>
              <w:t>Domain</w:t>
            </w:r>
          </w:p>
        </w:tc>
        <w:tc>
          <w:tcPr>
            <w:tcW w:type="dxa" w:w="4968"/>
            <w:vAlign w:val="center"/>
          </w:tcPr>
          <w:p>
            <w:r/>
            <w:r>
              <w:rPr>
                <w:b w:val="0"/>
                <w:sz w:val="19"/>
              </w:rPr>
              <w:t>English Dialogue Summarization</w:t>
            </w:r>
          </w:p>
        </w:tc>
      </w:tr>
      <w:tr>
        <w:tc>
          <w:tcPr>
            <w:tcW w:type="dxa" w:w="4968"/>
            <w:vAlign w:val="center"/>
          </w:tcPr>
          <w:p>
            <w:r/>
            <w:r>
              <w:rPr>
                <w:b w:val="0"/>
                <w:sz w:val="19"/>
              </w:rPr>
              <w:t>Base Model</w:t>
            </w:r>
          </w:p>
        </w:tc>
        <w:tc>
          <w:tcPr>
            <w:tcW w:type="dxa" w:w="4968"/>
            <w:vAlign w:val="center"/>
          </w:tcPr>
          <w:p>
            <w:r/>
            <w:r>
              <w:rPr>
                <w:b w:val="0"/>
                <w:sz w:val="19"/>
              </w:rPr>
              <w:t>Qwen2.5-7B-Instruct</w:t>
            </w:r>
          </w:p>
        </w:tc>
      </w:tr>
      <w:tr>
        <w:tc>
          <w:tcPr>
            <w:tcW w:type="dxa" w:w="4968"/>
            <w:vAlign w:val="center"/>
          </w:tcPr>
          <w:p>
            <w:r/>
            <w:r>
              <w:rPr>
                <w:b w:val="0"/>
                <w:sz w:val="19"/>
              </w:rPr>
              <w:t>Dataset</w:t>
            </w:r>
          </w:p>
        </w:tc>
        <w:tc>
          <w:tcPr>
            <w:tcW w:type="dxa" w:w="4968"/>
            <w:vAlign w:val="center"/>
          </w:tcPr>
          <w:p>
            <w:r/>
            <w:r>
              <w:rPr>
                <w:b w:val="0"/>
                <w:sz w:val="19"/>
              </w:rPr>
              <w:t>SAMSum (knkarthick/samsum)</w:t>
            </w:r>
          </w:p>
        </w:tc>
      </w:tr>
      <w:tr>
        <w:tc>
          <w:tcPr>
            <w:tcW w:type="dxa" w:w="4968"/>
            <w:vAlign w:val="center"/>
          </w:tcPr>
          <w:p>
            <w:r/>
            <w:r>
              <w:rPr>
                <w:b w:val="0"/>
                <w:sz w:val="19"/>
              </w:rPr>
              <w:t>Method</w:t>
            </w:r>
          </w:p>
        </w:tc>
        <w:tc>
          <w:tcPr>
            <w:tcW w:type="dxa" w:w="4968"/>
            <w:vAlign w:val="center"/>
          </w:tcPr>
          <w:p>
            <w:r/>
            <w:r>
              <w:rPr>
                <w:b w:val="0"/>
                <w:sz w:val="19"/>
              </w:rPr>
              <w:t>LoRA with 4-bit quantization (QLoRA-style setup)</w:t>
            </w:r>
          </w:p>
        </w:tc>
      </w:tr>
      <w:tr>
        <w:tc>
          <w:tcPr>
            <w:tcW w:type="dxa" w:w="4968"/>
            <w:vAlign w:val="center"/>
          </w:tcPr>
          <w:p>
            <w:r/>
            <w:r>
              <w:rPr>
                <w:b w:val="0"/>
                <w:sz w:val="19"/>
              </w:rPr>
              <w:t>Platform</w:t>
            </w:r>
          </w:p>
        </w:tc>
        <w:tc>
          <w:tcPr>
            <w:tcW w:type="dxa" w:w="4968"/>
            <w:vAlign w:val="center"/>
          </w:tcPr>
          <w:p>
            <w:r/>
            <w:r>
              <w:rPr>
                <w:b w:val="0"/>
                <w:sz w:val="19"/>
              </w:rPr>
              <w:t>Google Colab + NVIDIA GPU</w:t>
            </w:r>
          </w:p>
        </w:tc>
      </w:tr>
    </w:tbl>
    <w:p>
      <w:pPr>
        <w:pStyle w:val="Heading1"/>
      </w:pPr>
      <w:r>
        <w:t>Project Workflow</w:t>
      </w:r>
    </w:p>
    <w:p>
      <w:pPr>
        <w:pStyle w:val="ListNumber"/>
      </w:pPr>
      <w:r>
        <w:t>SAMSum Dialogue Dataset</w:t>
      </w:r>
    </w:p>
    <w:p>
      <w:pPr>
        <w:pStyle w:val="ListNumber"/>
      </w:pPr>
      <w:r>
        <w:t>5,000 Training Examples</w:t>
      </w:r>
    </w:p>
    <w:p>
      <w:pPr>
        <w:pStyle w:val="ListNumber"/>
      </w:pPr>
      <w:r>
        <w:t>Dialogue-Summary Data Formatting</w:t>
      </w:r>
    </w:p>
    <w:p>
      <w:pPr>
        <w:pStyle w:val="ListNumber"/>
      </w:pPr>
      <w:r>
        <w:t>Qwen2.5-7B-Instruct Base Model Selection</w:t>
      </w:r>
    </w:p>
    <w:p>
      <w:pPr>
        <w:pStyle w:val="ListNumber"/>
      </w:pPr>
      <w:r>
        <w:t>4-bit Loading Configuration</w:t>
      </w:r>
    </w:p>
    <w:p>
      <w:pPr>
        <w:pStyle w:val="ListNumber"/>
      </w:pPr>
      <w:r>
        <w:t>LoRA Adapters Integration</w:t>
      </w:r>
    </w:p>
    <w:p>
      <w:pPr>
        <w:pStyle w:val="ListNumber"/>
      </w:pPr>
      <w:r>
        <w:t>60-Step Fine-Tuning Execution</w:t>
      </w:r>
    </w:p>
    <w:p>
      <w:pPr>
        <w:pStyle w:val="ListNumber"/>
      </w:pPr>
      <w:r>
        <w:t>Dialogue Summarization Inference</w:t>
      </w:r>
    </w:p>
    <w:p>
      <w:pPr>
        <w:pStyle w:val="ListNumber"/>
      </w:pPr>
      <w:r>
        <w:t>Qualitative Evaluation</w:t>
      </w:r>
    </w:p>
    <w:p>
      <w:pPr>
        <w:pStyle w:val="ListNumber"/>
      </w:pPr>
      <w:r>
        <w:t>Before vs. After Comparison</w:t>
      </w:r>
    </w:p>
    <w:p>
      <w:r>
        <w:br w:type="page"/>
      </w:r>
    </w:p>
    <w:p>
      <w:pPr>
        <w:pStyle w:val="Heading1"/>
      </w:pPr>
      <w:r>
        <w:t>1. Introduction</w:t>
      </w:r>
    </w:p>
    <w:p>
      <w:r>
        <w:t>Large Language Models (LLMs) are powerful tools trained on broad, general-purpose datasets. However, domain- and task-specific adaptation can help a model follow a consistent output style for specialized applications. Dialogue summarization is a useful natural-language processing task in which a multi-speaker conversation is converted into a concise summary containing the important events, decisions, and actions.</w:t>
      </w:r>
    </w:p>
    <w:p>
      <w:r>
        <w:t>This project explores the use of Low-Rank Adaptation (LoRA), a parameter-efficient fine-tuning technique, to adapt the Qwen2.5-7B-Instruct model to dialogue summarization using the SAMSum dataset. The final model is tested on new conversations and compared qualitatively with the original base model.</w:t>
      </w:r>
    </w:p>
    <w:p>
      <w:pPr>
        <w:pStyle w:val="Heading1"/>
      </w:pPr>
      <w:r>
        <w:t>2. Problem Statement</w:t>
      </w:r>
    </w:p>
    <w:p>
      <w:r>
        <w:t>General-purpose LLMs can summarize conversations, but their outputs may vary in length, structure, and focus. A dialogue summarization model should preserve the central facts while avoiding unnecessary conversational detail.</w:t>
      </w:r>
    </w:p>
    <w:p>
      <w:r>
        <w:t>Full fine-tuning of a 7-billion-parameter model can be computationally expensive and memory-intensive. This project investigates whether LoRA can efficiently adapt Qwen2.5-7B-Instruct to a dialogue summarization task while keeping the training setup practical for a Colab GPU.</w:t>
      </w:r>
    </w:p>
    <w:p>
      <w:pPr>
        <w:pStyle w:val="Heading1"/>
      </w:pPr>
      <w:r>
        <w:t>3. Dataset</w:t>
      </w:r>
    </w:p>
    <w:p>
      <w:r>
        <w:t>The project uses the SAMSum Corpus, represented in Hugging Face as `knkarthick/samsum`. The dataset contains messenger-style conversations paired with human-written summaries.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b/>
                <w:sz w:val="19"/>
              </w:rPr>
              <w:t>Property</w:t>
            </w:r>
          </w:p>
        </w:tc>
        <w:tc>
          <w:tcPr>
            <w:tcW w:type="dxa" w:w="4968"/>
            <w:vAlign w:val="center"/>
            <w:shd w:fill="EAF0F6"/>
          </w:tcPr>
          <w:p>
            <w:r/>
            <w:r>
              <w:rPr>
                <w:b/>
                <w:sz w:val="19"/>
              </w:rPr>
              <w:t>Details</w:t>
            </w:r>
          </w:p>
        </w:tc>
      </w:tr>
      <w:tr>
        <w:tc>
          <w:tcPr>
            <w:tcW w:type="dxa" w:w="4968"/>
            <w:vAlign w:val="center"/>
          </w:tcPr>
          <w:p>
            <w:r/>
            <w:r>
              <w:rPr>
                <w:b w:val="0"/>
                <w:sz w:val="19"/>
              </w:rPr>
              <w:t>Dataset</w:t>
            </w:r>
          </w:p>
        </w:tc>
        <w:tc>
          <w:tcPr>
            <w:tcW w:type="dxa" w:w="4968"/>
            <w:vAlign w:val="center"/>
          </w:tcPr>
          <w:p>
            <w:r/>
            <w:r>
              <w:rPr>
                <w:b w:val="0"/>
                <w:sz w:val="19"/>
              </w:rPr>
              <w:t>SAMSum</w:t>
            </w:r>
          </w:p>
        </w:tc>
      </w:tr>
      <w:tr>
        <w:tc>
          <w:tcPr>
            <w:tcW w:type="dxa" w:w="4968"/>
            <w:vAlign w:val="center"/>
          </w:tcPr>
          <w:p>
            <w:r/>
            <w:r>
              <w:rPr>
                <w:b w:val="0"/>
                <w:sz w:val="19"/>
              </w:rPr>
              <w:t>Dataset Identifier</w:t>
            </w:r>
          </w:p>
        </w:tc>
        <w:tc>
          <w:tcPr>
            <w:tcW w:type="dxa" w:w="4968"/>
            <w:vAlign w:val="center"/>
          </w:tcPr>
          <w:p>
            <w:r/>
            <w:r>
              <w:rPr>
                <w:b w:val="0"/>
                <w:sz w:val="19"/>
              </w:rPr>
              <w:t>knkarthick/samsum</w:t>
            </w:r>
          </w:p>
        </w:tc>
      </w:tr>
      <w:tr>
        <w:tc>
          <w:tcPr>
            <w:tcW w:type="dxa" w:w="4968"/>
            <w:vAlign w:val="center"/>
          </w:tcPr>
          <w:p>
            <w:r/>
            <w:r>
              <w:rPr>
                <w:b w:val="0"/>
                <w:sz w:val="19"/>
              </w:rPr>
              <w:t>Primary Fields</w:t>
            </w:r>
          </w:p>
        </w:tc>
        <w:tc>
          <w:tcPr>
            <w:tcW w:type="dxa" w:w="4968"/>
            <w:vAlign w:val="center"/>
          </w:tcPr>
          <w:p>
            <w:r/>
            <w:r>
              <w:rPr>
                <w:b w:val="0"/>
                <w:sz w:val="19"/>
              </w:rPr>
              <w:t>dialogue, summary, id</w:t>
            </w:r>
          </w:p>
        </w:tc>
      </w:tr>
      <w:tr>
        <w:tc>
          <w:tcPr>
            <w:tcW w:type="dxa" w:w="4968"/>
            <w:vAlign w:val="center"/>
          </w:tcPr>
          <w:p>
            <w:r/>
            <w:r>
              <w:rPr>
                <w:b w:val="0"/>
                <w:sz w:val="19"/>
              </w:rPr>
              <w:t>Training Subset</w:t>
            </w:r>
          </w:p>
        </w:tc>
        <w:tc>
          <w:tcPr>
            <w:tcW w:type="dxa" w:w="4968"/>
            <w:vAlign w:val="center"/>
          </w:tcPr>
          <w:p>
            <w:r/>
            <w:r>
              <w:rPr>
                <w:b w:val="0"/>
                <w:sz w:val="19"/>
              </w:rPr>
              <w:t>5,000 examples</w:t>
            </w:r>
          </w:p>
        </w:tc>
      </w:tr>
      <w:tr>
        <w:tc>
          <w:tcPr>
            <w:tcW w:type="dxa" w:w="4968"/>
            <w:vAlign w:val="center"/>
          </w:tcPr>
          <w:p>
            <w:r/>
            <w:r>
              <w:rPr>
                <w:b w:val="0"/>
                <w:sz w:val="19"/>
              </w:rPr>
              <w:t>Domain</w:t>
            </w:r>
          </w:p>
        </w:tc>
        <w:tc>
          <w:tcPr>
            <w:tcW w:type="dxa" w:w="4968"/>
            <w:vAlign w:val="center"/>
          </w:tcPr>
          <w:p>
            <w:r/>
            <w:r>
              <w:rPr>
                <w:b w:val="0"/>
                <w:sz w:val="19"/>
              </w:rPr>
              <w:t>English Dialogue Summarization</w:t>
            </w:r>
          </w:p>
        </w:tc>
      </w:tr>
    </w:tbl>
    <w:p>
      <w:pPr>
        <w:pStyle w:val="ListBullet"/>
      </w:pPr>
      <w:r>
        <w:t>Dialogue: the multi-speaker conversation.</w:t>
      </w:r>
    </w:p>
    <w:p>
      <w:pPr>
        <w:pStyle w:val="ListBullet"/>
      </w:pPr>
      <w:r>
        <w:t>Summary: the corresponding human-written reference summary.</w:t>
      </w:r>
    </w:p>
    <w:p>
      <w:pPr>
        <w:pStyle w:val="ListBullet"/>
      </w:pPr>
      <w:r>
        <w:t>The training split is shuffled with seed 3407 before selecting 5,000 examples.</w:t>
      </w:r>
    </w:p>
    <w:p>
      <w:r>
        <w:t>The 5,000-example subset is used to keep the initial experiment manageable on a Colab GPU. This is an experimental subset rather than the complete dataset.</w:t>
      </w:r>
    </w:p>
    <w:p>
      <w:r>
        <w:br w:type="page"/>
      </w:r>
    </w:p>
    <w:p>
      <w:pPr>
        <w:pStyle w:val="Heading1"/>
      </w:pPr>
      <w:r>
        <w:t>4. Dataset Preparation</w:t>
      </w:r>
    </w:p>
    <w:p>
      <w:r>
        <w:t>The data is formatted into a consistent instruction-response structure. Each training example asks the model to summarize a conversation in third person.</w:t>
      </w:r>
    </w:p>
    <w:p>
      <w:r>
        <w:rPr>
          <w:b/>
        </w:rPr>
        <w:t>Training format:</w:t>
      </w:r>
    </w:p>
    <w:p>
      <w:r>
        <w:t>Below is a conversation between multiple people.</w:t>
        <w:br/>
        <w:t>Provide a concise and informative summary in third person.</w:t>
        <w:br/>
        <w:br/>
        <w:t>### Conversation:</w:t>
        <w:br/>
        <w:t>[Dialogue]</w:t>
        <w:br/>
        <w:br/>
        <w:t>### Summary:</w:t>
        <w:br/>
        <w:t>[Reference Summary]</w:t>
      </w:r>
    </w:p>
    <w:p>
      <w:r>
        <w:t>The resulting formatted examples are stored in a single text field for supervised fine-tuning.</w:t>
      </w:r>
    </w:p>
    <w:p>
      <w:pPr>
        <w:pStyle w:val="Heading1"/>
      </w:pPr>
      <w:r>
        <w:t>5. Model and Training Configuration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b/>
                <w:sz w:val="19"/>
              </w:rPr>
              <w:t>Parameter</w:t>
            </w:r>
          </w:p>
        </w:tc>
        <w:tc>
          <w:tcPr>
            <w:tcW w:type="dxa" w:w="4968"/>
            <w:vAlign w:val="center"/>
            <w:shd w:fill="EAF0F6"/>
          </w:tcPr>
          <w:p>
            <w:r/>
            <w:r>
              <w:rPr>
                <w:b/>
                <w:sz w:val="19"/>
              </w:rPr>
              <w:t>Value</w:t>
            </w:r>
          </w:p>
        </w:tc>
      </w:tr>
      <w:tr>
        <w:tc>
          <w:tcPr>
            <w:tcW w:type="dxa" w:w="4968"/>
            <w:vAlign w:val="center"/>
          </w:tcPr>
          <w:p>
            <w:r/>
            <w:r>
              <w:rPr>
                <w:b w:val="0"/>
                <w:sz w:val="19"/>
              </w:rPr>
              <w:t>Base Model</w:t>
            </w:r>
          </w:p>
        </w:tc>
        <w:tc>
          <w:tcPr>
            <w:tcW w:type="dxa" w:w="4968"/>
            <w:vAlign w:val="center"/>
          </w:tcPr>
          <w:p>
            <w:r/>
            <w:r>
              <w:rPr>
                <w:b w:val="0"/>
                <w:sz w:val="19"/>
              </w:rPr>
              <w:t>Qwen2.5-7B-Instruct</w:t>
            </w:r>
          </w:p>
        </w:tc>
      </w:tr>
      <w:tr>
        <w:tc>
          <w:tcPr>
            <w:tcW w:type="dxa" w:w="4968"/>
            <w:vAlign w:val="center"/>
          </w:tcPr>
          <w:p>
            <w:r/>
            <w:r>
              <w:rPr>
                <w:b w:val="0"/>
                <w:sz w:val="19"/>
              </w:rPr>
              <w:t>Quantization</w:t>
            </w:r>
          </w:p>
        </w:tc>
        <w:tc>
          <w:tcPr>
            <w:tcW w:type="dxa" w:w="4968"/>
            <w:vAlign w:val="center"/>
          </w:tcPr>
          <w:p>
            <w:r/>
            <w:r>
              <w:rPr>
                <w:b w:val="0"/>
                <w:sz w:val="19"/>
              </w:rPr>
              <w:t>4-bit</w:t>
            </w:r>
          </w:p>
        </w:tc>
      </w:tr>
      <w:tr>
        <w:tc>
          <w:tcPr>
            <w:tcW w:type="dxa" w:w="4968"/>
            <w:vAlign w:val="center"/>
          </w:tcPr>
          <w:p>
            <w:r/>
            <w:r>
              <w:rPr>
                <w:b w:val="0"/>
                <w:sz w:val="19"/>
              </w:rPr>
              <w:t>Maximum Sequence Length</w:t>
            </w:r>
          </w:p>
        </w:tc>
        <w:tc>
          <w:tcPr>
            <w:tcW w:type="dxa" w:w="4968"/>
            <w:vAlign w:val="center"/>
          </w:tcPr>
          <w:p>
            <w:r/>
            <w:r>
              <w:rPr>
                <w:b w:val="0"/>
                <w:sz w:val="19"/>
              </w:rPr>
              <w:t>2048</w:t>
            </w:r>
          </w:p>
        </w:tc>
      </w:tr>
      <w:tr>
        <w:tc>
          <w:tcPr>
            <w:tcW w:type="dxa" w:w="4968"/>
            <w:vAlign w:val="center"/>
          </w:tcPr>
          <w:p>
            <w:r/>
            <w:r>
              <w:rPr>
                <w:b w:val="0"/>
                <w:sz w:val="19"/>
              </w:rPr>
              <w:t>LoRA Rank (r)</w:t>
            </w:r>
          </w:p>
        </w:tc>
        <w:tc>
          <w:tcPr>
            <w:tcW w:type="dxa" w:w="4968"/>
            <w:vAlign w:val="center"/>
          </w:tcPr>
          <w:p>
            <w:r/>
            <w:r>
              <w:rPr>
                <w:b w:val="0"/>
                <w:sz w:val="19"/>
              </w:rPr>
              <w:t>16</w:t>
            </w:r>
          </w:p>
        </w:tc>
      </w:tr>
      <w:tr>
        <w:tc>
          <w:tcPr>
            <w:tcW w:type="dxa" w:w="4968"/>
            <w:vAlign w:val="center"/>
          </w:tcPr>
          <w:p>
            <w:r/>
            <w:r>
              <w:rPr>
                <w:b w:val="0"/>
                <w:sz w:val="19"/>
              </w:rPr>
              <w:t>LoRA Alpha</w:t>
            </w:r>
          </w:p>
        </w:tc>
        <w:tc>
          <w:tcPr>
            <w:tcW w:type="dxa" w:w="4968"/>
            <w:vAlign w:val="center"/>
          </w:tcPr>
          <w:p>
            <w:r/>
            <w:r>
              <w:rPr>
                <w:b w:val="0"/>
                <w:sz w:val="19"/>
              </w:rPr>
              <w:t>16</w:t>
            </w:r>
          </w:p>
        </w:tc>
      </w:tr>
      <w:tr>
        <w:tc>
          <w:tcPr>
            <w:tcW w:type="dxa" w:w="4968"/>
            <w:vAlign w:val="center"/>
          </w:tcPr>
          <w:p>
            <w:r/>
            <w:r>
              <w:rPr>
                <w:b w:val="0"/>
                <w:sz w:val="19"/>
              </w:rPr>
              <w:t>LoRA Dropout</w:t>
            </w:r>
          </w:p>
        </w:tc>
        <w:tc>
          <w:tcPr>
            <w:tcW w:type="dxa" w:w="4968"/>
            <w:vAlign w:val="center"/>
          </w:tcPr>
          <w:p>
            <w:r/>
            <w:r>
              <w:rPr>
                <w:b w:val="0"/>
                <w:sz w:val="19"/>
              </w:rPr>
              <w:t>0</w:t>
            </w:r>
          </w:p>
        </w:tc>
      </w:tr>
      <w:tr>
        <w:tc>
          <w:tcPr>
            <w:tcW w:type="dxa" w:w="4968"/>
            <w:vAlign w:val="center"/>
          </w:tcPr>
          <w:p>
            <w:r/>
            <w:r>
              <w:rPr>
                <w:b w:val="0"/>
                <w:sz w:val="19"/>
              </w:rPr>
              <w:t>Training Examples</w:t>
            </w:r>
          </w:p>
        </w:tc>
        <w:tc>
          <w:tcPr>
            <w:tcW w:type="dxa" w:w="4968"/>
            <w:vAlign w:val="center"/>
          </w:tcPr>
          <w:p>
            <w:r/>
            <w:r>
              <w:rPr>
                <w:b w:val="0"/>
                <w:sz w:val="19"/>
              </w:rPr>
              <w:t>5,000</w:t>
            </w:r>
          </w:p>
        </w:tc>
      </w:tr>
      <w:tr>
        <w:tc>
          <w:tcPr>
            <w:tcW w:type="dxa" w:w="4968"/>
            <w:vAlign w:val="center"/>
          </w:tcPr>
          <w:p>
            <w:r/>
            <w:r>
              <w:rPr>
                <w:b w:val="0"/>
                <w:sz w:val="19"/>
              </w:rPr>
              <w:t>Training Steps</w:t>
            </w:r>
          </w:p>
        </w:tc>
        <w:tc>
          <w:tcPr>
            <w:tcW w:type="dxa" w:w="4968"/>
            <w:vAlign w:val="center"/>
          </w:tcPr>
          <w:p>
            <w:r/>
            <w:r>
              <w:rPr>
                <w:b w:val="0"/>
                <w:sz w:val="19"/>
              </w:rPr>
              <w:t>60</w:t>
            </w:r>
          </w:p>
        </w:tc>
      </w:tr>
      <w:tr>
        <w:tc>
          <w:tcPr>
            <w:tcW w:type="dxa" w:w="4968"/>
            <w:vAlign w:val="center"/>
          </w:tcPr>
          <w:p>
            <w:r/>
            <w:r>
              <w:rPr>
                <w:b w:val="0"/>
                <w:sz w:val="19"/>
              </w:rPr>
              <w:t>Optimizer</w:t>
            </w:r>
          </w:p>
        </w:tc>
        <w:tc>
          <w:tcPr>
            <w:tcW w:type="dxa" w:w="4968"/>
            <w:vAlign w:val="center"/>
          </w:tcPr>
          <w:p>
            <w:r/>
            <w:r>
              <w:rPr>
                <w:b w:val="0"/>
                <w:sz w:val="19"/>
              </w:rPr>
              <w:t>AdamW 8-bit</w:t>
            </w:r>
          </w:p>
        </w:tc>
      </w:tr>
      <w:tr>
        <w:tc>
          <w:tcPr>
            <w:tcW w:type="dxa" w:w="4968"/>
            <w:vAlign w:val="center"/>
          </w:tcPr>
          <w:p>
            <w:r/>
            <w:r>
              <w:rPr>
                <w:b w:val="0"/>
                <w:sz w:val="19"/>
              </w:rPr>
              <w:t>Learning Rate</w:t>
            </w:r>
          </w:p>
        </w:tc>
        <w:tc>
          <w:tcPr>
            <w:tcW w:type="dxa" w:w="4968"/>
            <w:vAlign w:val="center"/>
          </w:tcPr>
          <w:p>
            <w:r/>
            <w:r>
              <w:rPr>
                <w:b w:val="0"/>
                <w:sz w:val="19"/>
              </w:rPr>
              <w:t>2e-4</w:t>
            </w:r>
          </w:p>
        </w:tc>
      </w:tr>
      <w:tr>
        <w:tc>
          <w:tcPr>
            <w:tcW w:type="dxa" w:w="4968"/>
            <w:vAlign w:val="center"/>
          </w:tcPr>
          <w:p>
            <w:r/>
            <w:r>
              <w:rPr>
                <w:b w:val="0"/>
                <w:sz w:val="19"/>
              </w:rPr>
              <w:t>Gradient Accumulation</w:t>
            </w:r>
          </w:p>
        </w:tc>
        <w:tc>
          <w:tcPr>
            <w:tcW w:type="dxa" w:w="4968"/>
            <w:vAlign w:val="center"/>
          </w:tcPr>
          <w:p>
            <w:r/>
            <w:r>
              <w:rPr>
                <w:b w:val="0"/>
                <w:sz w:val="19"/>
              </w:rPr>
              <w:t>4</w:t>
            </w:r>
          </w:p>
        </w:tc>
      </w:tr>
      <w:tr>
        <w:tc>
          <w:tcPr>
            <w:tcW w:type="dxa" w:w="4968"/>
            <w:vAlign w:val="center"/>
          </w:tcPr>
          <w:p>
            <w:r/>
            <w:r>
              <w:rPr>
                <w:b w:val="0"/>
                <w:sz w:val="19"/>
              </w:rPr>
              <w:t>Random Seed</w:t>
            </w:r>
          </w:p>
        </w:tc>
        <w:tc>
          <w:tcPr>
            <w:tcW w:type="dxa" w:w="4968"/>
            <w:vAlign w:val="center"/>
          </w:tcPr>
          <w:p>
            <w:r/>
            <w:r>
              <w:rPr>
                <w:b w:val="0"/>
                <w:sz w:val="19"/>
              </w:rPr>
              <w:t>3407</w:t>
            </w:r>
          </w:p>
        </w:tc>
      </w:tr>
    </w:tbl>
    <w:p>
      <w:r>
        <w:t>LoRA adds small trainable adapter matrices to selected transformer projection layers instead of updating all base-model parameters. The target modules used in the training configuration are q_proj, k_proj, v_proj, o_proj, gate_proj, up_proj, and down_proj. 4-bit model loading is used to reduce GPU memory requirements.</w:t>
      </w:r>
    </w:p>
    <w:p>
      <w:pPr>
        <w:pStyle w:val="Heading1"/>
      </w:pPr>
      <w:r>
        <w:t>6. Training</w:t>
      </w:r>
    </w:p>
    <w:p>
      <w:r>
        <w:t>The initial experiment uses 60 training steps. This short run is intended to demonstrate the complete fine-tuning pipeline: dataset preparation, model loading, adapter integration, supervised training, inference, and adapter saving.</w:t>
      </w:r>
    </w:p>
    <w:p>
      <w:pPr>
        <w:pStyle w:val="ListBullet"/>
      </w:pPr>
      <w:r>
        <w:t>Training steps: 60</w:t>
      </w:r>
    </w:p>
    <w:p>
      <w:pPr>
        <w:pStyle w:val="ListBullet"/>
      </w:pPr>
      <w:r>
        <w:t>Training subset: 5,000 examples</w:t>
      </w:r>
    </w:p>
    <w:p>
      <w:pPr>
        <w:pStyle w:val="ListBullet"/>
      </w:pPr>
      <w:r>
        <w:t>Quantized model: 4-bit</w:t>
      </w:r>
    </w:p>
    <w:p>
      <w:pPr>
        <w:pStyle w:val="ListBullet"/>
      </w:pPr>
      <w:r>
        <w:t>LoRA adapter: trained while the base model remains largely frozen</w:t>
      </w:r>
    </w:p>
    <w:p>
      <w:r>
        <w:t>Because this report is based on a short experimental run, training loss alone should not be interpreted as a final measure of summarization quality.</w:t>
      </w:r>
    </w:p>
    <w:p>
      <w:r>
        <w:br w:type="page"/>
      </w:r>
    </w:p>
    <w:p>
      <w:pPr>
        <w:pStyle w:val="Heading1"/>
      </w:pPr>
      <w:r>
        <w:t>7. Model Evaluation</w:t>
      </w:r>
    </w:p>
    <w:p>
      <w:r>
        <w:t>The fine-tuned model is evaluated on several new conversations that are separate from the selected 5,000 training examples. The evaluation focuses on whether the generated summaries identify the main topic, actions, decisions, and important details while remaining concise.</w:t>
      </w:r>
    </w:p>
    <w:p>
      <w:pPr>
        <w:pStyle w:val="Heading2"/>
      </w:pPr>
      <w:r>
        <w:t>Evaluation Conversations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b/>
                <w:sz w:val="19"/>
              </w:rPr>
              <w:t>Test</w:t>
            </w:r>
          </w:p>
        </w:tc>
        <w:tc>
          <w:tcPr>
            <w:tcW w:type="dxa" w:w="4968"/>
            <w:vAlign w:val="center"/>
            <w:shd w:fill="EAF0F6"/>
          </w:tcPr>
          <w:p>
            <w:r/>
            <w:r>
              <w:rPr>
                <w:b/>
                <w:sz w:val="19"/>
              </w:rPr>
              <w:t>Conversation Focus</w:t>
            </w:r>
          </w:p>
        </w:tc>
      </w:tr>
      <w:tr>
        <w:tc>
          <w:tcPr>
            <w:tcW w:type="dxa" w:w="4968"/>
            <w:vAlign w:val="center"/>
          </w:tcPr>
          <w:p>
            <w:r/>
            <w:r>
              <w:rPr>
                <w:b w:val="0"/>
                <w:sz w:val="19"/>
              </w:rPr>
              <w:t>Meeting arrangement</w:t>
            </w:r>
          </w:p>
        </w:tc>
        <w:tc>
          <w:tcPr>
            <w:tcW w:type="dxa" w:w="4968"/>
            <w:vAlign w:val="center"/>
          </w:tcPr>
          <w:p>
            <w:r/>
            <w:r>
              <w:rPr>
                <w:b w:val="0"/>
                <w:sz w:val="19"/>
              </w:rPr>
              <w:t>John and Sarah confirm a 3 PM library meeting and discuss bringing documents and a budget report.</w:t>
            </w:r>
          </w:p>
        </w:tc>
      </w:tr>
      <w:tr>
        <w:tc>
          <w:tcPr>
            <w:tcW w:type="dxa" w:w="4968"/>
            <w:vAlign w:val="center"/>
          </w:tcPr>
          <w:p>
            <w:r/>
            <w:r>
              <w:rPr>
                <w:b w:val="0"/>
                <w:sz w:val="19"/>
              </w:rPr>
              <w:t>Project report</w:t>
            </w:r>
          </w:p>
        </w:tc>
        <w:tc>
          <w:tcPr>
            <w:tcW w:type="dxa" w:w="4968"/>
            <w:vAlign w:val="center"/>
          </w:tcPr>
          <w:p>
            <w:r/>
            <w:r>
              <w:rPr>
                <w:b w:val="0"/>
                <w:sz w:val="19"/>
              </w:rPr>
              <w:t>Mike asks Tom about a project report; Tom says the results section remains and he will send it later.</w:t>
            </w:r>
          </w:p>
        </w:tc>
      </w:tr>
      <w:tr>
        <w:tc>
          <w:tcPr>
            <w:tcW w:type="dxa" w:w="4968"/>
            <w:vAlign w:val="center"/>
          </w:tcPr>
          <w:p>
            <w:r/>
            <w:r>
              <w:rPr>
                <w:b w:val="0"/>
                <w:sz w:val="19"/>
              </w:rPr>
              <w:t>Party and exam</w:t>
            </w:r>
          </w:p>
        </w:tc>
        <w:tc>
          <w:tcPr>
            <w:tcW w:type="dxa" w:w="4968"/>
            <w:vAlign w:val="center"/>
          </w:tcPr>
          <w:p>
            <w:r/>
            <w:r>
              <w:rPr>
                <w:b w:val="0"/>
                <w:sz w:val="19"/>
              </w:rPr>
              <w:t>Alice asks Bob about a party; Bob cannot attend because of an exam the next day.</w:t>
            </w:r>
          </w:p>
        </w:tc>
      </w:tr>
      <w:tr>
        <w:tc>
          <w:tcPr>
            <w:tcW w:type="dxa" w:w="4968"/>
            <w:vAlign w:val="center"/>
          </w:tcPr>
          <w:p>
            <w:r/>
            <w:r>
              <w:rPr>
                <w:b w:val="0"/>
                <w:sz w:val="19"/>
              </w:rPr>
              <w:t>Grocery request</w:t>
            </w:r>
          </w:p>
        </w:tc>
        <w:tc>
          <w:tcPr>
            <w:tcW w:type="dxa" w:w="4968"/>
            <w:vAlign w:val="center"/>
          </w:tcPr>
          <w:p>
            <w:r/>
            <w:r>
              <w:rPr>
                <w:b w:val="0"/>
                <w:sz w:val="19"/>
              </w:rPr>
              <w:t>Emma asks David to buy milk, bread, and eggs on his way home.</w:t>
            </w:r>
          </w:p>
        </w:tc>
      </w:tr>
      <w:tr>
        <w:tc>
          <w:tcPr>
            <w:tcW w:type="dxa" w:w="4968"/>
            <w:vAlign w:val="center"/>
          </w:tcPr>
          <w:p>
            <w:r/>
            <w:r>
              <w:rPr>
                <w:b w:val="0"/>
                <w:sz w:val="19"/>
              </w:rPr>
              <w:t>Train arrangement</w:t>
            </w:r>
          </w:p>
        </w:tc>
        <w:tc>
          <w:tcPr>
            <w:tcW w:type="dxa" w:w="4968"/>
            <w:vAlign w:val="center"/>
          </w:tcPr>
          <w:p>
            <w:r/>
            <w:r>
              <w:rPr>
                <w:b w:val="0"/>
                <w:sz w:val="19"/>
              </w:rPr>
              <w:t>Priya and Ravi arrange to meet at 7:30 before an 8 AM train and discuss tickets.</w:t>
            </w:r>
          </w:p>
        </w:tc>
      </w:tr>
    </w:tbl>
    <w:p>
      <w:pPr>
        <w:pStyle w:val="Heading1"/>
      </w:pPr>
      <w:r>
        <w:t>8. Before vs After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AF0F6"/>
          </w:tcPr>
          <w:p>
            <w:r/>
            <w:r>
              <w:rPr>
                <w:b/>
                <w:sz w:val="19"/>
              </w:rPr>
              <w:t>Test</w:t>
            </w:r>
          </w:p>
        </w:tc>
        <w:tc>
          <w:tcPr>
            <w:tcW w:type="dxa" w:w="3312"/>
            <w:vAlign w:val="center"/>
            <w:shd w:fill="EAF0F6"/>
          </w:tcPr>
          <w:p>
            <w:r/>
            <w:r>
              <w:rPr>
                <w:b/>
                <w:sz w:val="19"/>
              </w:rPr>
              <w:t>Base Model</w:t>
            </w:r>
          </w:p>
        </w:tc>
        <w:tc>
          <w:tcPr>
            <w:tcW w:type="dxa" w:w="3312"/>
            <w:vAlign w:val="center"/>
            <w:shd w:fill="EAF0F6"/>
          </w:tcPr>
          <w:p>
            <w:r/>
            <w:r>
              <w:rPr>
                <w:b/>
                <w:sz w:val="19"/>
              </w:rPr>
              <w:t>LoRA Fine-Tuned Model</w:t>
            </w:r>
          </w:p>
        </w:tc>
      </w:tr>
      <w:tr>
        <w:tc>
          <w:tcPr>
            <w:tcW w:type="dxa" w:w="3312"/>
            <w:vAlign w:val="center"/>
          </w:tcPr>
          <w:p>
            <w:r/>
            <w:r>
              <w:rPr>
                <w:b w:val="0"/>
                <w:sz w:val="19"/>
              </w:rPr>
              <w:t>Meeting arrangement</w:t>
            </w:r>
          </w:p>
        </w:tc>
        <w:tc>
          <w:tcPr>
            <w:tcW w:type="dxa" w:w="3312"/>
            <w:vAlign w:val="center"/>
          </w:tcPr>
          <w:p>
            <w:r/>
            <w:r>
              <w:rPr>
                <w:b w:val="0"/>
                <w:sz w:val="19"/>
              </w:rPr>
              <w:t>General-purpose summary</w:t>
            </w:r>
          </w:p>
        </w:tc>
        <w:tc>
          <w:tcPr>
            <w:tcW w:type="dxa" w:w="3312"/>
            <w:vAlign w:val="center"/>
          </w:tcPr>
          <w:p>
            <w:r/>
            <w:r>
              <w:rPr>
                <w:b w:val="0"/>
                <w:sz w:val="19"/>
              </w:rPr>
              <w:t>Task-formatted concise summary</w:t>
            </w:r>
          </w:p>
        </w:tc>
      </w:tr>
      <w:tr>
        <w:tc>
          <w:tcPr>
            <w:tcW w:type="dxa" w:w="3312"/>
            <w:vAlign w:val="center"/>
          </w:tcPr>
          <w:p>
            <w:r/>
            <w:r>
              <w:rPr>
                <w:b w:val="0"/>
                <w:sz w:val="19"/>
              </w:rPr>
              <w:t>Project report</w:t>
            </w:r>
          </w:p>
        </w:tc>
        <w:tc>
          <w:tcPr>
            <w:tcW w:type="dxa" w:w="3312"/>
            <w:vAlign w:val="center"/>
          </w:tcPr>
          <w:p>
            <w:r/>
            <w:r>
              <w:rPr>
                <w:b w:val="0"/>
                <w:sz w:val="19"/>
              </w:rPr>
              <w:t>General-purpose summary</w:t>
            </w:r>
          </w:p>
        </w:tc>
        <w:tc>
          <w:tcPr>
            <w:tcW w:type="dxa" w:w="3312"/>
            <w:vAlign w:val="center"/>
          </w:tcPr>
          <w:p>
            <w:r/>
            <w:r>
              <w:rPr>
                <w:b w:val="0"/>
                <w:sz w:val="19"/>
              </w:rPr>
              <w:t>Task-formatted concise summary</w:t>
            </w:r>
          </w:p>
        </w:tc>
      </w:tr>
      <w:tr>
        <w:tc>
          <w:tcPr>
            <w:tcW w:type="dxa" w:w="3312"/>
            <w:vAlign w:val="center"/>
          </w:tcPr>
          <w:p>
            <w:r/>
            <w:r>
              <w:rPr>
                <w:b w:val="0"/>
                <w:sz w:val="19"/>
              </w:rPr>
              <w:t>Party and exam</w:t>
            </w:r>
          </w:p>
        </w:tc>
        <w:tc>
          <w:tcPr>
            <w:tcW w:type="dxa" w:w="3312"/>
            <w:vAlign w:val="center"/>
          </w:tcPr>
          <w:p>
            <w:r/>
            <w:r>
              <w:rPr>
                <w:b w:val="0"/>
                <w:sz w:val="19"/>
              </w:rPr>
              <w:t>General-purpose summary</w:t>
            </w:r>
          </w:p>
        </w:tc>
        <w:tc>
          <w:tcPr>
            <w:tcW w:type="dxa" w:w="3312"/>
            <w:vAlign w:val="center"/>
          </w:tcPr>
          <w:p>
            <w:r/>
            <w:r>
              <w:rPr>
                <w:b w:val="0"/>
                <w:sz w:val="19"/>
              </w:rPr>
              <w:t>Task-formatted concise summary</w:t>
            </w:r>
          </w:p>
        </w:tc>
      </w:tr>
      <w:tr>
        <w:tc>
          <w:tcPr>
            <w:tcW w:type="dxa" w:w="3312"/>
            <w:vAlign w:val="center"/>
          </w:tcPr>
          <w:p>
            <w:r/>
            <w:r>
              <w:rPr>
                <w:b w:val="0"/>
                <w:sz w:val="19"/>
              </w:rPr>
              <w:t>Grocery request</w:t>
            </w:r>
          </w:p>
        </w:tc>
        <w:tc>
          <w:tcPr>
            <w:tcW w:type="dxa" w:w="3312"/>
            <w:vAlign w:val="center"/>
          </w:tcPr>
          <w:p>
            <w:r/>
            <w:r>
              <w:rPr>
                <w:b w:val="0"/>
                <w:sz w:val="19"/>
              </w:rPr>
              <w:t>General-purpose summary</w:t>
            </w:r>
          </w:p>
        </w:tc>
        <w:tc>
          <w:tcPr>
            <w:tcW w:type="dxa" w:w="3312"/>
            <w:vAlign w:val="center"/>
          </w:tcPr>
          <w:p>
            <w:r/>
            <w:r>
              <w:rPr>
                <w:b w:val="0"/>
                <w:sz w:val="19"/>
              </w:rPr>
              <w:t>Task-formatted concise summary</w:t>
            </w:r>
          </w:p>
        </w:tc>
      </w:tr>
      <w:tr>
        <w:tc>
          <w:tcPr>
            <w:tcW w:type="dxa" w:w="3312"/>
            <w:vAlign w:val="center"/>
          </w:tcPr>
          <w:p>
            <w:r/>
            <w:r>
              <w:rPr>
                <w:b w:val="0"/>
                <w:sz w:val="19"/>
              </w:rPr>
              <w:t>Train arrangement</w:t>
            </w:r>
          </w:p>
        </w:tc>
        <w:tc>
          <w:tcPr>
            <w:tcW w:type="dxa" w:w="3312"/>
            <w:vAlign w:val="center"/>
          </w:tcPr>
          <w:p>
            <w:r/>
            <w:r>
              <w:rPr>
                <w:b w:val="0"/>
                <w:sz w:val="19"/>
              </w:rPr>
              <w:t>General-purpose summary</w:t>
            </w:r>
          </w:p>
        </w:tc>
        <w:tc>
          <w:tcPr>
            <w:tcW w:type="dxa" w:w="3312"/>
            <w:vAlign w:val="center"/>
          </w:tcPr>
          <w:p>
            <w:r/>
            <w:r>
              <w:rPr>
                <w:b w:val="0"/>
                <w:sz w:val="19"/>
              </w:rPr>
              <w:t>Task-formatted concise summary</w:t>
            </w:r>
          </w:p>
        </w:tc>
      </w:tr>
    </w:tbl>
    <w:p>
      <w:r>
        <w:t>The comparison is qualitative. The objective is to observe whether the LoRA model follows the desired summarization instruction and preserves the central information more consistently. A short 60-step run should not be described as proof of superior performance without a formal benchmark.</w:t>
      </w:r>
    </w:p>
    <w:p>
      <w:pPr>
        <w:pStyle w:val="Heading1"/>
      </w:pPr>
      <w:r>
        <w:t>9. Features of the Fine-Tuned Model</w:t>
      </w:r>
    </w:p>
    <w:p>
      <w:pPr>
        <w:pStyle w:val="ListBullet"/>
      </w:pPr>
      <w:r>
        <w:rPr>
          <w:b/>
        </w:rPr>
        <w:t xml:space="preserve">Dialogue Summarization: </w:t>
      </w:r>
      <w:r>
        <w:t>Converts multi-speaker conversations into concise summaries.</w:t>
      </w:r>
    </w:p>
    <w:p>
      <w:pPr>
        <w:pStyle w:val="ListBullet"/>
      </w:pPr>
      <w:r>
        <w:rPr>
          <w:b/>
        </w:rPr>
        <w:t xml:space="preserve">Task Specialization: </w:t>
      </w:r>
      <w:r>
        <w:t>Fine-tuned specifically for conversation-to-summary generation.</w:t>
      </w:r>
    </w:p>
    <w:p>
      <w:pPr>
        <w:pStyle w:val="ListBullet"/>
      </w:pPr>
      <w:r>
        <w:rPr>
          <w:b/>
        </w:rPr>
        <w:t xml:space="preserve">Instruction-Response Format: </w:t>
      </w:r>
      <w:r>
        <w:t>Uses a consistent prompt and output structure.</w:t>
      </w:r>
    </w:p>
    <w:p>
      <w:pPr>
        <w:pStyle w:val="ListBullet"/>
      </w:pPr>
      <w:r>
        <w:rPr>
          <w:b/>
        </w:rPr>
        <w:t xml:space="preserve">LoRA-Based Adaptation: </w:t>
      </w:r>
      <w:r>
        <w:t>Uses lightweight trainable adapters rather than full-model updates.</w:t>
      </w:r>
    </w:p>
    <w:p>
      <w:pPr>
        <w:pStyle w:val="ListBullet"/>
      </w:pPr>
      <w:r>
        <w:rPr>
          <w:b/>
        </w:rPr>
        <w:t xml:space="preserve">Memory-Efficient Training: </w:t>
      </w:r>
      <w:r>
        <w:t>Uses 4-bit loading to reduce GPU memory requirements.</w:t>
      </w:r>
    </w:p>
    <w:p>
      <w:pPr>
        <w:pStyle w:val="ListBullet"/>
      </w:pPr>
      <w:r>
        <w:rPr>
          <w:b/>
        </w:rPr>
        <w:t xml:space="preserve">Reusable Adapter: </w:t>
      </w:r>
      <w:r>
        <w:t>The trained LoRA adapter can be saved separately from the base model.</w:t>
      </w:r>
    </w:p>
    <w:p>
      <w:r>
        <w:br w:type="page"/>
      </w:r>
    </w:p>
    <w:p>
      <w:pPr>
        <w:pStyle w:val="Heading1"/>
      </w:pPr>
      <w:r>
        <w:t>10. Limitations</w:t>
      </w:r>
    </w:p>
    <w:p>
      <w:pPr>
        <w:pStyle w:val="ListNumber"/>
      </w:pPr>
      <w:r>
        <w:t>Short Training Run: Only 60 training steps are used for the initial experiment.</w:t>
      </w:r>
    </w:p>
    <w:p>
      <w:pPr>
        <w:pStyle w:val="ListNumber"/>
      </w:pPr>
      <w:r>
        <w:t>Limited Subset: Only 5,000 training examples are selected rather than using the full available training data.</w:t>
      </w:r>
    </w:p>
    <w:p>
      <w:pPr>
        <w:pStyle w:val="ListNumber"/>
      </w:pPr>
      <w:r>
        <w:t>Qualitative Evaluation: The initial comparison uses a small set of manually defined unseen conversations.</w:t>
      </w:r>
    </w:p>
    <w:p>
      <w:pPr>
        <w:pStyle w:val="ListNumber"/>
      </w:pPr>
      <w:r>
        <w:t>No Formal Benchmark: ROUGE, BERTScore, or another quantitative evaluation is not included in this initial report.</w:t>
      </w:r>
    </w:p>
    <w:p>
      <w:pPr>
        <w:pStyle w:val="ListNumber"/>
      </w:pPr>
      <w:r>
        <w:t>Potential Repetition: Short or highly task-focused fine-tuning may sometimes produce repetitive wording.</w:t>
      </w:r>
    </w:p>
    <w:p>
      <w:pPr>
        <w:pStyle w:val="ListNumber"/>
      </w:pPr>
      <w:r>
        <w:t>Generation Length: A low max_new_tokens setting can truncate unusually long summaries.</w:t>
      </w:r>
    </w:p>
    <w:p>
      <w:pPr>
        <w:pStyle w:val="ListNumber"/>
      </w:pPr>
      <w:r>
        <w:t>Strong Base Model: Qwen2.5-7B-Instruct already has general summarization ability, so improvements may be difficult to observe in a short run.</w:t>
      </w:r>
    </w:p>
    <w:p>
      <w:pPr>
        <w:pStyle w:val="Heading1"/>
      </w:pPr>
      <w:r>
        <w:t>11. Conclusion</w:t>
      </w:r>
    </w:p>
    <w:p>
      <w:r>
        <w:t>The Qwen2.5-7B-Instruct model was adapted for dialogue summarization using LoRA and 4-bit quantization on a 5,000-example subset of the SAMSum dataset. The experiment demonstrates the end-to-end process from dataset preparation and prompt formatting to fine-tuning, inference, and adapter saving.</w:t>
      </w:r>
    </w:p>
    <w:p>
      <w:r>
        <w:t>The main value of the project is the demonstration of parameter-efficient task adaptation using limited computational resources. For a stronger study, the next step would be a longer training run with validation-based model selection and quantitative summarization metrics.</w:t>
      </w:r>
    </w:p>
    <w:p>
      <w:pPr>
        <w:pStyle w:val="Heading1"/>
      </w:pPr>
      <w:r>
        <w:t>12.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0F6"/>
          </w:tcPr>
          <w:p>
            <w:r/>
            <w:r>
              <w:rPr>
                <w:b/>
                <w:sz w:val="19"/>
              </w:rPr>
              <w:t>Technology</w:t>
            </w:r>
          </w:p>
        </w:tc>
        <w:tc>
          <w:tcPr>
            <w:tcW w:type="dxa" w:w="4968"/>
            <w:vAlign w:val="center"/>
            <w:shd w:fill="EAF0F6"/>
          </w:tcPr>
          <w:p>
            <w:r/>
            <w:r>
              <w:rPr>
                <w:b/>
                <w:sz w:val="19"/>
              </w:rPr>
              <w:t>Purpose</w:t>
            </w:r>
          </w:p>
        </w:tc>
      </w:tr>
      <w:tr>
        <w:tc>
          <w:tcPr>
            <w:tcW w:type="dxa" w:w="4968"/>
            <w:vAlign w:val="center"/>
          </w:tcPr>
          <w:p>
            <w:r/>
            <w:r>
              <w:rPr>
                <w:b w:val="0"/>
                <w:sz w:val="19"/>
              </w:rPr>
              <w:t>Google Colab</w:t>
            </w:r>
          </w:p>
        </w:tc>
        <w:tc>
          <w:tcPr>
            <w:tcW w:type="dxa" w:w="4968"/>
            <w:vAlign w:val="center"/>
          </w:tcPr>
          <w:p>
            <w:r/>
            <w:r>
              <w:rPr>
                <w:b w:val="0"/>
                <w:sz w:val="19"/>
              </w:rPr>
              <w:t>Development and training environment</w:t>
            </w:r>
          </w:p>
        </w:tc>
      </w:tr>
      <w:tr>
        <w:tc>
          <w:tcPr>
            <w:tcW w:type="dxa" w:w="4968"/>
            <w:vAlign w:val="center"/>
          </w:tcPr>
          <w:p>
            <w:r/>
            <w:r>
              <w:rPr>
                <w:b w:val="0"/>
                <w:sz w:val="19"/>
              </w:rPr>
              <w:t>NVIDIA GPU</w:t>
            </w:r>
          </w:p>
        </w:tc>
        <w:tc>
          <w:tcPr>
            <w:tcW w:type="dxa" w:w="4968"/>
            <w:vAlign w:val="center"/>
          </w:tcPr>
          <w:p>
            <w:r/>
            <w:r>
              <w:rPr>
                <w:b w:val="0"/>
                <w:sz w:val="19"/>
              </w:rPr>
              <w:t>GPU acceleration</w:t>
            </w:r>
          </w:p>
        </w:tc>
      </w:tr>
      <w:tr>
        <w:tc>
          <w:tcPr>
            <w:tcW w:type="dxa" w:w="4968"/>
            <w:vAlign w:val="center"/>
          </w:tcPr>
          <w:p>
            <w:r/>
            <w:r>
              <w:rPr>
                <w:b w:val="0"/>
                <w:sz w:val="19"/>
              </w:rPr>
              <w:t>Qwen2.5-7B-Instruct</w:t>
            </w:r>
          </w:p>
        </w:tc>
        <w:tc>
          <w:tcPr>
            <w:tcW w:type="dxa" w:w="4968"/>
            <w:vAlign w:val="center"/>
          </w:tcPr>
          <w:p>
            <w:r/>
            <w:r>
              <w:rPr>
                <w:b w:val="0"/>
                <w:sz w:val="19"/>
              </w:rPr>
              <w:t>Base language model</w:t>
            </w:r>
          </w:p>
        </w:tc>
      </w:tr>
      <w:tr>
        <w:tc>
          <w:tcPr>
            <w:tcW w:type="dxa" w:w="4968"/>
            <w:vAlign w:val="center"/>
          </w:tcPr>
          <w:p>
            <w:r/>
            <w:r>
              <w:rPr>
                <w:b w:val="0"/>
                <w:sz w:val="19"/>
              </w:rPr>
              <w:t>Unsloth</w:t>
            </w:r>
          </w:p>
        </w:tc>
        <w:tc>
          <w:tcPr>
            <w:tcW w:type="dxa" w:w="4968"/>
            <w:vAlign w:val="center"/>
          </w:tcPr>
          <w:p>
            <w:r/>
            <w:r>
              <w:rPr>
                <w:b w:val="0"/>
                <w:sz w:val="19"/>
              </w:rPr>
              <w:t>Efficient model loading and fine-tuning</w:t>
            </w:r>
          </w:p>
        </w:tc>
      </w:tr>
      <w:tr>
        <w:tc>
          <w:tcPr>
            <w:tcW w:type="dxa" w:w="4968"/>
            <w:vAlign w:val="center"/>
          </w:tcPr>
          <w:p>
            <w:r/>
            <w:r>
              <w:rPr>
                <w:b w:val="0"/>
                <w:sz w:val="19"/>
              </w:rPr>
              <w:t>LoRA</w:t>
            </w:r>
          </w:p>
        </w:tc>
        <w:tc>
          <w:tcPr>
            <w:tcW w:type="dxa" w:w="4968"/>
            <w:vAlign w:val="center"/>
          </w:tcPr>
          <w:p>
            <w:r/>
            <w:r>
              <w:rPr>
                <w:b w:val="0"/>
                <w:sz w:val="19"/>
              </w:rPr>
              <w:t>Parameter-efficient fine-tuning</w:t>
            </w:r>
          </w:p>
        </w:tc>
      </w:tr>
      <w:tr>
        <w:tc>
          <w:tcPr>
            <w:tcW w:type="dxa" w:w="4968"/>
            <w:vAlign w:val="center"/>
          </w:tcPr>
          <w:p>
            <w:r/>
            <w:r>
              <w:rPr>
                <w:b w:val="0"/>
                <w:sz w:val="19"/>
              </w:rPr>
              <w:t>4-bit Quantization</w:t>
            </w:r>
          </w:p>
        </w:tc>
        <w:tc>
          <w:tcPr>
            <w:tcW w:type="dxa" w:w="4968"/>
            <w:vAlign w:val="center"/>
          </w:tcPr>
          <w:p>
            <w:r/>
            <w:r>
              <w:rPr>
                <w:b w:val="0"/>
                <w:sz w:val="19"/>
              </w:rPr>
              <w:t>Memory-efficient model loading</w:t>
            </w:r>
          </w:p>
        </w:tc>
      </w:tr>
      <w:tr>
        <w:tc>
          <w:tcPr>
            <w:tcW w:type="dxa" w:w="4968"/>
            <w:vAlign w:val="center"/>
          </w:tcPr>
          <w:p>
            <w:r/>
            <w:r>
              <w:rPr>
                <w:b w:val="0"/>
                <w:sz w:val="19"/>
              </w:rPr>
              <w:t>Hugging Face Datasets</w:t>
            </w:r>
          </w:p>
        </w:tc>
        <w:tc>
          <w:tcPr>
            <w:tcW w:type="dxa" w:w="4968"/>
            <w:vAlign w:val="center"/>
          </w:tcPr>
          <w:p>
            <w:r/>
            <w:r>
              <w:rPr>
                <w:b w:val="0"/>
                <w:sz w:val="19"/>
              </w:rPr>
              <w:t>Dataset loading and processing</w:t>
            </w:r>
          </w:p>
        </w:tc>
      </w:tr>
      <w:tr>
        <w:tc>
          <w:tcPr>
            <w:tcW w:type="dxa" w:w="4968"/>
            <w:vAlign w:val="center"/>
          </w:tcPr>
          <w:p>
            <w:r/>
            <w:r>
              <w:rPr>
                <w:b w:val="0"/>
                <w:sz w:val="19"/>
              </w:rPr>
              <w:t>Hugging Face TRL</w:t>
            </w:r>
          </w:p>
        </w:tc>
        <w:tc>
          <w:tcPr>
            <w:tcW w:type="dxa" w:w="4968"/>
            <w:vAlign w:val="center"/>
          </w:tcPr>
          <w:p>
            <w:r/>
            <w:r>
              <w:rPr>
                <w:b w:val="0"/>
                <w:sz w:val="19"/>
              </w:rPr>
              <w:t>Supervised fine-tuning</w:t>
            </w:r>
          </w:p>
        </w:tc>
      </w:tr>
      <w:tr>
        <w:tc>
          <w:tcPr>
            <w:tcW w:type="dxa" w:w="4968"/>
            <w:vAlign w:val="center"/>
          </w:tcPr>
          <w:p>
            <w:r/>
            <w:r>
              <w:rPr>
                <w:b w:val="0"/>
                <w:sz w:val="19"/>
              </w:rPr>
              <w:t>PyTorch</w:t>
            </w:r>
          </w:p>
        </w:tc>
        <w:tc>
          <w:tcPr>
            <w:tcW w:type="dxa" w:w="4968"/>
            <w:vAlign w:val="center"/>
          </w:tcPr>
          <w:p>
            <w:r/>
            <w:r>
              <w:rPr>
                <w:b w:val="0"/>
                <w:sz w:val="19"/>
              </w:rPr>
              <w:t>Deep learning framework</w:t>
            </w:r>
          </w:p>
        </w:tc>
      </w:tr>
    </w:tbl>
    <w:p>
      <w:pPr>
        <w:pStyle w:val="Heading1"/>
      </w:pPr>
      <w:r>
        <w:t>13. Project Workflow Summary</w:t>
      </w:r>
    </w:p>
    <w:p>
      <w:r>
        <w:t>SAMSum Dataset → 5,000 Training Examples → Dialogue/Summary Formatting → Qwen2.5-7B-Instruct 4-bit Loading → LoRA Adapter Integration → 60-Step Fine-Tuning → Unseen Conversation Inference → Qualitative Before/After Comparison → Saved LoRA Adapter</w:t>
      </w:r>
    </w:p>
    <w:p/>
    <w:p>
      <w:pPr>
        <w:jc w:val="center"/>
      </w:pPr>
      <w:r>
        <w:rPr>
          <w:b/>
          <w:sz w:val="22"/>
        </w:rPr>
        <w:t>End of Project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