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REPORT</w:t>
      </w:r>
    </w:p>
    <w:p>
      <w:pPr>
        <w:jc w:val="center"/>
      </w:pPr>
      <w:r>
        <w:rPr>
          <w:b/>
          <w:sz w:val="44"/>
        </w:rPr>
        <w:t>Dialogue Summarization using Qwen2.5-7B-Instruct and LoRA Fine-Tuning</w:t>
      </w:r>
    </w:p>
    <w:p>
      <w:pPr>
        <w:jc w:val="center"/>
      </w:pPr>
      <w:r>
        <w:rPr>
          <w:i/>
          <w:sz w:val="26"/>
        </w:rPr>
        <w:t>Task 2 — Dialogue Summarization</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E8EEF7"/>
          </w:tcPr>
          <w:p>
            <w:r/>
            <w:r>
              <w:rPr>
                <w:rFonts w:ascii="Aptos" w:hAnsi="Aptos"/>
                <w:b/>
                <w:sz w:val="19"/>
              </w:rPr>
              <w:t>Project Objective</w:t>
            </w:r>
          </w:p>
        </w:tc>
        <w:tc>
          <w:tcPr>
            <w:tcW w:type="dxa" w:w="6624"/>
            <w:vAlign w:val="center"/>
          </w:tcPr>
          <w:p>
            <w:r/>
            <w:r>
              <w:rPr>
                <w:rFonts w:ascii="Aptos" w:hAnsi="Aptos"/>
                <w:b w:val="0"/>
                <w:sz w:val="19"/>
              </w:rPr>
              <w:t>Adapt Qwen2.5-7B-Instruct for English dialogue summarization using LoRA.</w:t>
            </w:r>
          </w:p>
        </w:tc>
      </w:tr>
      <w:tr>
        <w:tc>
          <w:tcPr>
            <w:tcW w:type="dxa" w:w="2880"/>
            <w:vAlign w:val="center"/>
            <w:shd w:fill="E8EEF7"/>
          </w:tcPr>
          <w:p>
            <w:r/>
            <w:r>
              <w:rPr>
                <w:rFonts w:ascii="Aptos" w:hAnsi="Aptos"/>
                <w:b/>
                <w:sz w:val="19"/>
              </w:rPr>
              <w:t>Dataset</w:t>
            </w:r>
          </w:p>
        </w:tc>
        <w:tc>
          <w:tcPr>
            <w:tcW w:type="dxa" w:w="6624"/>
            <w:vAlign w:val="center"/>
          </w:tcPr>
          <w:p>
            <w:r/>
            <w:r>
              <w:rPr>
                <w:rFonts w:ascii="Aptos" w:hAnsi="Aptos"/>
                <w:b w:val="0"/>
                <w:sz w:val="19"/>
              </w:rPr>
              <w:t>SAMSum — knkarthick/samsum</w:t>
            </w:r>
          </w:p>
        </w:tc>
      </w:tr>
      <w:tr>
        <w:tc>
          <w:tcPr>
            <w:tcW w:type="dxa" w:w="2880"/>
            <w:vAlign w:val="center"/>
            <w:shd w:fill="E8EEF7"/>
          </w:tcPr>
          <w:p>
            <w:r/>
            <w:r>
              <w:rPr>
                <w:rFonts w:ascii="Aptos" w:hAnsi="Aptos"/>
                <w:b/>
                <w:sz w:val="19"/>
              </w:rPr>
              <w:t>Task</w:t>
            </w:r>
          </w:p>
        </w:tc>
        <w:tc>
          <w:tcPr>
            <w:tcW w:type="dxa" w:w="6624"/>
            <w:vAlign w:val="center"/>
          </w:tcPr>
          <w:p>
            <w:r/>
            <w:r>
              <w:rPr>
                <w:rFonts w:ascii="Aptos" w:hAnsi="Aptos"/>
                <w:b w:val="0"/>
                <w:sz w:val="19"/>
              </w:rPr>
              <w:t>Multi-speaker dialogue → concise summary</w:t>
            </w:r>
          </w:p>
        </w:tc>
      </w:tr>
      <w:tr>
        <w:tc>
          <w:tcPr>
            <w:tcW w:type="dxa" w:w="2880"/>
            <w:vAlign w:val="center"/>
            <w:shd w:fill="E8EEF7"/>
          </w:tcPr>
          <w:p>
            <w:r/>
            <w:r>
              <w:rPr>
                <w:rFonts w:ascii="Aptos" w:hAnsi="Aptos"/>
                <w:b/>
                <w:sz w:val="19"/>
              </w:rPr>
              <w:t>Fine-Tuning</w:t>
            </w:r>
          </w:p>
        </w:tc>
        <w:tc>
          <w:tcPr>
            <w:tcW w:type="dxa" w:w="6624"/>
            <w:vAlign w:val="center"/>
          </w:tcPr>
          <w:p>
            <w:r/>
            <w:r>
              <w:rPr>
                <w:rFonts w:ascii="Aptos" w:hAnsi="Aptos"/>
                <w:b w:val="0"/>
                <w:sz w:val="19"/>
              </w:rPr>
              <w:t>LoRA with 4-bit quantized model loading (QLoRA-style setup)</w:t>
            </w:r>
          </w:p>
        </w:tc>
      </w:tr>
      <w:tr>
        <w:tc>
          <w:tcPr>
            <w:tcW w:type="dxa" w:w="2880"/>
            <w:vAlign w:val="center"/>
            <w:shd w:fill="E8EEF7"/>
          </w:tcPr>
          <w:p>
            <w:r/>
            <w:r>
              <w:rPr>
                <w:rFonts w:ascii="Aptos" w:hAnsi="Aptos"/>
                <w:b/>
                <w:sz w:val="19"/>
              </w:rPr>
              <w:t>Platform</w:t>
            </w:r>
          </w:p>
        </w:tc>
        <w:tc>
          <w:tcPr>
            <w:tcW w:type="dxa" w:w="6624"/>
            <w:vAlign w:val="center"/>
          </w:tcPr>
          <w:p>
            <w:r/>
            <w:r>
              <w:rPr>
                <w:rFonts w:ascii="Aptos" w:hAnsi="Aptos"/>
                <w:b w:val="0"/>
                <w:sz w:val="19"/>
              </w:rPr>
              <w:t>Google Colab with NVIDIA GPU</w:t>
            </w:r>
          </w:p>
        </w:tc>
      </w:tr>
      <w:tr>
        <w:tc>
          <w:tcPr>
            <w:tcW w:type="dxa" w:w="2880"/>
            <w:vAlign w:val="center"/>
            <w:shd w:fill="E8EEF7"/>
          </w:tcPr>
          <w:p>
            <w:r/>
            <w:r>
              <w:rPr>
                <w:rFonts w:ascii="Aptos" w:hAnsi="Aptos"/>
                <w:b/>
                <w:sz w:val="19"/>
              </w:rPr>
              <w:t>Training Subset</w:t>
            </w:r>
          </w:p>
        </w:tc>
        <w:tc>
          <w:tcPr>
            <w:tcW w:type="dxa" w:w="6624"/>
            <w:vAlign w:val="center"/>
          </w:tcPr>
          <w:p>
            <w:r/>
            <w:r>
              <w:rPr>
                <w:rFonts w:ascii="Aptos" w:hAnsi="Aptos"/>
                <w:b w:val="0"/>
                <w:sz w:val="19"/>
              </w:rPr>
              <w:t>5,000 examples</w:t>
            </w:r>
          </w:p>
        </w:tc>
      </w:tr>
    </w:tbl>
    <w:p/>
    <w:p>
      <w:pPr>
        <w:jc w:val="center"/>
      </w:pPr>
      <w:r>
        <w:rPr>
          <w:sz w:val="20"/>
        </w:rPr>
        <w:t>Prepared By: ____________________    Date: ____________________</w:t>
      </w:r>
    </w:p>
    <w:p>
      <w:r>
        <w:br w:type="page"/>
      </w:r>
    </w:p>
    <w:p>
      <w:pPr>
        <w:pStyle w:val="Heading1"/>
      </w:pPr>
      <w:r>
        <w:t>1. Introduction</w:t>
      </w:r>
    </w:p>
    <w:p>
      <w:r>
        <w:t>Large Language Models (LLMs) can summarize conversations, but their outputs may vary in length, structure, and focus. Dialogue summarization requires the model to identify the important events, decisions, actions, and participants in a multi-speaker conversation and express them concisely.</w:t>
      </w:r>
    </w:p>
    <w:p>
      <w:r>
        <w:t>This project adapts the Qwen2.5-7B-Instruct model to the dialogue summarization task using Low-Rank Adaptation (LoRA). The training uses the SAMSum dataset and a 5,000-example subset so that the initial experiment remains practical on a Google Colab GPU.</w:t>
      </w:r>
    </w:p>
    <w:p>
      <w:pPr>
        <w:pStyle w:val="Heading1"/>
      </w:pPr>
      <w:r>
        <w:t>2. Problem Statement</w:t>
      </w:r>
    </w:p>
    <w:p>
      <w:r>
        <w:t>A general-purpose language model already has summarization capabilities, but its responses may not consistently follow a desired concise, third-person, task-oriented format. Full fine-tuning of a 7-billion-parameter model can also require substantial computational resources. This project investigates a parameter-efficient alternative in which LoRA adapters are trained while the underlying model remains largely frozen.</w:t>
      </w:r>
    </w:p>
    <w:p>
      <w:pPr>
        <w:pStyle w:val="Heading1"/>
      </w:pPr>
      <w:r>
        <w:t>3. Dataset</w:t>
      </w:r>
    </w:p>
    <w:p>
      <w:r>
        <w:t>The project uses the SAMSum corpus through the Hugging Face dataset identifier `knkarthick/samsum`. SAMSum contains messenger-style conversations paired with human-written summaries.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E8EEF7"/>
          </w:tcPr>
          <w:p>
            <w:r/>
            <w:r>
              <w:rPr>
                <w:rFonts w:ascii="Aptos" w:hAnsi="Aptos"/>
                <w:b/>
                <w:sz w:val="19"/>
              </w:rPr>
              <w:t>Dataset</w:t>
            </w:r>
          </w:p>
        </w:tc>
        <w:tc>
          <w:tcPr>
            <w:tcW w:type="dxa" w:w="6336"/>
            <w:vAlign w:val="center"/>
          </w:tcPr>
          <w:p>
            <w:r/>
            <w:r>
              <w:rPr>
                <w:rFonts w:ascii="Aptos" w:hAnsi="Aptos"/>
                <w:b w:val="0"/>
                <w:sz w:val="19"/>
              </w:rPr>
              <w:t>SAMSum</w:t>
            </w:r>
          </w:p>
        </w:tc>
      </w:tr>
      <w:tr>
        <w:tc>
          <w:tcPr>
            <w:tcW w:type="dxa" w:w="3168"/>
            <w:vAlign w:val="center"/>
            <w:shd w:fill="E8EEF7"/>
          </w:tcPr>
          <w:p>
            <w:r/>
            <w:r>
              <w:rPr>
                <w:rFonts w:ascii="Aptos" w:hAnsi="Aptos"/>
                <w:b/>
                <w:sz w:val="19"/>
              </w:rPr>
              <w:t>Identifier</w:t>
            </w:r>
          </w:p>
        </w:tc>
        <w:tc>
          <w:tcPr>
            <w:tcW w:type="dxa" w:w="6336"/>
            <w:vAlign w:val="center"/>
          </w:tcPr>
          <w:p>
            <w:r/>
            <w:r>
              <w:rPr>
                <w:rFonts w:ascii="Aptos" w:hAnsi="Aptos"/>
                <w:b w:val="0"/>
                <w:sz w:val="19"/>
              </w:rPr>
              <w:t>knkarthick/samsum</w:t>
            </w:r>
          </w:p>
        </w:tc>
      </w:tr>
      <w:tr>
        <w:tc>
          <w:tcPr>
            <w:tcW w:type="dxa" w:w="3168"/>
            <w:vAlign w:val="center"/>
            <w:shd w:fill="E8EEF7"/>
          </w:tcPr>
          <w:p>
            <w:r/>
            <w:r>
              <w:rPr>
                <w:rFonts w:ascii="Aptos" w:hAnsi="Aptos"/>
                <w:b/>
                <w:sz w:val="19"/>
              </w:rPr>
              <w:t>Primary fields</w:t>
            </w:r>
          </w:p>
        </w:tc>
        <w:tc>
          <w:tcPr>
            <w:tcW w:type="dxa" w:w="6336"/>
            <w:vAlign w:val="center"/>
          </w:tcPr>
          <w:p>
            <w:r/>
            <w:r>
              <w:rPr>
                <w:rFonts w:ascii="Aptos" w:hAnsi="Aptos"/>
                <w:b w:val="0"/>
                <w:sz w:val="19"/>
              </w:rPr>
              <w:t>dialogue, summary, id</w:t>
            </w:r>
          </w:p>
        </w:tc>
      </w:tr>
      <w:tr>
        <w:tc>
          <w:tcPr>
            <w:tcW w:type="dxa" w:w="3168"/>
            <w:vAlign w:val="center"/>
            <w:shd w:fill="E8EEF7"/>
          </w:tcPr>
          <w:p>
            <w:r/>
            <w:r>
              <w:rPr>
                <w:rFonts w:ascii="Aptos" w:hAnsi="Aptos"/>
                <w:b/>
                <w:sz w:val="19"/>
              </w:rPr>
              <w:t>Training subset</w:t>
            </w:r>
          </w:p>
        </w:tc>
        <w:tc>
          <w:tcPr>
            <w:tcW w:type="dxa" w:w="6336"/>
            <w:vAlign w:val="center"/>
          </w:tcPr>
          <w:p>
            <w:r/>
            <w:r>
              <w:rPr>
                <w:rFonts w:ascii="Aptos" w:hAnsi="Aptos"/>
                <w:b w:val="0"/>
                <w:sz w:val="19"/>
              </w:rPr>
              <w:t>5,000 examples</w:t>
            </w:r>
          </w:p>
        </w:tc>
      </w:tr>
      <w:tr>
        <w:tc>
          <w:tcPr>
            <w:tcW w:type="dxa" w:w="3168"/>
            <w:vAlign w:val="center"/>
            <w:shd w:fill="E8EEF7"/>
          </w:tcPr>
          <w:p>
            <w:r/>
            <w:r>
              <w:rPr>
                <w:rFonts w:ascii="Aptos" w:hAnsi="Aptos"/>
                <w:b/>
                <w:sz w:val="19"/>
              </w:rPr>
              <w:t>Selection</w:t>
            </w:r>
          </w:p>
        </w:tc>
        <w:tc>
          <w:tcPr>
            <w:tcW w:type="dxa" w:w="6336"/>
            <w:vAlign w:val="center"/>
          </w:tcPr>
          <w:p>
            <w:r/>
            <w:r>
              <w:rPr>
                <w:rFonts w:ascii="Aptos" w:hAnsi="Aptos"/>
                <w:b w:val="0"/>
                <w:sz w:val="19"/>
              </w:rPr>
              <w:t>Training split shuffled with seed 3407, then 5,000 examples selected</w:t>
            </w:r>
          </w:p>
        </w:tc>
      </w:tr>
    </w:tbl>
    <w:p>
      <w:r>
        <w:t>The notebooks use only the selected 5,000 training examples for the initial fine-tuning experiment. The complete dataset is not used for training in this run.</w:t>
      </w:r>
    </w:p>
    <w:p>
      <w:pPr>
        <w:pStyle w:val="Heading1"/>
      </w:pPr>
      <w:r>
        <w:t>4. Dataset Preparation and Prompt Format</w:t>
      </w:r>
    </w:p>
    <w:p>
      <w:r>
        <w:t>Each SAMSum example is converted into a single training text containing the dialogue and its reference summary. The newest replacement notebook explicitly instructs the model to produce a concise and informative summary in third person.</w:t>
      </w:r>
    </w:p>
    <w:p>
      <w:r>
        <w:rPr>
          <w:rFonts w:ascii="Consolas" w:hAnsi="Consolas"/>
          <w:sz w:val="19"/>
        </w:rPr>
        <w:t>Below is a conversation between multiple people.</w:t>
        <w:br/>
        <w:t>Provide a concise and informative summary in third person.</w:t>
        <w:br/>
        <w:br/>
        <w:t>### Conversation:</w:t>
        <w:br/>
        <w:t>[Dialogue]</w:t>
        <w:br/>
        <w:br/>
        <w:t>### Summary:</w:t>
        <w:br/>
        <w:t>[Reference Summary]</w:t>
      </w:r>
    </w:p>
    <w:p>
      <w:pPr>
        <w:pStyle w:val="Heading1"/>
      </w:pPr>
      <w:r>
        <w:t>5. Model and LoRA Configuration</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E8EEF7"/>
          </w:tcPr>
          <w:p>
            <w:r/>
            <w:r>
              <w:rPr>
                <w:rFonts w:ascii="Aptos" w:hAnsi="Aptos"/>
                <w:b/>
                <w:sz w:val="19"/>
              </w:rPr>
              <w:t>Base model</w:t>
            </w:r>
          </w:p>
        </w:tc>
        <w:tc>
          <w:tcPr>
            <w:tcW w:type="dxa" w:w="5760"/>
            <w:vAlign w:val="center"/>
          </w:tcPr>
          <w:p>
            <w:r/>
            <w:r>
              <w:rPr>
                <w:rFonts w:ascii="Aptos" w:hAnsi="Aptos"/>
                <w:b w:val="0"/>
                <w:sz w:val="19"/>
              </w:rPr>
              <w:t>Qwen2.5-7B-Instruct</w:t>
            </w:r>
          </w:p>
        </w:tc>
      </w:tr>
      <w:tr>
        <w:tc>
          <w:tcPr>
            <w:tcW w:type="dxa" w:w="3744"/>
            <w:vAlign w:val="center"/>
            <w:shd w:fill="E8EEF7"/>
          </w:tcPr>
          <w:p>
            <w:r/>
            <w:r>
              <w:rPr>
                <w:rFonts w:ascii="Aptos" w:hAnsi="Aptos"/>
                <w:b/>
                <w:sz w:val="19"/>
              </w:rPr>
              <w:t>Quantization</w:t>
            </w:r>
          </w:p>
        </w:tc>
        <w:tc>
          <w:tcPr>
            <w:tcW w:type="dxa" w:w="5760"/>
            <w:vAlign w:val="center"/>
          </w:tcPr>
          <w:p>
            <w:r/>
            <w:r>
              <w:rPr>
                <w:rFonts w:ascii="Aptos" w:hAnsi="Aptos"/>
                <w:b w:val="0"/>
                <w:sz w:val="19"/>
              </w:rPr>
              <w:t>4-bit</w:t>
            </w:r>
          </w:p>
        </w:tc>
      </w:tr>
      <w:tr>
        <w:tc>
          <w:tcPr>
            <w:tcW w:type="dxa" w:w="3744"/>
            <w:vAlign w:val="center"/>
            <w:shd w:fill="E8EEF7"/>
          </w:tcPr>
          <w:p>
            <w:r/>
            <w:r>
              <w:rPr>
                <w:rFonts w:ascii="Aptos" w:hAnsi="Aptos"/>
                <w:b/>
                <w:sz w:val="19"/>
              </w:rPr>
              <w:t>Maximum sequence length</w:t>
            </w:r>
          </w:p>
        </w:tc>
        <w:tc>
          <w:tcPr>
            <w:tcW w:type="dxa" w:w="5760"/>
            <w:vAlign w:val="center"/>
          </w:tcPr>
          <w:p>
            <w:r/>
            <w:r>
              <w:rPr>
                <w:rFonts w:ascii="Aptos" w:hAnsi="Aptos"/>
                <w:b w:val="0"/>
                <w:sz w:val="19"/>
              </w:rPr>
              <w:t>2048</w:t>
            </w:r>
          </w:p>
        </w:tc>
      </w:tr>
      <w:tr>
        <w:tc>
          <w:tcPr>
            <w:tcW w:type="dxa" w:w="3744"/>
            <w:vAlign w:val="center"/>
            <w:shd w:fill="E8EEF7"/>
          </w:tcPr>
          <w:p>
            <w:r/>
            <w:r>
              <w:rPr>
                <w:rFonts w:ascii="Aptos" w:hAnsi="Aptos"/>
                <w:b/>
                <w:sz w:val="19"/>
              </w:rPr>
              <w:t>LoRA rank (r)</w:t>
            </w:r>
          </w:p>
        </w:tc>
        <w:tc>
          <w:tcPr>
            <w:tcW w:type="dxa" w:w="5760"/>
            <w:vAlign w:val="center"/>
          </w:tcPr>
          <w:p>
            <w:r/>
            <w:r>
              <w:rPr>
                <w:rFonts w:ascii="Aptos" w:hAnsi="Aptos"/>
                <w:b w:val="0"/>
                <w:sz w:val="19"/>
              </w:rPr>
              <w:t>16</w:t>
            </w:r>
          </w:p>
        </w:tc>
      </w:tr>
      <w:tr>
        <w:tc>
          <w:tcPr>
            <w:tcW w:type="dxa" w:w="3744"/>
            <w:vAlign w:val="center"/>
            <w:shd w:fill="E8EEF7"/>
          </w:tcPr>
          <w:p>
            <w:r/>
            <w:r>
              <w:rPr>
                <w:rFonts w:ascii="Aptos" w:hAnsi="Aptos"/>
                <w:b/>
                <w:sz w:val="19"/>
              </w:rPr>
              <w:t>LoRA alpha</w:t>
            </w:r>
          </w:p>
        </w:tc>
        <w:tc>
          <w:tcPr>
            <w:tcW w:type="dxa" w:w="5760"/>
            <w:vAlign w:val="center"/>
          </w:tcPr>
          <w:p>
            <w:r/>
            <w:r>
              <w:rPr>
                <w:rFonts w:ascii="Aptos" w:hAnsi="Aptos"/>
                <w:b w:val="0"/>
                <w:sz w:val="19"/>
              </w:rPr>
              <w:t>16</w:t>
            </w:r>
          </w:p>
        </w:tc>
      </w:tr>
      <w:tr>
        <w:tc>
          <w:tcPr>
            <w:tcW w:type="dxa" w:w="3744"/>
            <w:vAlign w:val="center"/>
            <w:shd w:fill="E8EEF7"/>
          </w:tcPr>
          <w:p>
            <w:r/>
            <w:r>
              <w:rPr>
                <w:rFonts w:ascii="Aptos" w:hAnsi="Aptos"/>
                <w:b/>
                <w:sz w:val="19"/>
              </w:rPr>
              <w:t>LoRA dropout</w:t>
            </w:r>
          </w:p>
        </w:tc>
        <w:tc>
          <w:tcPr>
            <w:tcW w:type="dxa" w:w="5760"/>
            <w:vAlign w:val="center"/>
          </w:tcPr>
          <w:p>
            <w:r/>
            <w:r>
              <w:rPr>
                <w:rFonts w:ascii="Aptos" w:hAnsi="Aptos"/>
                <w:b w:val="0"/>
                <w:sz w:val="19"/>
              </w:rPr>
              <w:t>0</w:t>
            </w:r>
          </w:p>
        </w:tc>
      </w:tr>
      <w:tr>
        <w:tc>
          <w:tcPr>
            <w:tcW w:type="dxa" w:w="3744"/>
            <w:vAlign w:val="center"/>
            <w:shd w:fill="E8EEF7"/>
          </w:tcPr>
          <w:p>
            <w:r/>
            <w:r>
              <w:rPr>
                <w:rFonts w:ascii="Aptos" w:hAnsi="Aptos"/>
                <w:b/>
                <w:sz w:val="19"/>
              </w:rPr>
              <w:t>Training examples</w:t>
            </w:r>
          </w:p>
        </w:tc>
        <w:tc>
          <w:tcPr>
            <w:tcW w:type="dxa" w:w="5760"/>
            <w:vAlign w:val="center"/>
          </w:tcPr>
          <w:p>
            <w:r/>
            <w:r>
              <w:rPr>
                <w:rFonts w:ascii="Aptos" w:hAnsi="Aptos"/>
                <w:b w:val="0"/>
                <w:sz w:val="19"/>
              </w:rPr>
              <w:t>5,000</w:t>
            </w:r>
          </w:p>
        </w:tc>
      </w:tr>
      <w:tr>
        <w:tc>
          <w:tcPr>
            <w:tcW w:type="dxa" w:w="3744"/>
            <w:vAlign w:val="center"/>
            <w:shd w:fill="E8EEF7"/>
          </w:tcPr>
          <w:p>
            <w:r/>
            <w:r>
              <w:rPr>
                <w:rFonts w:ascii="Aptos" w:hAnsi="Aptos"/>
                <w:b/>
                <w:sz w:val="19"/>
              </w:rPr>
              <w:t>Training steps</w:t>
            </w:r>
          </w:p>
        </w:tc>
        <w:tc>
          <w:tcPr>
            <w:tcW w:type="dxa" w:w="5760"/>
            <w:vAlign w:val="center"/>
          </w:tcPr>
          <w:p>
            <w:r/>
            <w:r>
              <w:rPr>
                <w:rFonts w:ascii="Aptos" w:hAnsi="Aptos"/>
                <w:b w:val="0"/>
                <w:sz w:val="19"/>
              </w:rPr>
              <w:t>60</w:t>
            </w:r>
          </w:p>
        </w:tc>
      </w:tr>
      <w:tr>
        <w:tc>
          <w:tcPr>
            <w:tcW w:type="dxa" w:w="3744"/>
            <w:vAlign w:val="center"/>
            <w:shd w:fill="E8EEF7"/>
          </w:tcPr>
          <w:p>
            <w:r/>
            <w:r>
              <w:rPr>
                <w:rFonts w:ascii="Aptos" w:hAnsi="Aptos"/>
                <w:b/>
                <w:sz w:val="19"/>
              </w:rPr>
              <w:t>Learning rate</w:t>
            </w:r>
          </w:p>
        </w:tc>
        <w:tc>
          <w:tcPr>
            <w:tcW w:type="dxa" w:w="5760"/>
            <w:vAlign w:val="center"/>
          </w:tcPr>
          <w:p>
            <w:r/>
            <w:r>
              <w:rPr>
                <w:rFonts w:ascii="Aptos" w:hAnsi="Aptos"/>
                <w:b w:val="0"/>
                <w:sz w:val="19"/>
              </w:rPr>
              <w:t>2e-4</w:t>
            </w:r>
          </w:p>
        </w:tc>
      </w:tr>
      <w:tr>
        <w:tc>
          <w:tcPr>
            <w:tcW w:type="dxa" w:w="3744"/>
            <w:vAlign w:val="center"/>
            <w:shd w:fill="E8EEF7"/>
          </w:tcPr>
          <w:p>
            <w:r/>
            <w:r>
              <w:rPr>
                <w:rFonts w:ascii="Aptos" w:hAnsi="Aptos"/>
                <w:b/>
                <w:sz w:val="19"/>
              </w:rPr>
              <w:t>Gradient accumulation</w:t>
            </w:r>
          </w:p>
        </w:tc>
        <w:tc>
          <w:tcPr>
            <w:tcW w:type="dxa" w:w="5760"/>
            <w:vAlign w:val="center"/>
          </w:tcPr>
          <w:p>
            <w:r/>
            <w:r>
              <w:rPr>
                <w:rFonts w:ascii="Aptos" w:hAnsi="Aptos"/>
                <w:b w:val="0"/>
                <w:sz w:val="19"/>
              </w:rPr>
              <w:t>4</w:t>
            </w:r>
          </w:p>
        </w:tc>
      </w:tr>
      <w:tr>
        <w:tc>
          <w:tcPr>
            <w:tcW w:type="dxa" w:w="3744"/>
            <w:vAlign w:val="center"/>
            <w:shd w:fill="E8EEF7"/>
          </w:tcPr>
          <w:p>
            <w:r/>
            <w:r>
              <w:rPr>
                <w:rFonts w:ascii="Aptos" w:hAnsi="Aptos"/>
                <w:b/>
                <w:sz w:val="19"/>
              </w:rPr>
              <w:t>Optimizer</w:t>
            </w:r>
          </w:p>
        </w:tc>
        <w:tc>
          <w:tcPr>
            <w:tcW w:type="dxa" w:w="5760"/>
            <w:vAlign w:val="center"/>
          </w:tcPr>
          <w:p>
            <w:r/>
            <w:r>
              <w:rPr>
                <w:rFonts w:ascii="Aptos" w:hAnsi="Aptos"/>
                <w:b w:val="0"/>
                <w:sz w:val="19"/>
              </w:rPr>
              <w:t>AdamW 8-bit</w:t>
            </w:r>
          </w:p>
        </w:tc>
      </w:tr>
    </w:tbl>
    <w:p>
      <w:r>
        <w:t>Additional configuration used by both notebook versions includes:</w:t>
      </w:r>
    </w:p>
    <w:p>
      <w:pPr>
        <w:pStyle w:val="ListBullet"/>
      </w:pPr>
      <w:r>
        <w:t>Random seed: 3407.</w:t>
      </w:r>
    </w:p>
    <w:p>
      <w:pPr>
        <w:pStyle w:val="ListBullet"/>
      </w:pPr>
      <w:r>
        <w:t>LoRA target modules: q_proj, k_proj, v_proj, o_proj, gate_proj, up_proj, and down_proj.</w:t>
      </w:r>
    </w:p>
    <w:p>
      <w:pPr>
        <w:pStyle w:val="ListBullet"/>
      </w:pPr>
      <w:r>
        <w:t>Unsloth gradient checkpointing is enabled.</w:t>
      </w:r>
    </w:p>
    <w:p>
      <w:pPr>
        <w:pStyle w:val="ListBullet"/>
      </w:pPr>
      <w:r>
        <w:t>The training run is intentionally short at 60 steps.</w:t>
      </w:r>
    </w:p>
    <w:p>
      <w:r>
        <w:t>The first notebook loads a 4-bit Qwen2.5-7B-Instruct checkpoint through Unsloth, while the newest replacement loads Qwen2.5-7B-Instruct with 4-bit loading enabled. The report therefore describes the model at the shared project level rather than treating the two checkpoint-loading expressions as different models.</w:t>
      </w:r>
    </w:p>
    <w:p>
      <w:pPr>
        <w:pStyle w:val="Heading1"/>
      </w:pPr>
      <w:r>
        <w:t>6. Training Workflow</w:t>
      </w:r>
    </w:p>
    <w:p>
      <w:pPr>
        <w:pStyle w:val="ListNumber"/>
      </w:pPr>
      <w:r>
        <w:t>Install Unsloth and the supporting Transformers, Datasets, TRL, Accelerate, BitsAndBytes, and SentencePiece packages.</w:t>
      </w:r>
    </w:p>
    <w:p>
      <w:pPr>
        <w:pStyle w:val="ListNumber"/>
      </w:pPr>
      <w:r>
        <w:t>Check that a CUDA-enabled GPU is available in Colab.</w:t>
      </w:r>
    </w:p>
    <w:p>
      <w:pPr>
        <w:pStyle w:val="ListNumber"/>
      </w:pPr>
      <w:r>
        <w:t>Load Qwen2.5-7B-Instruct with 4-bit quantization.</w:t>
      </w:r>
    </w:p>
    <w:p>
      <w:pPr>
        <w:pStyle w:val="ListNumber"/>
      </w:pPr>
      <w:r>
        <w:t>Attach LoRA adapters to the selected transformer projection modules.</w:t>
      </w:r>
    </w:p>
    <w:p>
      <w:pPr>
        <w:pStyle w:val="ListNumber"/>
      </w:pPr>
      <w:r>
        <w:t>Load the SAMSum dataset and inspect its dialogue/summary fields.</w:t>
      </w:r>
    </w:p>
    <w:p>
      <w:pPr>
        <w:pStyle w:val="ListNumber"/>
      </w:pPr>
      <w:r>
        <w:t>Shuffle the training split using seed 3407 and select 5,000 examples.</w:t>
      </w:r>
    </w:p>
    <w:p>
      <w:pPr>
        <w:pStyle w:val="ListNumber"/>
      </w:pPr>
      <w:r>
        <w:t>Format each example into the dialogue-to-summary prompt structure.</w:t>
      </w:r>
    </w:p>
    <w:p>
      <w:pPr>
        <w:pStyle w:val="ListNumber"/>
      </w:pPr>
      <w:r>
        <w:t>Configure supervised fine-tuning with batch size 2, gradient accumulation 4, learning rate 2e-4, and 60 maximum steps.</w:t>
      </w:r>
    </w:p>
    <w:p>
      <w:pPr>
        <w:pStyle w:val="ListNumber"/>
      </w:pPr>
      <w:r>
        <w:t>Train the LoRA adapter.</w:t>
      </w:r>
    </w:p>
    <w:p>
      <w:pPr>
        <w:pStyle w:val="ListNumber"/>
      </w:pPr>
      <w:r>
        <w:t>Record training time and GPU memory statistics.</w:t>
      </w:r>
    </w:p>
    <w:p>
      <w:pPr>
        <w:pStyle w:val="ListNumber"/>
      </w:pPr>
      <w:r>
        <w:t>Save the trained adapter and tokenizer to `samsum_lora_model/`.</w:t>
      </w:r>
    </w:p>
    <w:p>
      <w:pPr>
        <w:pStyle w:val="ListNumber"/>
      </w:pPr>
      <w:r>
        <w:t>Run inference on unseen conversations and perform a qualitative base-vs-fine-tuned comparison.</w:t>
      </w:r>
    </w:p>
    <w:p>
      <w:pPr>
        <w:pStyle w:val="Heading1"/>
      </w:pPr>
      <w:r>
        <w:t>7. Training and Resource Reporting</w:t>
      </w:r>
    </w:p>
    <w:p>
      <w:r>
        <w:t>The notebooks are designed to report the actual training runtime and GPU memory usage after execution. The newest replacement includes explicit timing and GPU-memory cells. Because the notebook source provided for this report does not contain a completed SAMSum training output, this report does not invent a training loss, runtime, or peak-memory value.</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E8EEF7"/>
          </w:tcPr>
          <w:p>
            <w:r/>
            <w:r>
              <w:rPr>
                <w:rFonts w:ascii="Aptos" w:hAnsi="Aptos"/>
                <w:b/>
                <w:sz w:val="19"/>
              </w:rPr>
              <w:t>Training steps</w:t>
            </w:r>
          </w:p>
        </w:tc>
        <w:tc>
          <w:tcPr>
            <w:tcW w:type="dxa" w:w="5472"/>
            <w:vAlign w:val="center"/>
          </w:tcPr>
          <w:p>
            <w:r/>
            <w:r>
              <w:rPr>
                <w:rFonts w:ascii="Aptos" w:hAnsi="Aptos"/>
                <w:b w:val="0"/>
                <w:sz w:val="19"/>
              </w:rPr>
              <w:t>60</w:t>
            </w:r>
          </w:p>
        </w:tc>
      </w:tr>
      <w:tr>
        <w:tc>
          <w:tcPr>
            <w:tcW w:type="dxa" w:w="4032"/>
            <w:vAlign w:val="center"/>
            <w:shd w:fill="E8EEF7"/>
          </w:tcPr>
          <w:p>
            <w:r/>
            <w:r>
              <w:rPr>
                <w:rFonts w:ascii="Aptos" w:hAnsi="Aptos"/>
                <w:b/>
                <w:sz w:val="19"/>
              </w:rPr>
              <w:t>Training subset</w:t>
            </w:r>
          </w:p>
        </w:tc>
        <w:tc>
          <w:tcPr>
            <w:tcW w:type="dxa" w:w="5472"/>
            <w:vAlign w:val="center"/>
          </w:tcPr>
          <w:p>
            <w:r/>
            <w:r>
              <w:rPr>
                <w:rFonts w:ascii="Aptos" w:hAnsi="Aptos"/>
                <w:b w:val="0"/>
                <w:sz w:val="19"/>
              </w:rPr>
              <w:t>5,000 examples</w:t>
            </w:r>
          </w:p>
        </w:tc>
      </w:tr>
      <w:tr>
        <w:tc>
          <w:tcPr>
            <w:tcW w:type="dxa" w:w="4032"/>
            <w:vAlign w:val="center"/>
            <w:shd w:fill="E8EEF7"/>
          </w:tcPr>
          <w:p>
            <w:r/>
            <w:r>
              <w:rPr>
                <w:rFonts w:ascii="Aptos" w:hAnsi="Aptos"/>
                <w:b/>
                <w:sz w:val="19"/>
              </w:rPr>
              <w:t>Training loss</w:t>
            </w:r>
          </w:p>
        </w:tc>
        <w:tc>
          <w:tcPr>
            <w:tcW w:type="dxa" w:w="5472"/>
            <w:vAlign w:val="center"/>
          </w:tcPr>
          <w:p>
            <w:r/>
            <w:r>
              <w:rPr>
                <w:rFonts w:ascii="Aptos" w:hAnsi="Aptos"/>
                <w:b w:val="0"/>
                <w:sz w:val="19"/>
              </w:rPr>
              <w:t>To be recorded from the executed trainer output</w:t>
            </w:r>
          </w:p>
        </w:tc>
      </w:tr>
      <w:tr>
        <w:tc>
          <w:tcPr>
            <w:tcW w:type="dxa" w:w="4032"/>
            <w:vAlign w:val="center"/>
            <w:shd w:fill="E8EEF7"/>
          </w:tcPr>
          <w:p>
            <w:r/>
            <w:r>
              <w:rPr>
                <w:rFonts w:ascii="Aptos" w:hAnsi="Aptos"/>
                <w:b/>
                <w:sz w:val="19"/>
              </w:rPr>
              <w:t>Training runtime</w:t>
            </w:r>
          </w:p>
        </w:tc>
        <w:tc>
          <w:tcPr>
            <w:tcW w:type="dxa" w:w="5472"/>
            <w:vAlign w:val="center"/>
          </w:tcPr>
          <w:p>
            <w:r/>
            <w:r>
              <w:rPr>
                <w:rFonts w:ascii="Aptos" w:hAnsi="Aptos"/>
                <w:b w:val="0"/>
                <w:sz w:val="19"/>
              </w:rPr>
              <w:t>To be recorded from the executed timing cell</w:t>
            </w:r>
          </w:p>
        </w:tc>
      </w:tr>
      <w:tr>
        <w:tc>
          <w:tcPr>
            <w:tcW w:type="dxa" w:w="4032"/>
            <w:vAlign w:val="center"/>
            <w:shd w:fill="E8EEF7"/>
          </w:tcPr>
          <w:p>
            <w:r/>
            <w:r>
              <w:rPr>
                <w:rFonts w:ascii="Aptos" w:hAnsi="Aptos"/>
                <w:b/>
                <w:sz w:val="19"/>
              </w:rPr>
              <w:t>Peak GPU memory</w:t>
            </w:r>
          </w:p>
        </w:tc>
        <w:tc>
          <w:tcPr>
            <w:tcW w:type="dxa" w:w="5472"/>
            <w:vAlign w:val="center"/>
          </w:tcPr>
          <w:p>
            <w:r/>
            <w:r>
              <w:rPr>
                <w:rFonts w:ascii="Aptos" w:hAnsi="Aptos"/>
                <w:b w:val="0"/>
                <w:sz w:val="19"/>
              </w:rPr>
              <w:t>To be recorded from the executed GPU statistics cell</w:t>
            </w:r>
          </w:p>
        </w:tc>
      </w:tr>
    </w:tbl>
    <w:p>
      <w:pPr>
        <w:pStyle w:val="Heading1"/>
      </w:pPr>
      <w:r>
        <w:t>8. Inference and Evaluation</w:t>
      </w:r>
    </w:p>
    <w:p>
      <w:r>
        <w:t>After fine-tuning, the newest replacement notebook switches the model to inference mode and tests it on four manually defined conversations that are separate from the selected training examples. The same conversations are then used with the original base model for a qualitative before-vs-after comparison.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ptos" w:hAnsi="Aptos"/>
                <w:b/>
                <w:sz w:val="19"/>
              </w:rPr>
              <w:t>Evaluation conversation</w:t>
            </w:r>
          </w:p>
        </w:tc>
        <w:tc>
          <w:tcPr>
            <w:tcW w:type="dxa" w:w="6624"/>
            <w:vAlign w:val="center"/>
            <w:shd w:fill="D9EAF7"/>
          </w:tcPr>
          <w:p>
            <w:r/>
            <w:r>
              <w:rPr>
                <w:rFonts w:ascii="Aptos" w:hAnsi="Aptos"/>
                <w:b/>
                <w:sz w:val="19"/>
              </w:rPr>
              <w:t>Focus</w:t>
            </w:r>
          </w:p>
        </w:tc>
      </w:tr>
      <w:tr>
        <w:tc>
          <w:tcPr>
            <w:tcW w:type="dxa" w:w="2880"/>
            <w:vAlign w:val="center"/>
          </w:tcPr>
          <w:p>
            <w:r/>
            <w:r>
              <w:rPr>
                <w:rFonts w:ascii="Aptos" w:hAnsi="Aptos"/>
                <w:b w:val="0"/>
                <w:sz w:val="19"/>
              </w:rPr>
              <w:t>Meeting arrangement</w:t>
            </w:r>
          </w:p>
        </w:tc>
        <w:tc>
          <w:tcPr>
            <w:tcW w:type="dxa" w:w="6624"/>
            <w:vAlign w:val="center"/>
          </w:tcPr>
          <w:p>
            <w:r/>
            <w:r>
              <w:rPr>
                <w:rFonts w:ascii="Aptos" w:hAnsi="Aptos"/>
                <w:b w:val="0"/>
                <w:sz w:val="19"/>
              </w:rPr>
              <w:t>John and Sarah confirm a 3 PM library meeting and discuss bringing documents and a budget report.</w:t>
            </w:r>
          </w:p>
        </w:tc>
      </w:tr>
      <w:tr>
        <w:tc>
          <w:tcPr>
            <w:tcW w:type="dxa" w:w="2880"/>
            <w:vAlign w:val="center"/>
          </w:tcPr>
          <w:p>
            <w:r/>
            <w:r>
              <w:rPr>
                <w:rFonts w:ascii="Aptos" w:hAnsi="Aptos"/>
                <w:b w:val="0"/>
                <w:sz w:val="19"/>
              </w:rPr>
              <w:t>Project report</w:t>
            </w:r>
          </w:p>
        </w:tc>
        <w:tc>
          <w:tcPr>
            <w:tcW w:type="dxa" w:w="6624"/>
            <w:vAlign w:val="center"/>
          </w:tcPr>
          <w:p>
            <w:r/>
            <w:r>
              <w:rPr>
                <w:rFonts w:ascii="Aptos" w:hAnsi="Aptos"/>
                <w:b w:val="0"/>
                <w:sz w:val="19"/>
              </w:rPr>
              <w:t>Mike asks Tom about a project report; Tom still needs to add the results section and will send it later.</w:t>
            </w:r>
          </w:p>
        </w:tc>
      </w:tr>
      <w:tr>
        <w:tc>
          <w:tcPr>
            <w:tcW w:type="dxa" w:w="2880"/>
            <w:vAlign w:val="center"/>
          </w:tcPr>
          <w:p>
            <w:r/>
            <w:r>
              <w:rPr>
                <w:rFonts w:ascii="Aptos" w:hAnsi="Aptos"/>
                <w:b w:val="0"/>
                <w:sz w:val="19"/>
              </w:rPr>
              <w:t>Party and exam</w:t>
            </w:r>
          </w:p>
        </w:tc>
        <w:tc>
          <w:tcPr>
            <w:tcW w:type="dxa" w:w="6624"/>
            <w:vAlign w:val="center"/>
          </w:tcPr>
          <w:p>
            <w:r/>
            <w:r>
              <w:rPr>
                <w:rFonts w:ascii="Aptos" w:hAnsi="Aptos"/>
                <w:b w:val="0"/>
                <w:sz w:val="19"/>
              </w:rPr>
              <w:t>Alice asks Bob about a party; Bob cannot attend because he has an exam the next day.</w:t>
            </w:r>
          </w:p>
        </w:tc>
      </w:tr>
      <w:tr>
        <w:tc>
          <w:tcPr>
            <w:tcW w:type="dxa" w:w="2880"/>
            <w:vAlign w:val="center"/>
          </w:tcPr>
          <w:p>
            <w:r/>
            <w:r>
              <w:rPr>
                <w:rFonts w:ascii="Aptos" w:hAnsi="Aptos"/>
                <w:b w:val="0"/>
                <w:sz w:val="19"/>
              </w:rPr>
              <w:t>Grocery request</w:t>
            </w:r>
          </w:p>
        </w:tc>
        <w:tc>
          <w:tcPr>
            <w:tcW w:type="dxa" w:w="6624"/>
            <w:vAlign w:val="center"/>
          </w:tcPr>
          <w:p>
            <w:r/>
            <w:r>
              <w:rPr>
                <w:rFonts w:ascii="Aptos" w:hAnsi="Aptos"/>
                <w:b w:val="0"/>
                <w:sz w:val="19"/>
              </w:rPr>
              <w:t>Emma asks David to buy milk, bread, and eggs on his way home.</w:t>
            </w:r>
          </w:p>
        </w:tc>
      </w:tr>
    </w:tbl>
    <w:p>
      <w:r>
        <w:t>The first notebook uses a maximum generation length of 64 new tokens for its inference examples. The newest replacement uses 128 new tokens and explicitly asks for a concise, third-person summary. The newer inference setup is therefore the one reflected in this final report.</w:t>
      </w:r>
    </w:p>
    <w:p>
      <w:pPr>
        <w:pStyle w:val="Heading1"/>
      </w:pPr>
      <w:r>
        <w:t>9. Before vs. After Comparison</w:t>
      </w:r>
    </w:p>
    <w:p>
      <w:r>
        <w:t>The newest replacement notebook reloads the base Qwen2.5-7B-Instruct model after clearing GPU memory and applies the same summarization prompt to the same four conversations. This provides a controlled qualitative comparison between the original base model and the LoRA-adapted model.</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Aptos" w:hAnsi="Aptos"/>
                <w:b/>
                <w:sz w:val="19"/>
              </w:rPr>
              <w:t>Test</w:t>
            </w:r>
          </w:p>
        </w:tc>
        <w:tc>
          <w:tcPr>
            <w:tcW w:type="dxa" w:w="3168"/>
            <w:vAlign w:val="center"/>
            <w:shd w:fill="D9EAF7"/>
          </w:tcPr>
          <w:p>
            <w:r/>
            <w:r>
              <w:rPr>
                <w:rFonts w:ascii="Aptos" w:hAnsi="Aptos"/>
                <w:b/>
                <w:sz w:val="19"/>
              </w:rPr>
              <w:t>Base model</w:t>
            </w:r>
          </w:p>
        </w:tc>
        <w:tc>
          <w:tcPr>
            <w:tcW w:type="dxa" w:w="3456"/>
            <w:vAlign w:val="center"/>
            <w:shd w:fill="D9EAF7"/>
          </w:tcPr>
          <w:p>
            <w:r/>
            <w:r>
              <w:rPr>
                <w:rFonts w:ascii="Aptos" w:hAnsi="Aptos"/>
                <w:b/>
                <w:sz w:val="19"/>
              </w:rPr>
              <w:t>LoRA fine-tuned model</w:t>
            </w:r>
          </w:p>
        </w:tc>
      </w:tr>
      <w:tr>
        <w:tc>
          <w:tcPr>
            <w:tcW w:type="dxa" w:w="2880"/>
            <w:vAlign w:val="center"/>
          </w:tcPr>
          <w:p>
            <w:r/>
            <w:r>
              <w:rPr>
                <w:rFonts w:ascii="Aptos" w:hAnsi="Aptos"/>
                <w:b w:val="0"/>
                <w:sz w:val="19"/>
              </w:rPr>
              <w:t>Meeting arrangement</w:t>
            </w:r>
          </w:p>
        </w:tc>
        <w:tc>
          <w:tcPr>
            <w:tcW w:type="dxa" w:w="3168"/>
            <w:vAlign w:val="center"/>
          </w:tcPr>
          <w:p>
            <w:r/>
            <w:r>
              <w:rPr>
                <w:rFonts w:ascii="Aptos" w:hAnsi="Aptos"/>
                <w:b w:val="0"/>
                <w:sz w:val="19"/>
              </w:rPr>
              <w:t>General-purpose summary</w:t>
            </w:r>
          </w:p>
        </w:tc>
        <w:tc>
          <w:tcPr>
            <w:tcW w:type="dxa" w:w="3456"/>
            <w:vAlign w:val="center"/>
          </w:tcPr>
          <w:p>
            <w:r/>
            <w:r>
              <w:rPr>
                <w:rFonts w:ascii="Aptos" w:hAnsi="Aptos"/>
                <w:b w:val="0"/>
                <w:sz w:val="19"/>
              </w:rPr>
              <w:t>Task-formatted concise summary</w:t>
            </w:r>
          </w:p>
        </w:tc>
      </w:tr>
      <w:tr>
        <w:tc>
          <w:tcPr>
            <w:tcW w:type="dxa" w:w="2880"/>
            <w:vAlign w:val="center"/>
          </w:tcPr>
          <w:p>
            <w:r/>
            <w:r>
              <w:rPr>
                <w:rFonts w:ascii="Aptos" w:hAnsi="Aptos"/>
                <w:b w:val="0"/>
                <w:sz w:val="19"/>
              </w:rPr>
              <w:t>Project report</w:t>
            </w:r>
          </w:p>
        </w:tc>
        <w:tc>
          <w:tcPr>
            <w:tcW w:type="dxa" w:w="3168"/>
            <w:vAlign w:val="center"/>
          </w:tcPr>
          <w:p>
            <w:r/>
            <w:r>
              <w:rPr>
                <w:rFonts w:ascii="Aptos" w:hAnsi="Aptos"/>
                <w:b w:val="0"/>
                <w:sz w:val="19"/>
              </w:rPr>
              <w:t>General-purpose summary</w:t>
            </w:r>
          </w:p>
        </w:tc>
        <w:tc>
          <w:tcPr>
            <w:tcW w:type="dxa" w:w="3456"/>
            <w:vAlign w:val="center"/>
          </w:tcPr>
          <w:p>
            <w:r/>
            <w:r>
              <w:rPr>
                <w:rFonts w:ascii="Aptos" w:hAnsi="Aptos"/>
                <w:b w:val="0"/>
                <w:sz w:val="19"/>
              </w:rPr>
              <w:t>Task-formatted concise summary</w:t>
            </w:r>
          </w:p>
        </w:tc>
      </w:tr>
      <w:tr>
        <w:tc>
          <w:tcPr>
            <w:tcW w:type="dxa" w:w="2880"/>
            <w:vAlign w:val="center"/>
          </w:tcPr>
          <w:p>
            <w:r/>
            <w:r>
              <w:rPr>
                <w:rFonts w:ascii="Aptos" w:hAnsi="Aptos"/>
                <w:b w:val="0"/>
                <w:sz w:val="19"/>
              </w:rPr>
              <w:t>Party and exam</w:t>
            </w:r>
          </w:p>
        </w:tc>
        <w:tc>
          <w:tcPr>
            <w:tcW w:type="dxa" w:w="3168"/>
            <w:vAlign w:val="center"/>
          </w:tcPr>
          <w:p>
            <w:r/>
            <w:r>
              <w:rPr>
                <w:rFonts w:ascii="Aptos" w:hAnsi="Aptos"/>
                <w:b w:val="0"/>
                <w:sz w:val="19"/>
              </w:rPr>
              <w:t>General-purpose summary</w:t>
            </w:r>
          </w:p>
        </w:tc>
        <w:tc>
          <w:tcPr>
            <w:tcW w:type="dxa" w:w="3456"/>
            <w:vAlign w:val="center"/>
          </w:tcPr>
          <w:p>
            <w:r/>
            <w:r>
              <w:rPr>
                <w:rFonts w:ascii="Aptos" w:hAnsi="Aptos"/>
                <w:b w:val="0"/>
                <w:sz w:val="19"/>
              </w:rPr>
              <w:t>Task-formatted concise summary</w:t>
            </w:r>
          </w:p>
        </w:tc>
      </w:tr>
      <w:tr>
        <w:tc>
          <w:tcPr>
            <w:tcW w:type="dxa" w:w="2880"/>
            <w:vAlign w:val="center"/>
          </w:tcPr>
          <w:p>
            <w:r/>
            <w:r>
              <w:rPr>
                <w:rFonts w:ascii="Aptos" w:hAnsi="Aptos"/>
                <w:b w:val="0"/>
                <w:sz w:val="19"/>
              </w:rPr>
              <w:t>Grocery request</w:t>
            </w:r>
          </w:p>
        </w:tc>
        <w:tc>
          <w:tcPr>
            <w:tcW w:type="dxa" w:w="3168"/>
            <w:vAlign w:val="center"/>
          </w:tcPr>
          <w:p>
            <w:r/>
            <w:r>
              <w:rPr>
                <w:rFonts w:ascii="Aptos" w:hAnsi="Aptos"/>
                <w:b w:val="0"/>
                <w:sz w:val="19"/>
              </w:rPr>
              <w:t>General-purpose summary</w:t>
            </w:r>
          </w:p>
        </w:tc>
        <w:tc>
          <w:tcPr>
            <w:tcW w:type="dxa" w:w="3456"/>
            <w:vAlign w:val="center"/>
          </w:tcPr>
          <w:p>
            <w:r/>
            <w:r>
              <w:rPr>
                <w:rFonts w:ascii="Aptos" w:hAnsi="Aptos"/>
                <w:b w:val="0"/>
                <w:sz w:val="19"/>
              </w:rPr>
              <w:t>Task-formatted concise summary</w:t>
            </w:r>
          </w:p>
        </w:tc>
      </w:tr>
    </w:tbl>
    <w:p>
      <w:r>
        <w:t>This is a qualitative evaluation rather than a formal benchmark. The project does not claim that the LoRA model is objectively superior based only on four examples and a 60-step training run.</w:t>
      </w:r>
    </w:p>
    <w:p>
      <w:pPr>
        <w:pStyle w:val="Heading1"/>
      </w:pPr>
      <w:r>
        <w:t>10. Saving and Reuse of the LoRA Adapter</w:t>
      </w:r>
    </w:p>
    <w:p>
      <w:r>
        <w:t>The fine-tuned model and tokenizer are saved under the directory `samsum_lora_model/`. The newest replacement notebook additionally creates a ZIP archive named `samsum_qwen2.5_7b_lora_model.zip` for convenient download from Colab.</w:t>
      </w:r>
    </w:p>
    <w:p>
      <w:pPr>
        <w:pStyle w:val="Heading1"/>
      </w:pPr>
      <w:r>
        <w:t>11. Features of the Fine-Tuned Model</w:t>
      </w:r>
    </w:p>
    <w:p>
      <w:pPr>
        <w:pStyle w:val="ListBullet"/>
      </w:pPr>
      <w:r>
        <w:t>Dialogue summarization for multi-speaker English conversations.</w:t>
      </w:r>
    </w:p>
    <w:p>
      <w:pPr>
        <w:pStyle w:val="ListBullet"/>
      </w:pPr>
      <w:r>
        <w:t>Consistent instruction-based dialogue-to-summary formatting.</w:t>
      </w:r>
    </w:p>
    <w:p>
      <w:pPr>
        <w:pStyle w:val="ListBullet"/>
      </w:pPr>
      <w:r>
        <w:t>LoRA-based parameter-efficient adaptation.</w:t>
      </w:r>
    </w:p>
    <w:p>
      <w:pPr>
        <w:pStyle w:val="ListBullet"/>
      </w:pPr>
      <w:r>
        <w:t>4-bit model loading for reduced GPU memory requirements.</w:t>
      </w:r>
    </w:p>
    <w:p>
      <w:pPr>
        <w:pStyle w:val="ListBullet"/>
      </w:pPr>
      <w:r>
        <w:t>Reusable LoRA adapter saved separately from the base model.</w:t>
      </w:r>
    </w:p>
    <w:p>
      <w:pPr>
        <w:pStyle w:val="ListBullet"/>
      </w:pPr>
      <w:r>
        <w:t>Qualitative evaluation on unseen conversations.</w:t>
      </w:r>
    </w:p>
    <w:p>
      <w:pPr>
        <w:pStyle w:val="ListBullet"/>
      </w:pPr>
      <w:r>
        <w:t>Base-model comparison using the same prompts and test conversations.</w:t>
      </w:r>
    </w:p>
    <w:p>
      <w:pPr>
        <w:pStyle w:val="Heading1"/>
      </w:pPr>
      <w:r>
        <w:t>12. Limitations</w:t>
      </w:r>
    </w:p>
    <w:p>
      <w:pPr>
        <w:pStyle w:val="ListBullet"/>
      </w:pPr>
      <w:r>
        <w:t>Only 5,000 training examples are used for the initial experiment.</w:t>
      </w:r>
    </w:p>
    <w:p>
      <w:pPr>
        <w:pStyle w:val="ListBullet"/>
      </w:pPr>
      <w:r>
        <w:t>Training is limited to 60 steps and is therefore an initial demonstration rather than a full optimization study.</w:t>
      </w:r>
    </w:p>
    <w:p>
      <w:pPr>
        <w:pStyle w:val="ListBullet"/>
      </w:pPr>
      <w:r>
        <w:t>Evaluation is qualitative and uses four manually defined conversations.</w:t>
      </w:r>
    </w:p>
    <w:p>
      <w:pPr>
        <w:pStyle w:val="ListBullet"/>
      </w:pPr>
      <w:r>
        <w:t>No ROUGE, BERTScore, or other quantitative summarization benchmark is included in the notebook.</w:t>
      </w:r>
    </w:p>
    <w:p>
      <w:pPr>
        <w:pStyle w:val="ListBullet"/>
      </w:pPr>
      <w:r>
        <w:t>The base Qwen2.5-7B-Instruct model already has general summarization capability, so improvements may be difficult to establish from a short run.</w:t>
      </w:r>
    </w:p>
    <w:p>
      <w:pPr>
        <w:pStyle w:val="ListBullet"/>
      </w:pPr>
      <w:r>
        <w:t>Generated summaries may vary in length or wording depending on the model's generation behavior.</w:t>
      </w:r>
    </w:p>
    <w:p>
      <w:pPr>
        <w:pStyle w:val="ListBullet"/>
      </w:pPr>
      <w:r>
        <w:t>The actual training loss, runtime, and GPU-memory values should be taken from the executed Colab output rather than assumed in advance.</w:t>
      </w:r>
    </w:p>
    <w:p>
      <w:pPr>
        <w:pStyle w:val="Heading1"/>
      </w:pPr>
      <w:r>
        <w:t>13. Conclusion</w:t>
      </w:r>
    </w:p>
    <w:p>
      <w:r>
        <w:t>This project demonstrates an end-to-end parameter-efficient fine-tuning pipeline for adapting Qwen2.5-7B-Instruct to English dialogue summarization using the SAMSum dataset. The shared configuration across the first notebook and the newest replacement consists of 5,000 shuffled training examples, 4-bit model loading, LoRA rank 16, alpha 16, dropout 0, a maximum sequence length of 2048, and a 60-step supervised fine-tuning run.</w:t>
      </w:r>
    </w:p>
    <w:p>
      <w:r>
        <w:t>The newest replacement extends the original notebook workflow with an explicit GPU check, training-time and memory reporting, base-model comparison, adapter ZIP download, and clearer project documentation. The final evaluation remains qualitative, so a longer training run and formal summarization metrics would be needed for a stronger performance study.</w:t>
      </w:r>
    </w:p>
    <w:p>
      <w:pPr>
        <w:pStyle w:val="Heading1"/>
      </w:pPr>
      <w:r>
        <w:t>14. Technology Stack</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E8EEF7"/>
          </w:tcPr>
          <w:p>
            <w:r/>
            <w:r>
              <w:rPr>
                <w:rFonts w:ascii="Aptos" w:hAnsi="Aptos"/>
                <w:b/>
                <w:sz w:val="19"/>
              </w:rPr>
              <w:t>Google Colab</w:t>
            </w:r>
          </w:p>
        </w:tc>
        <w:tc>
          <w:tcPr>
            <w:tcW w:type="dxa" w:w="6336"/>
            <w:vAlign w:val="center"/>
          </w:tcPr>
          <w:p>
            <w:r/>
            <w:r>
              <w:rPr>
                <w:rFonts w:ascii="Aptos" w:hAnsi="Aptos"/>
                <w:b w:val="0"/>
                <w:sz w:val="19"/>
              </w:rPr>
              <w:t>Development and training environment</w:t>
            </w:r>
          </w:p>
        </w:tc>
      </w:tr>
      <w:tr>
        <w:tc>
          <w:tcPr>
            <w:tcW w:type="dxa" w:w="3168"/>
            <w:vAlign w:val="center"/>
            <w:shd w:fill="E8EEF7"/>
          </w:tcPr>
          <w:p>
            <w:r/>
            <w:r>
              <w:rPr>
                <w:rFonts w:ascii="Aptos" w:hAnsi="Aptos"/>
                <w:b/>
                <w:sz w:val="19"/>
              </w:rPr>
              <w:t>NVIDIA GPU</w:t>
            </w:r>
          </w:p>
        </w:tc>
        <w:tc>
          <w:tcPr>
            <w:tcW w:type="dxa" w:w="6336"/>
            <w:vAlign w:val="center"/>
          </w:tcPr>
          <w:p>
            <w:r/>
            <w:r>
              <w:rPr>
                <w:rFonts w:ascii="Aptos" w:hAnsi="Aptos"/>
                <w:b w:val="0"/>
                <w:sz w:val="19"/>
              </w:rPr>
              <w:t>GPU acceleration</w:t>
            </w:r>
          </w:p>
        </w:tc>
      </w:tr>
      <w:tr>
        <w:tc>
          <w:tcPr>
            <w:tcW w:type="dxa" w:w="3168"/>
            <w:vAlign w:val="center"/>
            <w:shd w:fill="E8EEF7"/>
          </w:tcPr>
          <w:p>
            <w:r/>
            <w:r>
              <w:rPr>
                <w:rFonts w:ascii="Aptos" w:hAnsi="Aptos"/>
                <w:b/>
                <w:sz w:val="19"/>
              </w:rPr>
              <w:t>Qwen2.5-7B-Instruct</w:t>
            </w:r>
          </w:p>
        </w:tc>
        <w:tc>
          <w:tcPr>
            <w:tcW w:type="dxa" w:w="6336"/>
            <w:vAlign w:val="center"/>
          </w:tcPr>
          <w:p>
            <w:r/>
            <w:r>
              <w:rPr>
                <w:rFonts w:ascii="Aptos" w:hAnsi="Aptos"/>
                <w:b w:val="0"/>
                <w:sz w:val="19"/>
              </w:rPr>
              <w:t>Base language model</w:t>
            </w:r>
          </w:p>
        </w:tc>
      </w:tr>
      <w:tr>
        <w:tc>
          <w:tcPr>
            <w:tcW w:type="dxa" w:w="3168"/>
            <w:vAlign w:val="center"/>
            <w:shd w:fill="E8EEF7"/>
          </w:tcPr>
          <w:p>
            <w:r/>
            <w:r>
              <w:rPr>
                <w:rFonts w:ascii="Aptos" w:hAnsi="Aptos"/>
                <w:b/>
                <w:sz w:val="19"/>
              </w:rPr>
              <w:t>Unsloth</w:t>
            </w:r>
          </w:p>
        </w:tc>
        <w:tc>
          <w:tcPr>
            <w:tcW w:type="dxa" w:w="6336"/>
            <w:vAlign w:val="center"/>
          </w:tcPr>
          <w:p>
            <w:r/>
            <w:r>
              <w:rPr>
                <w:rFonts w:ascii="Aptos" w:hAnsi="Aptos"/>
                <w:b w:val="0"/>
                <w:sz w:val="19"/>
              </w:rPr>
              <w:t>Efficient model loading and LoRA fine-tuning</w:t>
            </w:r>
          </w:p>
        </w:tc>
      </w:tr>
      <w:tr>
        <w:tc>
          <w:tcPr>
            <w:tcW w:type="dxa" w:w="3168"/>
            <w:vAlign w:val="center"/>
            <w:shd w:fill="E8EEF7"/>
          </w:tcPr>
          <w:p>
            <w:r/>
            <w:r>
              <w:rPr>
                <w:rFonts w:ascii="Aptos" w:hAnsi="Aptos"/>
                <w:b/>
                <w:sz w:val="19"/>
              </w:rPr>
              <w:t>LoRA</w:t>
            </w:r>
          </w:p>
        </w:tc>
        <w:tc>
          <w:tcPr>
            <w:tcW w:type="dxa" w:w="6336"/>
            <w:vAlign w:val="center"/>
          </w:tcPr>
          <w:p>
            <w:r/>
            <w:r>
              <w:rPr>
                <w:rFonts w:ascii="Aptos" w:hAnsi="Aptos"/>
                <w:b w:val="0"/>
                <w:sz w:val="19"/>
              </w:rPr>
              <w:t>Parameter-efficient fine-tuning</w:t>
            </w:r>
          </w:p>
        </w:tc>
      </w:tr>
      <w:tr>
        <w:tc>
          <w:tcPr>
            <w:tcW w:type="dxa" w:w="3168"/>
            <w:vAlign w:val="center"/>
            <w:shd w:fill="E8EEF7"/>
          </w:tcPr>
          <w:p>
            <w:r/>
            <w:r>
              <w:rPr>
                <w:rFonts w:ascii="Aptos" w:hAnsi="Aptos"/>
                <w:b/>
                <w:sz w:val="19"/>
              </w:rPr>
              <w:t>4-bit Quantization</w:t>
            </w:r>
          </w:p>
        </w:tc>
        <w:tc>
          <w:tcPr>
            <w:tcW w:type="dxa" w:w="6336"/>
            <w:vAlign w:val="center"/>
          </w:tcPr>
          <w:p>
            <w:r/>
            <w:r>
              <w:rPr>
                <w:rFonts w:ascii="Aptos" w:hAnsi="Aptos"/>
                <w:b w:val="0"/>
                <w:sz w:val="19"/>
              </w:rPr>
              <w:t>Memory-efficient model loading</w:t>
            </w:r>
          </w:p>
        </w:tc>
      </w:tr>
      <w:tr>
        <w:tc>
          <w:tcPr>
            <w:tcW w:type="dxa" w:w="3168"/>
            <w:vAlign w:val="center"/>
            <w:shd w:fill="E8EEF7"/>
          </w:tcPr>
          <w:p>
            <w:r/>
            <w:r>
              <w:rPr>
                <w:rFonts w:ascii="Aptos" w:hAnsi="Aptos"/>
                <w:b/>
                <w:sz w:val="19"/>
              </w:rPr>
              <w:t>Hugging Face Datasets</w:t>
            </w:r>
          </w:p>
        </w:tc>
        <w:tc>
          <w:tcPr>
            <w:tcW w:type="dxa" w:w="6336"/>
            <w:vAlign w:val="center"/>
          </w:tcPr>
          <w:p>
            <w:r/>
            <w:r>
              <w:rPr>
                <w:rFonts w:ascii="Aptos" w:hAnsi="Aptos"/>
                <w:b w:val="0"/>
                <w:sz w:val="19"/>
              </w:rPr>
              <w:t>Dataset loading and processing</w:t>
            </w:r>
          </w:p>
        </w:tc>
      </w:tr>
      <w:tr>
        <w:tc>
          <w:tcPr>
            <w:tcW w:type="dxa" w:w="3168"/>
            <w:vAlign w:val="center"/>
            <w:shd w:fill="E8EEF7"/>
          </w:tcPr>
          <w:p>
            <w:r/>
            <w:r>
              <w:rPr>
                <w:rFonts w:ascii="Aptos" w:hAnsi="Aptos"/>
                <w:b/>
                <w:sz w:val="19"/>
              </w:rPr>
              <w:t>Hugging Face TRL</w:t>
            </w:r>
          </w:p>
        </w:tc>
        <w:tc>
          <w:tcPr>
            <w:tcW w:type="dxa" w:w="6336"/>
            <w:vAlign w:val="center"/>
          </w:tcPr>
          <w:p>
            <w:r/>
            <w:r>
              <w:rPr>
                <w:rFonts w:ascii="Aptos" w:hAnsi="Aptos"/>
                <w:b w:val="0"/>
                <w:sz w:val="19"/>
              </w:rPr>
              <w:t>Supervised fine-tuning</w:t>
            </w:r>
          </w:p>
        </w:tc>
      </w:tr>
      <w:tr>
        <w:tc>
          <w:tcPr>
            <w:tcW w:type="dxa" w:w="3168"/>
            <w:vAlign w:val="center"/>
            <w:shd w:fill="E8EEF7"/>
          </w:tcPr>
          <w:p>
            <w:r/>
            <w:r>
              <w:rPr>
                <w:rFonts w:ascii="Aptos" w:hAnsi="Aptos"/>
                <w:b/>
                <w:sz w:val="19"/>
              </w:rPr>
              <w:t>PyTorch</w:t>
            </w:r>
          </w:p>
        </w:tc>
        <w:tc>
          <w:tcPr>
            <w:tcW w:type="dxa" w:w="6336"/>
            <w:vAlign w:val="center"/>
          </w:tcPr>
          <w:p>
            <w:r/>
            <w:r>
              <w:rPr>
                <w:rFonts w:ascii="Aptos" w:hAnsi="Aptos"/>
                <w:b w:val="0"/>
                <w:sz w:val="19"/>
              </w:rPr>
              <w:t>Deep learning framework</w:t>
            </w:r>
          </w:p>
        </w:tc>
      </w:tr>
    </w:tbl>
    <w:p>
      <w:pPr>
        <w:pStyle w:val="Heading1"/>
      </w:pPr>
      <w:r>
        <w:t>15. Project Workflow Summary</w:t>
      </w:r>
    </w:p>
    <w:p>
      <w:pPr>
        <w:jc w:val="center"/>
      </w:pPr>
      <w:r>
        <w:rPr>
          <w:b/>
        </w:rPr>
        <w:t>SAMSum Dataset → 5,000 Examples → Dialogue/Summary Formatting → Qwen2.5-7B-Instruct 4-bit → LoRA Adapter → 60-Step Fine-Tuning → Unseen Dialogue Inference → Base-vs-Fine-Tuned Comparison → Saved LoRA Adapter</w:t>
      </w:r>
    </w:p>
    <w:p/>
    <w:p>
      <w:pPr>
        <w:pStyle w:val="SmallNote"/>
      </w:pPr>
      <w:r>
        <w:t>Source basis: this report was reconstructed from the first notebook `Qwen2.5_LoRA_SAMSum_Dialogue_Summarization.ipynb` and the newest replacement `SAMSum_Qwen2.5_7B_LoRA_Dialogue_Summarization_Colab.ipynb`. The report intentionally follows the four evaluation conversations present in the two notebooks and does not carry over the fifth train-arrangement example from the older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SAMSum Dialogue Summarization — Qwen2.5-7B + LoRA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