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42.png" ContentType="image/png"/>
  <Override PartName="/word/media/rId34.png" ContentType="image/png"/>
  <Override PartName="/word/media/rId38.png" ContentType="image/png"/>
  <Override PartName="/word/media/rId46.png" ContentType="image/png"/>
  <Override PartName="/word/media/rId50.png" ContentType="image/png"/>
  <Override PartName="/word/media/rId58.png" ContentType="image/png"/>
  <Override PartName="/word/media/rId54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Освоение арифметических инструкций языка ассемблера NASM и написание программ для вычисление заданных выражений.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Написание первой программы lab7-1.asm, которая работает с числами, представленными через ASCII. В результате мы видим знак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 так как программа сложила двоичные коды введенных нами значений. (рис. 1)</w:t>
      </w:r>
    </w:p>
    <w:p>
      <w:pPr>
        <w:pStyle w:val="CaptionedFigure"/>
      </w:pPr>
      <w:bookmarkStart w:id="25" w:name="fig:fig1"/>
      <w:r>
        <w:drawing>
          <wp:inline>
            <wp:extent cx="5334000" cy="575477"/>
            <wp:effectExtent b="0" l="0" r="0" t="0"/>
            <wp:docPr descr="Рис. 1: lab7-1.asm_выв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lab7-1.asm_вывод</w:t>
      </w:r>
    </w:p>
    <w:p>
      <w:pPr>
        <w:pStyle w:val="BodyText"/>
      </w:pPr>
      <w:r>
        <w:t xml:space="preserve">Далее мы преобразовываем программу и заменяем значения с кавычками на обычные цифры. В ответе получаем пустую строку, что соотвествует символу STX (рис. 2),(рис. [#fig:fig3])</w:t>
      </w:r>
    </w:p>
    <w:p>
      <w:pPr>
        <w:pStyle w:val="CaptionedFigure"/>
      </w:pPr>
      <w:bookmarkStart w:id="29" w:name="fig:fig2"/>
      <w:r>
        <w:drawing>
          <wp:inline>
            <wp:extent cx="2921000" cy="4178300"/>
            <wp:effectExtent b="0" l="0" r="0" t="0"/>
            <wp:docPr descr="Рис. 2: код" title="" id="27" name="Picture"/>
            <a:graphic>
              <a:graphicData uri="http://schemas.openxmlformats.org/drawingml/2006/picture">
                <pic:pic>
                  <pic:nvPicPr>
                    <pic:cNvPr descr="image/2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код</w:t>
      </w:r>
    </w:p>
    <w:p>
      <w:pPr>
        <w:pStyle w:val="CaptionedFigure"/>
      </w:pPr>
      <w:bookmarkStart w:id="33" w:name="fig:fig3"/>
      <w:r>
        <w:drawing>
          <wp:inline>
            <wp:extent cx="5334000" cy="810619"/>
            <wp:effectExtent b="0" l="0" r="0" t="0"/>
            <wp:docPr descr="Рис. 3: lab7-1.asm_вывод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lab7-1.asm_вывод</w:t>
      </w:r>
    </w:p>
    <w:p>
      <w:pPr>
        <w:pStyle w:val="BodyText"/>
      </w:pPr>
      <w:r>
        <w:t xml:space="preserve">Пишем еще одну программу lab7-2.asm с небольшими изменениями. В результате получаем число 106, т.к. данная программа преобразовывает полученный код в число (рис. 4)</w:t>
      </w:r>
    </w:p>
    <w:p>
      <w:pPr>
        <w:pStyle w:val="CaptionedFigure"/>
      </w:pPr>
      <w:bookmarkStart w:id="37" w:name="fig:fig4"/>
      <w:r>
        <w:drawing>
          <wp:inline>
            <wp:extent cx="5334000" cy="730176"/>
            <wp:effectExtent b="0" l="0" r="0" t="0"/>
            <wp:docPr descr="Рис. 4: lab7-2.asm_вывод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lab7-2.asm_вывод</w:t>
      </w:r>
    </w:p>
    <w:p>
      <w:pPr>
        <w:pStyle w:val="BodyText"/>
      </w:pPr>
      <w:r>
        <w:t xml:space="preserve">Опять же меняем значения с кавычками на обычные числа и получаем нужный нам ответ в виде суммы введенных чисел (рис. 5)</w:t>
      </w:r>
    </w:p>
    <w:p>
      <w:pPr>
        <w:pStyle w:val="CaptionedFigure"/>
      </w:pPr>
      <w:bookmarkStart w:id="41" w:name="fig:fig5"/>
      <w:r>
        <w:drawing>
          <wp:inline>
            <wp:extent cx="5334000" cy="730176"/>
            <wp:effectExtent b="0" l="0" r="0" t="0"/>
            <wp:docPr descr="Рис. 5: lab7-2.asm_вывод" title="" id="39" name="Picture"/>
            <a:graphic>
              <a:graphicData uri="http://schemas.openxmlformats.org/drawingml/2006/picture">
                <pic:pic>
                  <pic:nvPicPr>
                    <pic:cNvPr descr="image/3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lab7-2.asm_вывод</w:t>
      </w:r>
    </w:p>
    <w:p>
      <w:pPr>
        <w:pStyle w:val="BodyText"/>
      </w:pPr>
      <w:r>
        <w:t xml:space="preserve">Поменяв функцию iprintLF на iprint видим, как программа выводит значение без последующего переноса строки, из-за чего строка ввода</w:t>
      </w:r>
      <w:r>
        <w:t xml:space="preserve"> </w:t>
      </w:r>
      <w:r>
        <w:t xml:space="preserve">“</w:t>
      </w:r>
      <w:r>
        <w:t xml:space="preserve">налезла</w:t>
      </w:r>
      <w:r>
        <w:t xml:space="preserve">”</w:t>
      </w:r>
      <w:r>
        <w:t xml:space="preserve"> </w:t>
      </w:r>
      <w:r>
        <w:t xml:space="preserve">на вывод (рис. 6), (рис. 7)</w:t>
      </w:r>
    </w:p>
    <w:p>
      <w:pPr>
        <w:pStyle w:val="CaptionedFigure"/>
      </w:pPr>
      <w:bookmarkStart w:id="45" w:name="fig:fig6"/>
      <w:r>
        <w:drawing>
          <wp:inline>
            <wp:extent cx="2921000" cy="3009900"/>
            <wp:effectExtent b="0" l="0" r="0" t="0"/>
            <wp:docPr descr="Рис. 6: код" title="" id="43" name="Picture"/>
            <a:graphic>
              <a:graphicData uri="http://schemas.openxmlformats.org/drawingml/2006/picture">
                <pic:pic>
                  <pic:nvPicPr>
                    <pic:cNvPr descr="image/3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код</w:t>
      </w:r>
    </w:p>
    <w:p>
      <w:pPr>
        <w:pStyle w:val="CaptionedFigure"/>
      </w:pPr>
      <w:bookmarkStart w:id="49" w:name="fig:fig7"/>
      <w:r>
        <w:drawing>
          <wp:inline>
            <wp:extent cx="5334000" cy="600229"/>
            <wp:effectExtent b="0" l="0" r="0" t="0"/>
            <wp:docPr descr="Рис. 7: lab7-2.asm_вывод" title="" id="47" name="Picture"/>
            <a:graphic>
              <a:graphicData uri="http://schemas.openxmlformats.org/drawingml/2006/picture">
                <pic:pic>
                  <pic:nvPicPr>
                    <pic:cNvPr descr="image/3_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lab7-2.asm_вывод</w:t>
      </w:r>
    </w:p>
    <w:p>
      <w:pPr>
        <w:pStyle w:val="BodyText"/>
      </w:pPr>
      <w:r>
        <w:t xml:space="preserve">Пишем программу, выполняющую более сложные арифметические операции (а конкретно (5х2+3)/3) (рис. 8), (рис. 9)</w:t>
      </w:r>
    </w:p>
    <w:p>
      <w:pPr>
        <w:pStyle w:val="CaptionedFigure"/>
      </w:pPr>
      <w:bookmarkStart w:id="53" w:name="fig:fig8"/>
      <w:r>
        <w:drawing>
          <wp:inline>
            <wp:extent cx="4051300" cy="7607300"/>
            <wp:effectExtent b="0" l="0" r="0" t="0"/>
            <wp:docPr descr="Рис. 8: код" title="" id="51" name="Picture"/>
            <a:graphic>
              <a:graphicData uri="http://schemas.openxmlformats.org/drawingml/2006/picture">
                <pic:pic>
                  <pic:nvPicPr>
                    <pic:cNvPr descr="image/4.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6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</w:t>
      </w:r>
    </w:p>
    <w:p>
      <w:pPr>
        <w:pStyle w:val="CaptionedFigure"/>
      </w:pPr>
      <w:bookmarkStart w:id="57" w:name="fig:fig9"/>
      <w:r>
        <w:drawing>
          <wp:inline>
            <wp:extent cx="5334000" cy="820615"/>
            <wp:effectExtent b="0" l="0" r="0" t="0"/>
            <wp:docPr descr="Рис. 9: lab7-3.asm_вывод" title="" id="55" name="Picture"/>
            <a:graphic>
              <a:graphicData uri="http://schemas.openxmlformats.org/drawingml/2006/picture">
                <pic:pic>
                  <pic:nvPicPr>
                    <pic:cNvPr descr="image/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lab7-3.asm_вывод</w:t>
      </w:r>
    </w:p>
    <w:p>
      <w:pPr>
        <w:pStyle w:val="BodyText"/>
      </w:pPr>
      <w:r>
        <w:t xml:space="preserve">Пишем аналогичную программу, вычисляющую (4х6+2)/5 (рис. 10), (рис. 11)</w:t>
      </w:r>
    </w:p>
    <w:p>
      <w:pPr>
        <w:pStyle w:val="CaptionedFigure"/>
      </w:pPr>
      <w:bookmarkStart w:id="61" w:name="fig:fig10"/>
      <w:r>
        <w:drawing>
          <wp:inline>
            <wp:extent cx="4038600" cy="7607300"/>
            <wp:effectExtent b="0" l="0" r="0" t="0"/>
            <wp:docPr descr="Рис. 10: код" title="" id="59" name="Picture"/>
            <a:graphic>
              <a:graphicData uri="http://schemas.openxmlformats.org/drawingml/2006/picture">
                <pic:pic>
                  <pic:nvPicPr>
                    <pic:cNvPr descr="image/4.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6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код</w:t>
      </w:r>
    </w:p>
    <w:p>
      <w:pPr>
        <w:pStyle w:val="CaptionedFigure"/>
      </w:pPr>
      <w:bookmarkStart w:id="65" w:name="fig:fig11"/>
      <w:r>
        <w:drawing>
          <wp:inline>
            <wp:extent cx="5334000" cy="820615"/>
            <wp:effectExtent b="0" l="0" r="0" t="0"/>
            <wp:docPr descr="Рис. 11: lab7-3.asm_вывод" title="" id="63" name="Picture"/>
            <a:graphic>
              <a:graphicData uri="http://schemas.openxmlformats.org/drawingml/2006/picture">
                <pic:pic>
                  <pic:nvPicPr>
                    <pic:cNvPr descr="image/4_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lab7-3.asm_вывод</w:t>
      </w:r>
    </w:p>
    <w:p>
      <w:pPr>
        <w:pStyle w:val="BodyText"/>
      </w:pPr>
      <w:r>
        <w:t xml:space="preserve">Далее пишем программу, которая выдает номер варианта в соотвествии с остатком от деления номера студенческого билета на 20 (у меня вышел 4 варниант) (рис. 12), (рис. 13)</w:t>
      </w:r>
    </w:p>
    <w:p>
      <w:pPr>
        <w:pStyle w:val="CaptionedFigure"/>
      </w:pPr>
      <w:bookmarkStart w:id="69" w:name="fig:fig12"/>
      <w:r>
        <w:drawing>
          <wp:inline>
            <wp:extent cx="5321300" cy="8039100"/>
            <wp:effectExtent b="0" l="0" r="0" t="0"/>
            <wp:docPr descr="Рис. 12: код" title="" id="67" name="Picture"/>
            <a:graphic>
              <a:graphicData uri="http://schemas.openxmlformats.org/drawingml/2006/picture">
                <pic:pic>
                  <pic:nvPicPr>
                    <pic:cNvPr descr="image/5.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код</w:t>
      </w:r>
    </w:p>
    <w:p>
      <w:pPr>
        <w:pStyle w:val="CaptionedFigure"/>
      </w:pPr>
      <w:bookmarkStart w:id="73" w:name="fig:fig13"/>
      <w:r>
        <w:drawing>
          <wp:inline>
            <wp:extent cx="5334000" cy="920083"/>
            <wp:effectExtent b="0" l="0" r="0" t="0"/>
            <wp:docPr descr="Рис. 13: variant.asm_вывод" title="" id="71" name="Picture"/>
            <a:graphic>
              <a:graphicData uri="http://schemas.openxmlformats.org/drawingml/2006/picture">
                <pic:pic>
                  <pic:nvPicPr>
                    <pic:cNvPr descr="image/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variant.asm_вывод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1"/>
        </w:numPr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строки</w:t>
      </w:r>
    </w:p>
    <w:p>
      <w:pPr>
        <w:numPr>
          <w:ilvl w:val="0"/>
          <w:numId w:val="1000"/>
        </w:numPr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Данные инструкции используются для:</w:t>
      </w:r>
    </w:p>
    <w:p>
      <w:pPr>
        <w:numPr>
          <w:ilvl w:val="0"/>
          <w:numId w:val="1000"/>
        </w:numPr>
      </w:pPr>
      <w:r>
        <w:t xml:space="preserve">mov ecx, x - записывает адрес вводимого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в есх</w:t>
      </w:r>
      <w:r>
        <w:t xml:space="preserve"> </w:t>
      </w:r>
      <w:r>
        <w:t xml:space="preserve">mov edx, 80 - задает длину вводимой строки</w:t>
      </w:r>
      <w:r>
        <w:t xml:space="preserve"> </w:t>
      </w:r>
      <w:r>
        <w:t xml:space="preserve">call sread - в целом позволяет вводить строку с клавиатуры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ASCII кода в число</w:t>
      </w:r>
    </w:p>
    <w:p>
      <w:pPr>
        <w:numPr>
          <w:ilvl w:val="0"/>
          <w:numId w:val="1001"/>
        </w:numPr>
      </w:pPr>
      <w:r>
        <w:t xml:space="preserve">За вычисление варианта отвечают строки:</w:t>
      </w:r>
    </w:p>
    <w:p>
      <w:pPr>
        <w:numPr>
          <w:ilvl w:val="0"/>
          <w:numId w:val="1000"/>
        </w:numPr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</w:t>
      </w:r>
    </w:p>
    <w:p>
      <w:pPr>
        <w:numPr>
          <w:ilvl w:val="0"/>
          <w:numId w:val="1001"/>
        </w:numPr>
      </w:pPr>
      <w:r>
        <w:t xml:space="preserve">Данная интсрукция используется для добавления единицы к значению edx</w:t>
      </w:r>
    </w:p>
    <w:p>
      <w:pPr>
        <w:numPr>
          <w:ilvl w:val="0"/>
          <w:numId w:val="1001"/>
        </w:numPr>
      </w:pPr>
      <w:r>
        <w:t xml:space="preserve">За вывод результата вычислений отвечают строчки:</w:t>
      </w:r>
    </w:p>
    <w:p>
      <w:pPr>
        <w:numPr>
          <w:ilvl w:val="0"/>
          <w:numId w:val="1000"/>
        </w:numPr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САМОСТОЯТЕЛЬНАЯ РАБОТА</w:t>
      </w:r>
    </w:p>
    <w:p>
      <w:pPr>
        <w:pStyle w:val="BodyText"/>
      </w:pPr>
      <w:r>
        <w:t xml:space="preserve">Из полученного ранее варианта 4 пишу код, вычисляющий выражение 4/3(х-1)+5 (рис. 14), (рис. 15)</w:t>
      </w:r>
    </w:p>
    <w:p>
      <w:pPr>
        <w:pStyle w:val="CaptionedFigure"/>
      </w:pPr>
      <w:bookmarkStart w:id="77" w:name="fig:fig14"/>
      <w:r>
        <w:drawing>
          <wp:inline>
            <wp:extent cx="3898900" cy="10629900"/>
            <wp:effectExtent b="0" l="0" r="0" t="0"/>
            <wp:docPr descr="Рис. 14: код" title="" id="75" name="Picture"/>
            <a:graphic>
              <a:graphicData uri="http://schemas.openxmlformats.org/drawingml/2006/picture">
                <pic:pic>
                  <pic:nvPicPr>
                    <pic:cNvPr descr="image/6.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код</w:t>
      </w:r>
    </w:p>
    <w:p>
      <w:pPr>
        <w:pStyle w:val="CaptionedFigure"/>
      </w:pPr>
      <w:bookmarkStart w:id="81" w:name="fig:fig15"/>
      <w:r>
        <w:drawing>
          <wp:inline>
            <wp:extent cx="5334000" cy="1602646"/>
            <wp:effectExtent b="0" l="0" r="0" t="0"/>
            <wp:docPr descr="Рис. 15: вывод" title="" id="79" name="Picture"/>
            <a:graphic>
              <a:graphicData uri="http://schemas.openxmlformats.org/drawingml/2006/picture">
                <pic:pic>
                  <pic:nvPicPr>
                    <pic:cNvPr descr="image/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вывод</w:t>
      </w:r>
    </w:p>
    <w:p>
      <w:pPr>
        <w:pStyle w:val="BodyText"/>
      </w:pPr>
      <w:r>
        <w:t xml:space="preserve">Загрузка всех файлов на Git</w:t>
      </w:r>
    </w:p>
    <w:p>
      <w:pPr>
        <w:pStyle w:val="BodyText"/>
      </w:pPr>
      <w:r>
        <w:t xml:space="preserve">Далее создается отчет по 7й лабораторной работе с помощью Markdown.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навыки работы с языком ассемблера NASM и изучены некоторые команды для вычисления арифметических операций.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54" Target="media/rId54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Киньябаева Аиша Иделевна</dc:creator>
  <dc:language>ru-RU</dc:language>
  <cp:keywords/>
  <dcterms:created xsi:type="dcterms:W3CDTF">2022-11-24T16:27:17Z</dcterms:created>
  <dcterms:modified xsi:type="dcterms:W3CDTF">2022-11-24T16:27:17Z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Арифметические операции в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