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426DB0">
      <w:pPr>
        <w:bidi w:val="0"/>
        <w:jc w:val="center"/>
        <w:rPr>
          <w:rFonts w:hint="default" w:ascii="Cascadia Mono" w:hAnsi="Cascadia Mono" w:eastAsia="SimSun" w:cs="Cascadia Mono"/>
          <w:b/>
          <w:bCs/>
          <w:sz w:val="32"/>
          <w:szCs w:val="32"/>
        </w:rPr>
      </w:pPr>
      <w:r>
        <w:rPr>
          <w:rFonts w:hint="default" w:ascii="Cascadia Mono" w:hAnsi="Cascadia Mono" w:eastAsia="SimSun" w:cs="Cascadia Mono"/>
          <w:b/>
          <w:bCs/>
          <w:sz w:val="32"/>
          <w:szCs w:val="32"/>
        </w:rPr>
        <w:t xml:space="preserve">Project Design Phase </w:t>
      </w:r>
    </w:p>
    <w:p w14:paraId="310403E4">
      <w:pPr>
        <w:bidi w:val="0"/>
        <w:jc w:val="center"/>
      </w:pPr>
      <w:r>
        <w:rPr>
          <w:rFonts w:hint="default" w:ascii="Cascadia Mono" w:hAnsi="Cascadia Mono" w:eastAsia="SimSun" w:cs="Cascadia Mono"/>
          <w:b/>
          <w:bCs/>
          <w:sz w:val="32"/>
          <w:szCs w:val="32"/>
        </w:rPr>
        <w:t>Proposed Solution Template</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2880"/>
        <w:gridCol w:w="2880"/>
      </w:tblGrid>
      <w:tr w14:paraId="70A1C6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4433C1BF">
            <w:pPr>
              <w:spacing w:after="0" w:line="240" w:lineRule="auto"/>
            </w:pPr>
            <w:r>
              <w:t>S.No</w:t>
            </w:r>
          </w:p>
        </w:tc>
        <w:tc>
          <w:tcPr>
            <w:tcW w:w="2880" w:type="dxa"/>
          </w:tcPr>
          <w:p w14:paraId="3CE98B7D">
            <w:pPr>
              <w:spacing w:after="0" w:line="240" w:lineRule="auto"/>
            </w:pPr>
            <w:r>
              <w:t>Field</w:t>
            </w:r>
          </w:p>
        </w:tc>
        <w:tc>
          <w:tcPr>
            <w:tcW w:w="2880" w:type="dxa"/>
          </w:tcPr>
          <w:p w14:paraId="6C602BD2">
            <w:pPr>
              <w:spacing w:after="0" w:line="240" w:lineRule="auto"/>
            </w:pPr>
            <w:r>
              <w:t>Details</w:t>
            </w:r>
          </w:p>
        </w:tc>
      </w:tr>
      <w:tr w14:paraId="018DED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44CA1FB3">
            <w:pPr>
              <w:spacing w:after="0" w:line="240" w:lineRule="auto"/>
            </w:pPr>
            <w:r>
              <w:t>1</w:t>
            </w:r>
          </w:p>
        </w:tc>
        <w:tc>
          <w:tcPr>
            <w:tcW w:w="2880" w:type="dxa"/>
          </w:tcPr>
          <w:p w14:paraId="6C7EFB1E">
            <w:pPr>
              <w:spacing w:after="0" w:line="240" w:lineRule="auto"/>
            </w:pPr>
            <w:r>
              <w:t>Date</w:t>
            </w:r>
          </w:p>
        </w:tc>
        <w:tc>
          <w:tcPr>
            <w:tcW w:w="2880" w:type="dxa"/>
          </w:tcPr>
          <w:p w14:paraId="37733A30">
            <w:pPr>
              <w:spacing w:after="0" w:line="240" w:lineRule="auto"/>
            </w:pPr>
            <w:r>
              <w:t>30 June 2025</w:t>
            </w:r>
          </w:p>
        </w:tc>
      </w:tr>
      <w:tr w14:paraId="172E96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2CE0CAB2">
            <w:pPr>
              <w:spacing w:after="0" w:line="240" w:lineRule="auto"/>
            </w:pPr>
            <w:r>
              <w:t>2</w:t>
            </w:r>
          </w:p>
        </w:tc>
        <w:tc>
          <w:tcPr>
            <w:tcW w:w="2880" w:type="dxa"/>
          </w:tcPr>
          <w:p w14:paraId="338AE71A">
            <w:pPr>
              <w:spacing w:after="0" w:line="240" w:lineRule="auto"/>
            </w:pPr>
            <w:r>
              <w:t>Team ID</w:t>
            </w:r>
          </w:p>
        </w:tc>
        <w:tc>
          <w:tcPr>
            <w:tcW w:w="2880" w:type="dxa"/>
          </w:tcPr>
          <w:p w14:paraId="3DED6192">
            <w:pPr>
              <w:spacing w:after="0" w:line="240" w:lineRule="auto"/>
            </w:pPr>
            <w:r>
              <w:rPr>
                <w:rFonts w:hint="default"/>
              </w:rPr>
              <w:t>LTVIP2025TMID47465</w:t>
            </w:r>
          </w:p>
        </w:tc>
      </w:tr>
      <w:tr w14:paraId="6265D4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3AEB66BA">
            <w:pPr>
              <w:spacing w:after="0" w:line="240" w:lineRule="auto"/>
            </w:pPr>
            <w:r>
              <w:t>3</w:t>
            </w:r>
          </w:p>
        </w:tc>
        <w:tc>
          <w:tcPr>
            <w:tcW w:w="2880" w:type="dxa"/>
          </w:tcPr>
          <w:p w14:paraId="7A449F4B">
            <w:pPr>
              <w:spacing w:after="0" w:line="240" w:lineRule="auto"/>
            </w:pPr>
            <w:r>
              <w:t>Project Name</w:t>
            </w:r>
          </w:p>
        </w:tc>
        <w:tc>
          <w:tcPr>
            <w:tcW w:w="2880" w:type="dxa"/>
          </w:tcPr>
          <w:p w14:paraId="0F0297E3">
            <w:pPr>
              <w:spacing w:after="0" w:line="240" w:lineRule="auto"/>
            </w:pPr>
            <w:r>
              <w:t>Cosmetic Insights: Navigating Cosmetics Trends and Consumer Insights with Tableau</w:t>
            </w:r>
          </w:p>
        </w:tc>
      </w:tr>
      <w:tr w14:paraId="040D89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026A0824">
            <w:pPr>
              <w:spacing w:after="0" w:line="240" w:lineRule="auto"/>
            </w:pPr>
            <w:r>
              <w:t>4</w:t>
            </w:r>
          </w:p>
        </w:tc>
        <w:tc>
          <w:tcPr>
            <w:tcW w:w="2880" w:type="dxa"/>
          </w:tcPr>
          <w:p w14:paraId="05C148D4">
            <w:pPr>
              <w:spacing w:after="0" w:line="240" w:lineRule="auto"/>
            </w:pPr>
            <w:r>
              <w:t>Platform</w:t>
            </w:r>
          </w:p>
        </w:tc>
        <w:tc>
          <w:tcPr>
            <w:tcW w:w="2880" w:type="dxa"/>
          </w:tcPr>
          <w:p w14:paraId="0F1A59C3">
            <w:pPr>
              <w:spacing w:after="0" w:line="240" w:lineRule="auto"/>
            </w:pPr>
            <w:r>
              <w:t>SmartInternz – Tableau Guided Project</w:t>
            </w:r>
          </w:p>
        </w:tc>
      </w:tr>
      <w:tr w14:paraId="16DC80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220253D2">
            <w:pPr>
              <w:spacing w:after="0" w:line="240" w:lineRule="auto"/>
            </w:pPr>
            <w:r>
              <w:t>5</w:t>
            </w:r>
          </w:p>
        </w:tc>
        <w:tc>
          <w:tcPr>
            <w:tcW w:w="2880" w:type="dxa"/>
          </w:tcPr>
          <w:p w14:paraId="055F418F">
            <w:pPr>
              <w:spacing w:after="0" w:line="240" w:lineRule="auto"/>
            </w:pPr>
            <w:r>
              <w:t>Maximum Marks</w:t>
            </w:r>
          </w:p>
        </w:tc>
        <w:tc>
          <w:tcPr>
            <w:tcW w:w="2880" w:type="dxa"/>
          </w:tcPr>
          <w:p w14:paraId="4BD8E3A6">
            <w:pPr>
              <w:spacing w:after="0" w:line="240" w:lineRule="auto"/>
            </w:pPr>
            <w:r>
              <w:t>2 Marks</w:t>
            </w:r>
          </w:p>
        </w:tc>
      </w:tr>
    </w:tbl>
    <w:p w14:paraId="250950BB"/>
    <w:p w14:paraId="5C34AD60">
      <w:pPr>
        <w:pStyle w:val="3"/>
        <w:rPr>
          <w:color w:val="000000" w:themeColor="text1"/>
          <w14:textFill>
            <w14:solidFill>
              <w14:schemeClr w14:val="tx1"/>
            </w14:solidFill>
          </w14:textFill>
        </w:rPr>
      </w:pPr>
      <w:r>
        <w:rPr>
          <w:color w:val="000000" w:themeColor="text1"/>
          <w14:textFill>
            <w14:solidFill>
              <w14:schemeClr w14:val="tx1"/>
            </w14:solidFill>
          </w14:textFill>
        </w:rPr>
        <w:t>Proposed Solution</w:t>
      </w:r>
    </w:p>
    <w:p w14:paraId="408239E5">
      <w:bookmarkStart w:id="0" w:name="_GoBack"/>
    </w:p>
    <w:bookmarkEnd w:id="0"/>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2880"/>
        <w:gridCol w:w="2880"/>
      </w:tblGrid>
      <w:tr w14:paraId="50725E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34B21C21">
            <w:pPr>
              <w:spacing w:after="0" w:line="240" w:lineRule="auto"/>
            </w:pPr>
            <w:r>
              <w:t>S.No</w:t>
            </w:r>
          </w:p>
        </w:tc>
        <w:tc>
          <w:tcPr>
            <w:tcW w:w="2880" w:type="dxa"/>
          </w:tcPr>
          <w:p w14:paraId="452D3AB9">
            <w:pPr>
              <w:spacing w:after="0" w:line="240" w:lineRule="auto"/>
            </w:pPr>
            <w:r>
              <w:t>Parameter</w:t>
            </w:r>
          </w:p>
        </w:tc>
        <w:tc>
          <w:tcPr>
            <w:tcW w:w="2880" w:type="dxa"/>
          </w:tcPr>
          <w:p w14:paraId="64114AA1">
            <w:pPr>
              <w:spacing w:after="0" w:line="240" w:lineRule="auto"/>
            </w:pPr>
            <w:r>
              <w:t>Description</w:t>
            </w:r>
          </w:p>
        </w:tc>
      </w:tr>
      <w:tr w14:paraId="13F51F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388B15FD">
            <w:pPr>
              <w:spacing w:after="0" w:line="240" w:lineRule="auto"/>
            </w:pPr>
            <w:r>
              <w:t>1</w:t>
            </w:r>
          </w:p>
        </w:tc>
        <w:tc>
          <w:tcPr>
            <w:tcW w:w="2880" w:type="dxa"/>
          </w:tcPr>
          <w:p w14:paraId="4DB4193F">
            <w:pPr>
              <w:spacing w:after="0" w:line="240" w:lineRule="auto"/>
            </w:pPr>
            <w:r>
              <w:t>Problem Statement (Problem to be solved)</w:t>
            </w:r>
          </w:p>
        </w:tc>
        <w:tc>
          <w:tcPr>
            <w:tcW w:w="2880" w:type="dxa"/>
          </w:tcPr>
          <w:p w14:paraId="4019273E">
            <w:pPr>
              <w:spacing w:after="0" w:line="240" w:lineRule="auto"/>
            </w:pPr>
            <w:r>
              <w:t>The cosmetics industry lacks a centralized and interactive method to analyze product trends, regional preferences, and consumer sentiment. This hampers strategic, data-backed decision-making by brands and marketers.</w:t>
            </w:r>
          </w:p>
        </w:tc>
      </w:tr>
      <w:tr w14:paraId="06D2AF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4D04C757">
            <w:pPr>
              <w:spacing w:after="0" w:line="240" w:lineRule="auto"/>
            </w:pPr>
            <w:r>
              <w:t>2</w:t>
            </w:r>
          </w:p>
        </w:tc>
        <w:tc>
          <w:tcPr>
            <w:tcW w:w="2880" w:type="dxa"/>
          </w:tcPr>
          <w:p w14:paraId="7C20E488">
            <w:pPr>
              <w:spacing w:after="0" w:line="240" w:lineRule="auto"/>
            </w:pPr>
            <w:r>
              <w:t>Idea / Solution Description</w:t>
            </w:r>
          </w:p>
        </w:tc>
        <w:tc>
          <w:tcPr>
            <w:tcW w:w="2880" w:type="dxa"/>
          </w:tcPr>
          <w:p w14:paraId="71E9A66A">
            <w:pPr>
              <w:spacing w:after="0" w:line="240" w:lineRule="auto"/>
            </w:pPr>
            <w:r>
              <w:t>Develop visually intuitive Tableau dashboards with dark UI for reduced eye strain, using an appealing, readable color palette. Include interactive filters such as product category, region, sentiment score, and trend timeframe.</w:t>
            </w:r>
          </w:p>
        </w:tc>
      </w:tr>
      <w:tr w14:paraId="00D7B4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6A922DD4">
            <w:pPr>
              <w:spacing w:after="0" w:line="240" w:lineRule="auto"/>
            </w:pPr>
            <w:r>
              <w:t>3</w:t>
            </w:r>
          </w:p>
        </w:tc>
        <w:tc>
          <w:tcPr>
            <w:tcW w:w="2880" w:type="dxa"/>
          </w:tcPr>
          <w:p w14:paraId="24685DE6">
            <w:pPr>
              <w:spacing w:after="0" w:line="240" w:lineRule="auto"/>
            </w:pPr>
            <w:r>
              <w:t>Novelty / Uniqueness</w:t>
            </w:r>
          </w:p>
        </w:tc>
        <w:tc>
          <w:tcPr>
            <w:tcW w:w="2880" w:type="dxa"/>
          </w:tcPr>
          <w:p w14:paraId="2D61EA28">
            <w:pPr>
              <w:spacing w:after="0" w:line="240" w:lineRule="auto"/>
            </w:pPr>
            <w:r>
              <w:t>Unlike static reporting, the solution is fully interactive and story-driven. Dark theme aids focus and reduces fatigue. KPIs update based on user interaction, offering a personalized view for each stakeholder.</w:t>
            </w:r>
          </w:p>
        </w:tc>
      </w:tr>
      <w:tr w14:paraId="18D881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162111B3">
            <w:pPr>
              <w:spacing w:after="0" w:line="240" w:lineRule="auto"/>
            </w:pPr>
            <w:r>
              <w:t>4</w:t>
            </w:r>
          </w:p>
        </w:tc>
        <w:tc>
          <w:tcPr>
            <w:tcW w:w="2880" w:type="dxa"/>
          </w:tcPr>
          <w:p w14:paraId="6240F275">
            <w:pPr>
              <w:spacing w:after="0" w:line="240" w:lineRule="auto"/>
            </w:pPr>
            <w:r>
              <w:t>Social Impact / Customer Satisfaction</w:t>
            </w:r>
          </w:p>
        </w:tc>
        <w:tc>
          <w:tcPr>
            <w:tcW w:w="2880" w:type="dxa"/>
          </w:tcPr>
          <w:p w14:paraId="29CBFEBF">
            <w:pPr>
              <w:spacing w:after="0" w:line="240" w:lineRule="auto"/>
            </w:pPr>
            <w:r>
              <w:t>Empowers brands to understand evolving consumer needs in diverse Indian regions. Enhances campaign targeting, reduces market guesswork, and encourages a data-driven approach across cosmetic companies.</w:t>
            </w:r>
          </w:p>
        </w:tc>
      </w:tr>
      <w:tr w14:paraId="4F01E9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50B8DA69">
            <w:pPr>
              <w:spacing w:after="0" w:line="240" w:lineRule="auto"/>
            </w:pPr>
            <w:r>
              <w:t>5</w:t>
            </w:r>
          </w:p>
        </w:tc>
        <w:tc>
          <w:tcPr>
            <w:tcW w:w="2880" w:type="dxa"/>
          </w:tcPr>
          <w:p w14:paraId="34B801F7">
            <w:pPr>
              <w:spacing w:after="0" w:line="240" w:lineRule="auto"/>
            </w:pPr>
            <w:r>
              <w:t>Business Model (Revenue Model)</w:t>
            </w:r>
          </w:p>
        </w:tc>
        <w:tc>
          <w:tcPr>
            <w:tcW w:w="2880" w:type="dxa"/>
          </w:tcPr>
          <w:p w14:paraId="3BA778F5">
            <w:pPr>
              <w:spacing w:after="0" w:line="240" w:lineRule="auto"/>
            </w:pPr>
            <w:r>
              <w:t>Can be offered as a subscription tool for cosmetic brands or agencies. Also adaptable for consultancy firms managing analytics for multiple clients.</w:t>
            </w:r>
          </w:p>
        </w:tc>
      </w:tr>
      <w:tr w14:paraId="5B55B2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497BCDDD">
            <w:pPr>
              <w:spacing w:after="0" w:line="240" w:lineRule="auto"/>
            </w:pPr>
            <w:r>
              <w:t>6</w:t>
            </w:r>
          </w:p>
        </w:tc>
        <w:tc>
          <w:tcPr>
            <w:tcW w:w="2880" w:type="dxa"/>
          </w:tcPr>
          <w:p w14:paraId="6CF03CFF">
            <w:pPr>
              <w:spacing w:after="0" w:line="240" w:lineRule="auto"/>
            </w:pPr>
            <w:r>
              <w:t>Scalability of the Solution</w:t>
            </w:r>
          </w:p>
        </w:tc>
        <w:tc>
          <w:tcPr>
            <w:tcW w:w="2880" w:type="dxa"/>
          </w:tcPr>
          <w:p w14:paraId="45CC113B">
            <w:pPr>
              <w:spacing w:after="0" w:line="240" w:lineRule="auto"/>
            </w:pPr>
            <w:r>
              <w:t>The framework is scalable across different beauty categories (e.g., skincare, makeup), markets, and even other industries. With minimal data tweaks, dashboards can be reused or customized further.</w:t>
            </w:r>
          </w:p>
        </w:tc>
      </w:tr>
    </w:tbl>
    <w:p w14:paraId="5FBA1723"/>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Cascadia Mono">
    <w:panose1 w:val="020B0609020000020004"/>
    <w:charset w:val="00"/>
    <w:family w:val="auto"/>
    <w:pitch w:val="default"/>
    <w:sig w:usb0="A1002AFF" w:usb1="C200F9FB" w:usb2="00040020" w:usb3="00000000" w:csb0="600001FF" w:csb1="FFFF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AB2227A"/>
    <w:rsid w:val="4BBD572C"/>
    <w:rsid w:val="6DD2200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saidh</cp:lastModifiedBy>
  <dcterms:modified xsi:type="dcterms:W3CDTF">2025-06-30T02:14:21Z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A1420CA81D914D13A5000ED958B485D0_13</vt:lpwstr>
  </property>
</Properties>
</file>