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397411" w14:textId="77777777" w:rsidR="00832016" w:rsidRPr="002F3753" w:rsidRDefault="0083201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B26812D" w14:textId="6DCEB45A" w:rsidR="00832016" w:rsidRPr="002F3753" w:rsidRDefault="00000000">
      <w:pPr>
        <w:jc w:val="center"/>
        <w:rPr>
          <w:rFonts w:ascii="Times New Roman" w:hAnsi="Times New Roman" w:cs="Times New Roman"/>
          <w:sz w:val="32"/>
          <w:szCs w:val="32"/>
        </w:rPr>
      </w:pPr>
      <w:r w:rsidRPr="002F3753">
        <w:rPr>
          <w:rFonts w:ascii="Times New Roman" w:hAnsi="Times New Roman" w:cs="Times New Roman"/>
          <w:b/>
          <w:sz w:val="32"/>
          <w:szCs w:val="32"/>
        </w:rPr>
        <w:t>Business Summary Report: Predictive Insights for Collections Strategy</w:t>
      </w:r>
      <w:r w:rsidR="002F3753" w:rsidRPr="002F3753">
        <w:rPr>
          <w:rFonts w:ascii="Times New Roman" w:hAnsi="Times New Roman" w:cs="Times New Roman"/>
          <w:b/>
          <w:sz w:val="32"/>
          <w:szCs w:val="32"/>
        </w:rPr>
        <w:t xml:space="preserve"> by Aisha O Inuwa.</w:t>
      </w:r>
    </w:p>
    <w:p w14:paraId="2F365C63" w14:textId="77777777" w:rsidR="00832016" w:rsidRPr="002F3753" w:rsidRDefault="00000000">
      <w:pPr>
        <w:rPr>
          <w:rFonts w:ascii="Times New Roman" w:hAnsi="Times New Roman" w:cs="Times New Roman"/>
          <w:sz w:val="24"/>
          <w:szCs w:val="24"/>
        </w:rPr>
      </w:pPr>
      <w:r w:rsidRPr="002F3753">
        <w:rPr>
          <w:rFonts w:ascii="Times New Roman" w:hAnsi="Times New Roman" w:cs="Times New Roman"/>
          <w:b/>
          <w:sz w:val="24"/>
          <w:szCs w:val="24"/>
        </w:rPr>
        <w:t>1. Summary of Predictive Insights</w:t>
      </w:r>
    </w:p>
    <w:p w14:paraId="53830EEA" w14:textId="77777777" w:rsidR="00832016" w:rsidRPr="002F3753" w:rsidRDefault="00000000">
      <w:pPr>
        <w:rPr>
          <w:rFonts w:ascii="Times New Roman" w:hAnsi="Times New Roman" w:cs="Times New Roman"/>
          <w:sz w:val="24"/>
          <w:szCs w:val="24"/>
        </w:rPr>
      </w:pPr>
      <w:r w:rsidRPr="002F3753">
        <w:rPr>
          <w:rFonts w:ascii="Times New Roman" w:hAnsi="Times New Roman" w:cs="Times New Roman"/>
          <w:b/>
          <w:sz w:val="24"/>
          <w:szCs w:val="24"/>
        </w:rPr>
        <w:t>Top 3 Risk Factors:</w:t>
      </w:r>
    </w:p>
    <w:p w14:paraId="65E015C0" w14:textId="77777777" w:rsidR="00832016" w:rsidRPr="002F3753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2F3753">
        <w:rPr>
          <w:rFonts w:ascii="Times New Roman" w:hAnsi="Times New Roman" w:cs="Times New Roman"/>
          <w:sz w:val="24"/>
          <w:szCs w:val="24"/>
        </w:rPr>
        <w:t>Missed payments: Repeated missed payments are the clearest behavioral warning sign because they directly show difficulty meeting repayment obligations.</w:t>
      </w:r>
    </w:p>
    <w:p w14:paraId="60AF526C" w14:textId="77777777" w:rsidR="00832016" w:rsidRPr="002F3753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2F3753">
        <w:rPr>
          <w:rFonts w:ascii="Times New Roman" w:hAnsi="Times New Roman" w:cs="Times New Roman"/>
          <w:sz w:val="24"/>
          <w:szCs w:val="24"/>
        </w:rPr>
        <w:t>High credit utilization: Customers using a large share of their available credit may have less financial flexibility; the EDA also identified four values above 100%, which should be reviewed before operational use.</w:t>
      </w:r>
    </w:p>
    <w:p w14:paraId="40F9D3BF" w14:textId="77777777" w:rsidR="00832016" w:rsidRPr="002F3753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2F3753">
        <w:rPr>
          <w:rFonts w:ascii="Times New Roman" w:hAnsi="Times New Roman" w:cs="Times New Roman"/>
          <w:sz w:val="24"/>
          <w:szCs w:val="24"/>
        </w:rPr>
        <w:t>High repayment pressure: A combination of high loan balance and lower income may indicate reduced capacity to keep up with repayments, especially when paired with negative payment history.</w:t>
      </w:r>
    </w:p>
    <w:p w14:paraId="4B3D3069" w14:textId="00CD24A6" w:rsidR="00832016" w:rsidRPr="002F3753" w:rsidRDefault="00000000">
      <w:pPr>
        <w:rPr>
          <w:rFonts w:ascii="Times New Roman" w:hAnsi="Times New Roman" w:cs="Times New Roman"/>
          <w:sz w:val="24"/>
          <w:szCs w:val="24"/>
        </w:rPr>
      </w:pPr>
      <w:r w:rsidRPr="002F3753">
        <w:rPr>
          <w:rFonts w:ascii="Times New Roman" w:hAnsi="Times New Roman" w:cs="Times New Roman"/>
          <w:sz w:val="24"/>
          <w:szCs w:val="24"/>
        </w:rPr>
        <w:t xml:space="preserve">The highest-priority segment for Collections is customers showing repeated Late or Missed statuses across Month_1–Month_6, particularly when this </w:t>
      </w:r>
      <w:r w:rsidR="002F3753" w:rsidRPr="002F3753">
        <w:rPr>
          <w:rFonts w:ascii="Times New Roman" w:hAnsi="Times New Roman" w:cs="Times New Roman"/>
          <w:sz w:val="24"/>
          <w:szCs w:val="24"/>
        </w:rPr>
        <w:t>behavior</w:t>
      </w:r>
      <w:r w:rsidRPr="002F3753">
        <w:rPr>
          <w:rFonts w:ascii="Times New Roman" w:hAnsi="Times New Roman" w:cs="Times New Roman"/>
          <w:sz w:val="24"/>
          <w:szCs w:val="24"/>
        </w:rPr>
        <w:t xml:space="preserve"> is combined with high </w:t>
      </w:r>
      <w:proofErr w:type="spellStart"/>
      <w:r w:rsidRPr="002F3753">
        <w:rPr>
          <w:rFonts w:ascii="Times New Roman" w:hAnsi="Times New Roman" w:cs="Times New Roman"/>
          <w:sz w:val="24"/>
          <w:szCs w:val="24"/>
        </w:rPr>
        <w:t>Credit_Utilization</w:t>
      </w:r>
      <w:proofErr w:type="spellEnd"/>
      <w:r w:rsidRPr="002F3753">
        <w:rPr>
          <w:rFonts w:ascii="Times New Roman" w:hAnsi="Times New Roman" w:cs="Times New Roman"/>
          <w:sz w:val="24"/>
          <w:szCs w:val="24"/>
        </w:rPr>
        <w:t xml:space="preserve">, high </w:t>
      </w:r>
      <w:proofErr w:type="spellStart"/>
      <w:r w:rsidRPr="002F3753">
        <w:rPr>
          <w:rFonts w:ascii="Times New Roman" w:hAnsi="Times New Roman" w:cs="Times New Roman"/>
          <w:sz w:val="24"/>
          <w:szCs w:val="24"/>
        </w:rPr>
        <w:t>Loan_Balance</w:t>
      </w:r>
      <w:proofErr w:type="spellEnd"/>
      <w:r w:rsidRPr="002F3753">
        <w:rPr>
          <w:rFonts w:ascii="Times New Roman" w:hAnsi="Times New Roman" w:cs="Times New Roman"/>
          <w:sz w:val="24"/>
          <w:szCs w:val="24"/>
        </w:rPr>
        <w:t xml:space="preserve">, or lower Income. </w:t>
      </w:r>
      <w:proofErr w:type="spellStart"/>
      <w:r w:rsidRPr="002F3753">
        <w:rPr>
          <w:rFonts w:ascii="Times New Roman" w:hAnsi="Times New Roman" w:cs="Times New Roman"/>
          <w:sz w:val="24"/>
          <w:szCs w:val="24"/>
        </w:rPr>
        <w:t>Credit_Score</w:t>
      </w:r>
      <w:proofErr w:type="spellEnd"/>
      <w:r w:rsidRPr="002F3753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Pr="002F3753">
        <w:rPr>
          <w:rFonts w:ascii="Times New Roman" w:hAnsi="Times New Roman" w:cs="Times New Roman"/>
          <w:sz w:val="24"/>
          <w:szCs w:val="24"/>
        </w:rPr>
        <w:t>Employment_Status</w:t>
      </w:r>
      <w:proofErr w:type="spellEnd"/>
      <w:r w:rsidRPr="002F3753">
        <w:rPr>
          <w:rFonts w:ascii="Times New Roman" w:hAnsi="Times New Roman" w:cs="Times New Roman"/>
          <w:sz w:val="24"/>
          <w:szCs w:val="24"/>
        </w:rPr>
        <w:t xml:space="preserve"> can provide additional context, but the model should use the full combination of variables rather than relying on one factor alone.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57"/>
        <w:gridCol w:w="2157"/>
        <w:gridCol w:w="2158"/>
        <w:gridCol w:w="2158"/>
      </w:tblGrid>
      <w:tr w:rsidR="00832016" w:rsidRPr="002F3753" w14:paraId="2051D67E" w14:textId="77777777">
        <w:trPr>
          <w:jc w:val="center"/>
        </w:trPr>
        <w:tc>
          <w:tcPr>
            <w:tcW w:w="2160" w:type="dxa"/>
          </w:tcPr>
          <w:p w14:paraId="057706D0" w14:textId="77777777" w:rsidR="00832016" w:rsidRPr="002F3753" w:rsidRDefault="0000000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F3753">
              <w:rPr>
                <w:rFonts w:ascii="Times New Roman" w:hAnsi="Times New Roman" w:cs="Times New Roman"/>
                <w:sz w:val="24"/>
                <w:szCs w:val="24"/>
              </w:rPr>
              <w:t>Key Insight</w:t>
            </w:r>
          </w:p>
        </w:tc>
        <w:tc>
          <w:tcPr>
            <w:tcW w:w="2160" w:type="dxa"/>
          </w:tcPr>
          <w:p w14:paraId="424D04CC" w14:textId="77777777" w:rsidR="00832016" w:rsidRPr="002F3753" w:rsidRDefault="0000000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F3753">
              <w:rPr>
                <w:rFonts w:ascii="Times New Roman" w:hAnsi="Times New Roman" w:cs="Times New Roman"/>
                <w:sz w:val="24"/>
                <w:szCs w:val="24"/>
              </w:rPr>
              <w:t>Customer Segment</w:t>
            </w:r>
          </w:p>
        </w:tc>
        <w:tc>
          <w:tcPr>
            <w:tcW w:w="2160" w:type="dxa"/>
          </w:tcPr>
          <w:p w14:paraId="1FBDD888" w14:textId="77777777" w:rsidR="00832016" w:rsidRPr="002F3753" w:rsidRDefault="0000000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F3753">
              <w:rPr>
                <w:rFonts w:ascii="Times New Roman" w:hAnsi="Times New Roman" w:cs="Times New Roman"/>
                <w:sz w:val="24"/>
                <w:szCs w:val="24"/>
              </w:rPr>
              <w:t>Influencing Variables</w:t>
            </w:r>
          </w:p>
        </w:tc>
        <w:tc>
          <w:tcPr>
            <w:tcW w:w="2160" w:type="dxa"/>
          </w:tcPr>
          <w:p w14:paraId="5128ABC0" w14:textId="77777777" w:rsidR="00832016" w:rsidRPr="002F3753" w:rsidRDefault="0000000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F3753">
              <w:rPr>
                <w:rFonts w:ascii="Times New Roman" w:hAnsi="Times New Roman" w:cs="Times New Roman"/>
                <w:sz w:val="24"/>
                <w:szCs w:val="24"/>
              </w:rPr>
              <w:t>Potential Impact</w:t>
            </w:r>
          </w:p>
        </w:tc>
      </w:tr>
      <w:tr w:rsidR="00832016" w:rsidRPr="002F3753" w14:paraId="6A0FA9F3" w14:textId="77777777" w:rsidTr="002F3753">
        <w:trPr>
          <w:trHeight w:val="872"/>
          <w:jc w:val="center"/>
        </w:trPr>
        <w:tc>
          <w:tcPr>
            <w:tcW w:w="2160" w:type="dxa"/>
          </w:tcPr>
          <w:p w14:paraId="7E9E6F45" w14:textId="77777777" w:rsidR="00832016" w:rsidRPr="002F3753" w:rsidRDefault="0000000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F3753">
              <w:rPr>
                <w:rFonts w:ascii="Times New Roman" w:hAnsi="Times New Roman" w:cs="Times New Roman"/>
                <w:sz w:val="24"/>
                <w:szCs w:val="24"/>
              </w:rPr>
              <w:t xml:space="preserve">Repeated negative payment </w:t>
            </w:r>
            <w:proofErr w:type="spellStart"/>
            <w:r w:rsidRPr="002F3753">
              <w:rPr>
                <w:rFonts w:ascii="Times New Roman" w:hAnsi="Times New Roman" w:cs="Times New Roman"/>
                <w:sz w:val="24"/>
                <w:szCs w:val="24"/>
              </w:rPr>
              <w:t>behaviour</w:t>
            </w:r>
            <w:proofErr w:type="spellEnd"/>
            <w:r w:rsidRPr="002F3753">
              <w:rPr>
                <w:rFonts w:ascii="Times New Roman" w:hAnsi="Times New Roman" w:cs="Times New Roman"/>
                <w:sz w:val="24"/>
                <w:szCs w:val="24"/>
              </w:rPr>
              <w:t xml:space="preserve"> is the strongest early warning signal.</w:t>
            </w:r>
          </w:p>
        </w:tc>
        <w:tc>
          <w:tcPr>
            <w:tcW w:w="2160" w:type="dxa"/>
          </w:tcPr>
          <w:p w14:paraId="1F1F9F8E" w14:textId="77777777" w:rsidR="00832016" w:rsidRPr="002F3753" w:rsidRDefault="0000000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F3753">
              <w:rPr>
                <w:rFonts w:ascii="Times New Roman" w:hAnsi="Times New Roman" w:cs="Times New Roman"/>
                <w:sz w:val="24"/>
                <w:szCs w:val="24"/>
              </w:rPr>
              <w:t>Customers with multiple Late or Missed payments across Month_1–Month_6.</w:t>
            </w:r>
          </w:p>
        </w:tc>
        <w:tc>
          <w:tcPr>
            <w:tcW w:w="2160" w:type="dxa"/>
          </w:tcPr>
          <w:p w14:paraId="1B38DD3C" w14:textId="77777777" w:rsidR="00832016" w:rsidRPr="002F3753" w:rsidRDefault="0000000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F3753">
              <w:rPr>
                <w:rFonts w:ascii="Times New Roman" w:hAnsi="Times New Roman" w:cs="Times New Roman"/>
                <w:sz w:val="24"/>
                <w:szCs w:val="24"/>
              </w:rPr>
              <w:t xml:space="preserve">Missed payments, late payments, recent payment </w:t>
            </w:r>
            <w:proofErr w:type="spellStart"/>
            <w:r w:rsidRPr="002F3753">
              <w:rPr>
                <w:rFonts w:ascii="Times New Roman" w:hAnsi="Times New Roman" w:cs="Times New Roman"/>
                <w:sz w:val="24"/>
                <w:szCs w:val="24"/>
              </w:rPr>
              <w:t>behaviour</w:t>
            </w:r>
            <w:proofErr w:type="spellEnd"/>
            <w:r w:rsidRPr="002F3753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160" w:type="dxa"/>
          </w:tcPr>
          <w:p w14:paraId="6F8C07AF" w14:textId="77777777" w:rsidR="00832016" w:rsidRPr="002F3753" w:rsidRDefault="0000000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F3753">
              <w:rPr>
                <w:rFonts w:ascii="Times New Roman" w:hAnsi="Times New Roman" w:cs="Times New Roman"/>
                <w:sz w:val="24"/>
                <w:szCs w:val="24"/>
              </w:rPr>
              <w:t>Prioritize early outreach and tailored repayment support before delinquency worsens.</w:t>
            </w:r>
          </w:p>
        </w:tc>
      </w:tr>
    </w:tbl>
    <w:p w14:paraId="7E060148" w14:textId="77777777" w:rsidR="002F3753" w:rsidRPr="002F3753" w:rsidRDefault="002F3753">
      <w:pPr>
        <w:rPr>
          <w:rFonts w:ascii="Times New Roman" w:hAnsi="Times New Roman" w:cs="Times New Roman"/>
          <w:b/>
          <w:sz w:val="24"/>
          <w:szCs w:val="24"/>
        </w:rPr>
      </w:pPr>
    </w:p>
    <w:p w14:paraId="75F7C656" w14:textId="5903B365" w:rsidR="00832016" w:rsidRPr="002F3753" w:rsidRDefault="00000000">
      <w:pPr>
        <w:rPr>
          <w:rFonts w:ascii="Times New Roman" w:hAnsi="Times New Roman" w:cs="Times New Roman"/>
          <w:sz w:val="24"/>
          <w:szCs w:val="24"/>
        </w:rPr>
      </w:pPr>
      <w:r w:rsidRPr="002F3753">
        <w:rPr>
          <w:rFonts w:ascii="Times New Roman" w:hAnsi="Times New Roman" w:cs="Times New Roman"/>
          <w:b/>
          <w:sz w:val="24"/>
          <w:szCs w:val="24"/>
        </w:rPr>
        <w:t>2. Recommendation Framework</w:t>
      </w:r>
    </w:p>
    <w:p w14:paraId="3D80C322" w14:textId="77777777" w:rsidR="00832016" w:rsidRPr="002F3753" w:rsidRDefault="00000000">
      <w:pPr>
        <w:rPr>
          <w:rFonts w:ascii="Times New Roman" w:hAnsi="Times New Roman" w:cs="Times New Roman"/>
          <w:sz w:val="24"/>
          <w:szCs w:val="24"/>
        </w:rPr>
      </w:pPr>
      <w:r w:rsidRPr="002F3753">
        <w:rPr>
          <w:rFonts w:ascii="Times New Roman" w:hAnsi="Times New Roman" w:cs="Times New Roman"/>
          <w:b/>
          <w:sz w:val="24"/>
          <w:szCs w:val="24"/>
        </w:rPr>
        <w:t xml:space="preserve">Restated Insight: </w:t>
      </w:r>
      <w:r w:rsidRPr="002F3753">
        <w:rPr>
          <w:rFonts w:ascii="Times New Roman" w:hAnsi="Times New Roman" w:cs="Times New Roman"/>
          <w:sz w:val="24"/>
          <w:szCs w:val="24"/>
        </w:rPr>
        <w:t>Customers with repeated missed or late payments are likely to be the most useful early-warning segment for Collections, especially when combined with high credit utilization.</w:t>
      </w:r>
    </w:p>
    <w:p w14:paraId="0FCACCCA" w14:textId="77777777" w:rsidR="00832016" w:rsidRPr="002F3753" w:rsidRDefault="00000000">
      <w:pPr>
        <w:rPr>
          <w:rFonts w:ascii="Times New Roman" w:hAnsi="Times New Roman" w:cs="Times New Roman"/>
          <w:sz w:val="24"/>
          <w:szCs w:val="24"/>
        </w:rPr>
      </w:pPr>
      <w:r w:rsidRPr="002F3753">
        <w:rPr>
          <w:rFonts w:ascii="Times New Roman" w:hAnsi="Times New Roman" w:cs="Times New Roman"/>
          <w:b/>
          <w:sz w:val="24"/>
          <w:szCs w:val="24"/>
        </w:rPr>
        <w:t xml:space="preserve">Proposed Recommendation: </w:t>
      </w:r>
      <w:r w:rsidRPr="002F3753">
        <w:rPr>
          <w:rFonts w:ascii="Times New Roman" w:hAnsi="Times New Roman" w:cs="Times New Roman"/>
          <w:sz w:val="24"/>
          <w:szCs w:val="24"/>
        </w:rPr>
        <w:t xml:space="preserve">Introduce a proactive early-intervention workflow that flags customers with repeated negative payment </w:t>
      </w:r>
      <w:proofErr w:type="spellStart"/>
      <w:r w:rsidRPr="002F3753">
        <w:rPr>
          <w:rFonts w:ascii="Times New Roman" w:hAnsi="Times New Roman" w:cs="Times New Roman"/>
          <w:sz w:val="24"/>
          <w:szCs w:val="24"/>
        </w:rPr>
        <w:t>behaviour</w:t>
      </w:r>
      <w:proofErr w:type="spellEnd"/>
      <w:r w:rsidRPr="002F3753">
        <w:rPr>
          <w:rFonts w:ascii="Times New Roman" w:hAnsi="Times New Roman" w:cs="Times New Roman"/>
          <w:sz w:val="24"/>
          <w:szCs w:val="24"/>
        </w:rPr>
        <w:t xml:space="preserve"> for personalized Collections outreach.</w:t>
      </w:r>
    </w:p>
    <w:p w14:paraId="721F2843" w14:textId="77777777" w:rsidR="00832016" w:rsidRPr="002F3753" w:rsidRDefault="00000000">
      <w:pPr>
        <w:rPr>
          <w:rFonts w:ascii="Times New Roman" w:hAnsi="Times New Roman" w:cs="Times New Roman"/>
          <w:sz w:val="24"/>
          <w:szCs w:val="24"/>
        </w:rPr>
      </w:pPr>
      <w:r w:rsidRPr="002F3753">
        <w:rPr>
          <w:rFonts w:ascii="Times New Roman" w:hAnsi="Times New Roman" w:cs="Times New Roman"/>
          <w:b/>
          <w:sz w:val="24"/>
          <w:szCs w:val="24"/>
        </w:rPr>
        <w:lastRenderedPageBreak/>
        <w:t xml:space="preserve">Specific: </w:t>
      </w:r>
      <w:r w:rsidRPr="002F3753">
        <w:rPr>
          <w:rFonts w:ascii="Times New Roman" w:hAnsi="Times New Roman" w:cs="Times New Roman"/>
          <w:sz w:val="24"/>
          <w:szCs w:val="24"/>
        </w:rPr>
        <w:t>Create a weekly watch-list for customers with two or more Late/Missed payments in the six-month payment history and prioritizes them for early contact.</w:t>
      </w:r>
    </w:p>
    <w:p w14:paraId="30588C19" w14:textId="77777777" w:rsidR="00832016" w:rsidRPr="002F3753" w:rsidRDefault="00000000">
      <w:pPr>
        <w:rPr>
          <w:rFonts w:ascii="Times New Roman" w:hAnsi="Times New Roman" w:cs="Times New Roman"/>
          <w:sz w:val="24"/>
          <w:szCs w:val="24"/>
        </w:rPr>
      </w:pPr>
      <w:r w:rsidRPr="002F3753">
        <w:rPr>
          <w:rFonts w:ascii="Times New Roman" w:hAnsi="Times New Roman" w:cs="Times New Roman"/>
          <w:b/>
          <w:sz w:val="24"/>
          <w:szCs w:val="24"/>
        </w:rPr>
        <w:t xml:space="preserve">Measurable: </w:t>
      </w:r>
      <w:r w:rsidRPr="002F3753">
        <w:rPr>
          <w:rFonts w:ascii="Times New Roman" w:hAnsi="Times New Roman" w:cs="Times New Roman"/>
          <w:sz w:val="24"/>
          <w:szCs w:val="24"/>
        </w:rPr>
        <w:t>Track the share of flagged customers who return to on-time payment and compare subsequent delinquency rates with a similar non-intervention or historical baseline.</w:t>
      </w:r>
    </w:p>
    <w:p w14:paraId="50037B5D" w14:textId="77777777" w:rsidR="00832016" w:rsidRPr="002F3753" w:rsidRDefault="00000000">
      <w:pPr>
        <w:rPr>
          <w:rFonts w:ascii="Times New Roman" w:hAnsi="Times New Roman" w:cs="Times New Roman"/>
          <w:sz w:val="24"/>
          <w:szCs w:val="24"/>
        </w:rPr>
      </w:pPr>
      <w:r w:rsidRPr="002F3753">
        <w:rPr>
          <w:rFonts w:ascii="Times New Roman" w:hAnsi="Times New Roman" w:cs="Times New Roman"/>
          <w:b/>
          <w:sz w:val="24"/>
          <w:szCs w:val="24"/>
        </w:rPr>
        <w:t xml:space="preserve">Actionable: </w:t>
      </w:r>
      <w:r w:rsidRPr="002F3753">
        <w:rPr>
          <w:rFonts w:ascii="Times New Roman" w:hAnsi="Times New Roman" w:cs="Times New Roman"/>
          <w:sz w:val="24"/>
          <w:szCs w:val="24"/>
        </w:rPr>
        <w:t>Collections staff should contact flagged customers using approved scripts, confirm repayment difficulties, and offer appropriate payment reminders or support options.</w:t>
      </w:r>
    </w:p>
    <w:p w14:paraId="30A08849" w14:textId="77777777" w:rsidR="00832016" w:rsidRPr="002F3753" w:rsidRDefault="00000000">
      <w:pPr>
        <w:rPr>
          <w:rFonts w:ascii="Times New Roman" w:hAnsi="Times New Roman" w:cs="Times New Roman"/>
          <w:sz w:val="24"/>
          <w:szCs w:val="24"/>
        </w:rPr>
      </w:pPr>
      <w:r w:rsidRPr="002F3753">
        <w:rPr>
          <w:rFonts w:ascii="Times New Roman" w:hAnsi="Times New Roman" w:cs="Times New Roman"/>
          <w:b/>
          <w:sz w:val="24"/>
          <w:szCs w:val="24"/>
        </w:rPr>
        <w:t xml:space="preserve">Relevant: </w:t>
      </w:r>
      <w:r w:rsidRPr="002F3753">
        <w:rPr>
          <w:rFonts w:ascii="Times New Roman" w:hAnsi="Times New Roman" w:cs="Times New Roman"/>
          <w:sz w:val="24"/>
          <w:szCs w:val="24"/>
        </w:rPr>
        <w:t xml:space="preserve">The recommendation targets the strongest </w:t>
      </w:r>
      <w:proofErr w:type="spellStart"/>
      <w:r w:rsidRPr="002F3753">
        <w:rPr>
          <w:rFonts w:ascii="Times New Roman" w:hAnsi="Times New Roman" w:cs="Times New Roman"/>
          <w:sz w:val="24"/>
          <w:szCs w:val="24"/>
        </w:rPr>
        <w:t>behavioural</w:t>
      </w:r>
      <w:proofErr w:type="spellEnd"/>
      <w:r w:rsidRPr="002F3753">
        <w:rPr>
          <w:rFonts w:ascii="Times New Roman" w:hAnsi="Times New Roman" w:cs="Times New Roman"/>
          <w:sz w:val="24"/>
          <w:szCs w:val="24"/>
        </w:rPr>
        <w:t xml:space="preserve"> risk signal identified in the EDA and supports </w:t>
      </w:r>
      <w:proofErr w:type="spellStart"/>
      <w:r w:rsidRPr="002F3753">
        <w:rPr>
          <w:rFonts w:ascii="Times New Roman" w:hAnsi="Times New Roman" w:cs="Times New Roman"/>
          <w:sz w:val="24"/>
          <w:szCs w:val="24"/>
        </w:rPr>
        <w:t>Geldium’s</w:t>
      </w:r>
      <w:proofErr w:type="spellEnd"/>
      <w:r w:rsidRPr="002F3753">
        <w:rPr>
          <w:rFonts w:ascii="Times New Roman" w:hAnsi="Times New Roman" w:cs="Times New Roman"/>
          <w:sz w:val="24"/>
          <w:szCs w:val="24"/>
        </w:rPr>
        <w:t xml:space="preserve"> goal of reducing preventable delinquency.</w:t>
      </w:r>
    </w:p>
    <w:p w14:paraId="199928C5" w14:textId="77777777" w:rsidR="00832016" w:rsidRPr="002F3753" w:rsidRDefault="00000000">
      <w:pPr>
        <w:rPr>
          <w:rFonts w:ascii="Times New Roman" w:hAnsi="Times New Roman" w:cs="Times New Roman"/>
          <w:sz w:val="24"/>
          <w:szCs w:val="24"/>
        </w:rPr>
      </w:pPr>
      <w:r w:rsidRPr="002F3753">
        <w:rPr>
          <w:rFonts w:ascii="Times New Roman" w:hAnsi="Times New Roman" w:cs="Times New Roman"/>
          <w:b/>
          <w:sz w:val="24"/>
          <w:szCs w:val="24"/>
        </w:rPr>
        <w:t xml:space="preserve">Time-bound: </w:t>
      </w:r>
      <w:r w:rsidRPr="002F3753">
        <w:rPr>
          <w:rFonts w:ascii="Times New Roman" w:hAnsi="Times New Roman" w:cs="Times New Roman"/>
          <w:sz w:val="24"/>
          <w:szCs w:val="24"/>
        </w:rPr>
        <w:t>Pilot the workflow for 90 days, review results monthly, and decide whether to scale, adjust, or stop the intervention at the end of the pilot.</w:t>
      </w:r>
    </w:p>
    <w:p w14:paraId="23BDD5A6" w14:textId="77777777" w:rsidR="00832016" w:rsidRPr="002F3753" w:rsidRDefault="00000000">
      <w:pPr>
        <w:rPr>
          <w:rFonts w:ascii="Times New Roman" w:hAnsi="Times New Roman" w:cs="Times New Roman"/>
          <w:sz w:val="24"/>
          <w:szCs w:val="24"/>
        </w:rPr>
      </w:pPr>
      <w:r w:rsidRPr="002F3753">
        <w:rPr>
          <w:rFonts w:ascii="Times New Roman" w:hAnsi="Times New Roman" w:cs="Times New Roman"/>
          <w:b/>
          <w:sz w:val="24"/>
          <w:szCs w:val="24"/>
        </w:rPr>
        <w:t xml:space="preserve">Justification and Business Rationale: </w:t>
      </w:r>
      <w:r w:rsidRPr="002F3753">
        <w:rPr>
          <w:rFonts w:ascii="Times New Roman" w:hAnsi="Times New Roman" w:cs="Times New Roman"/>
          <w:sz w:val="24"/>
          <w:szCs w:val="24"/>
        </w:rPr>
        <w:t xml:space="preserve">This approach is practical because it uses existing payment-history fields to identify customers before problems become more serious. It gives the Collections team a clear, measurable action while allowing </w:t>
      </w:r>
      <w:proofErr w:type="spellStart"/>
      <w:r w:rsidRPr="002F3753">
        <w:rPr>
          <w:rFonts w:ascii="Times New Roman" w:hAnsi="Times New Roman" w:cs="Times New Roman"/>
          <w:sz w:val="24"/>
          <w:szCs w:val="24"/>
        </w:rPr>
        <w:t>Geldium</w:t>
      </w:r>
      <w:proofErr w:type="spellEnd"/>
      <w:r w:rsidRPr="002F3753">
        <w:rPr>
          <w:rFonts w:ascii="Times New Roman" w:hAnsi="Times New Roman" w:cs="Times New Roman"/>
          <w:sz w:val="24"/>
          <w:szCs w:val="24"/>
        </w:rPr>
        <w:t xml:space="preserve"> to test whether earlier engagement improves repayment outcomes.</w:t>
      </w:r>
    </w:p>
    <w:p w14:paraId="44BA111A" w14:textId="77777777" w:rsidR="00832016" w:rsidRPr="002F3753" w:rsidRDefault="00000000">
      <w:pPr>
        <w:rPr>
          <w:rFonts w:ascii="Times New Roman" w:hAnsi="Times New Roman" w:cs="Times New Roman"/>
          <w:sz w:val="24"/>
          <w:szCs w:val="24"/>
        </w:rPr>
      </w:pPr>
      <w:r w:rsidRPr="002F3753">
        <w:rPr>
          <w:rFonts w:ascii="Times New Roman" w:hAnsi="Times New Roman" w:cs="Times New Roman"/>
          <w:b/>
          <w:sz w:val="24"/>
          <w:szCs w:val="24"/>
        </w:rPr>
        <w:t>3. Ethical and Responsible AI Considerations</w:t>
      </w:r>
    </w:p>
    <w:p w14:paraId="312EFD72" w14:textId="77777777" w:rsidR="00832016" w:rsidRPr="002F3753" w:rsidRDefault="00000000">
      <w:pPr>
        <w:rPr>
          <w:rFonts w:ascii="Times New Roman" w:hAnsi="Times New Roman" w:cs="Times New Roman"/>
          <w:sz w:val="24"/>
          <w:szCs w:val="24"/>
        </w:rPr>
      </w:pPr>
      <w:r w:rsidRPr="002F3753">
        <w:rPr>
          <w:rFonts w:ascii="Times New Roman" w:hAnsi="Times New Roman" w:cs="Times New Roman"/>
          <w:b/>
          <w:sz w:val="24"/>
          <w:szCs w:val="24"/>
        </w:rPr>
        <w:t xml:space="preserve">Fairness risk 1 – Biased data or inconsistent categories: </w:t>
      </w:r>
      <w:r w:rsidRPr="002F3753">
        <w:rPr>
          <w:rFonts w:ascii="Times New Roman" w:hAnsi="Times New Roman" w:cs="Times New Roman"/>
          <w:sz w:val="24"/>
          <w:szCs w:val="24"/>
        </w:rPr>
        <w:t xml:space="preserve">Inconsistent labels such as Employed, employed, and EMP, or different patterns of missing data across groups, could create misleading model </w:t>
      </w:r>
      <w:proofErr w:type="spellStart"/>
      <w:r w:rsidRPr="002F3753">
        <w:rPr>
          <w:rFonts w:ascii="Times New Roman" w:hAnsi="Times New Roman" w:cs="Times New Roman"/>
          <w:sz w:val="24"/>
          <w:szCs w:val="24"/>
        </w:rPr>
        <w:t>behaviour</w:t>
      </w:r>
      <w:proofErr w:type="spellEnd"/>
      <w:r w:rsidRPr="002F3753">
        <w:rPr>
          <w:rFonts w:ascii="Times New Roman" w:hAnsi="Times New Roman" w:cs="Times New Roman"/>
          <w:sz w:val="24"/>
          <w:szCs w:val="24"/>
        </w:rPr>
        <w:t xml:space="preserve">. Mitigation: </w:t>
      </w:r>
      <w:proofErr w:type="spellStart"/>
      <w:r w:rsidRPr="002F3753">
        <w:rPr>
          <w:rFonts w:ascii="Times New Roman" w:hAnsi="Times New Roman" w:cs="Times New Roman"/>
          <w:sz w:val="24"/>
          <w:szCs w:val="24"/>
        </w:rPr>
        <w:t>standardise</w:t>
      </w:r>
      <w:proofErr w:type="spellEnd"/>
      <w:r w:rsidRPr="002F3753">
        <w:rPr>
          <w:rFonts w:ascii="Times New Roman" w:hAnsi="Times New Roman" w:cs="Times New Roman"/>
          <w:sz w:val="24"/>
          <w:szCs w:val="24"/>
        </w:rPr>
        <w:t xml:space="preserve"> categories, investigate missingness, and compare model error rates across relevant customer groups before deployment.</w:t>
      </w:r>
    </w:p>
    <w:p w14:paraId="72BDC093" w14:textId="77777777" w:rsidR="00832016" w:rsidRPr="002F3753" w:rsidRDefault="00000000">
      <w:pPr>
        <w:rPr>
          <w:rFonts w:ascii="Times New Roman" w:hAnsi="Times New Roman" w:cs="Times New Roman"/>
          <w:sz w:val="24"/>
          <w:szCs w:val="24"/>
        </w:rPr>
      </w:pPr>
      <w:r w:rsidRPr="002F3753">
        <w:rPr>
          <w:rFonts w:ascii="Times New Roman" w:hAnsi="Times New Roman" w:cs="Times New Roman"/>
          <w:b/>
          <w:sz w:val="24"/>
          <w:szCs w:val="24"/>
        </w:rPr>
        <w:t xml:space="preserve">Fairness risk 2 – Unequal false positives and false negatives: </w:t>
      </w:r>
      <w:r w:rsidRPr="002F3753">
        <w:rPr>
          <w:rFonts w:ascii="Times New Roman" w:hAnsi="Times New Roman" w:cs="Times New Roman"/>
          <w:sz w:val="24"/>
          <w:szCs w:val="24"/>
        </w:rPr>
        <w:t>The model may incorrectly flag one group as high-risk more often, or miss genuinely high-risk customers in another group. Mitigation: monitor precision, recall, false-positive and false-negative rates across available groups and review thresholds or features if material differences appear.</w:t>
      </w:r>
    </w:p>
    <w:p w14:paraId="7491B026" w14:textId="77777777" w:rsidR="00832016" w:rsidRPr="002F3753" w:rsidRDefault="00000000">
      <w:pPr>
        <w:rPr>
          <w:rFonts w:ascii="Times New Roman" w:hAnsi="Times New Roman" w:cs="Times New Roman"/>
          <w:sz w:val="24"/>
          <w:szCs w:val="24"/>
        </w:rPr>
      </w:pPr>
      <w:r w:rsidRPr="002F3753">
        <w:rPr>
          <w:rFonts w:ascii="Times New Roman" w:hAnsi="Times New Roman" w:cs="Times New Roman"/>
          <w:b/>
          <w:sz w:val="24"/>
          <w:szCs w:val="24"/>
        </w:rPr>
        <w:t xml:space="preserve">Plain-language explainability: </w:t>
      </w:r>
      <w:r w:rsidRPr="002F3753">
        <w:rPr>
          <w:rFonts w:ascii="Times New Roman" w:hAnsi="Times New Roman" w:cs="Times New Roman"/>
          <w:sz w:val="24"/>
          <w:szCs w:val="24"/>
        </w:rPr>
        <w:t>For non-technical stakeholders, the prediction should be explained as a risk estimate based on patterns such as repeated missed payments, high credit utilization, and repayment pressure—not as a final judgement about a customer.</w:t>
      </w:r>
    </w:p>
    <w:p w14:paraId="141F9F9D" w14:textId="77777777" w:rsidR="00832016" w:rsidRPr="002F3753" w:rsidRDefault="00000000">
      <w:pPr>
        <w:rPr>
          <w:rFonts w:ascii="Times New Roman" w:hAnsi="Times New Roman" w:cs="Times New Roman"/>
          <w:sz w:val="24"/>
          <w:szCs w:val="24"/>
        </w:rPr>
      </w:pPr>
      <w:r w:rsidRPr="002F3753">
        <w:rPr>
          <w:rFonts w:ascii="Times New Roman" w:hAnsi="Times New Roman" w:cs="Times New Roman"/>
          <w:b/>
          <w:sz w:val="24"/>
          <w:szCs w:val="24"/>
        </w:rPr>
        <w:t xml:space="preserve">Responsible use: </w:t>
      </w:r>
      <w:r w:rsidRPr="002F3753">
        <w:rPr>
          <w:rFonts w:ascii="Times New Roman" w:hAnsi="Times New Roman" w:cs="Times New Roman"/>
          <w:sz w:val="24"/>
          <w:szCs w:val="24"/>
        </w:rPr>
        <w:t xml:space="preserve">The model should support human decision-making and </w:t>
      </w:r>
      <w:proofErr w:type="spellStart"/>
      <w:r w:rsidRPr="002F3753">
        <w:rPr>
          <w:rFonts w:ascii="Times New Roman" w:hAnsi="Times New Roman" w:cs="Times New Roman"/>
          <w:sz w:val="24"/>
          <w:szCs w:val="24"/>
        </w:rPr>
        <w:t>prioritisation</w:t>
      </w:r>
      <w:proofErr w:type="spellEnd"/>
      <w:r w:rsidRPr="002F3753">
        <w:rPr>
          <w:rFonts w:ascii="Times New Roman" w:hAnsi="Times New Roman" w:cs="Times New Roman"/>
          <w:sz w:val="24"/>
          <w:szCs w:val="24"/>
        </w:rPr>
        <w:t xml:space="preserve">, not automatically impose irreversible outcomes. </w:t>
      </w:r>
      <w:proofErr w:type="spellStart"/>
      <w:r w:rsidRPr="002F3753">
        <w:rPr>
          <w:rFonts w:ascii="Times New Roman" w:hAnsi="Times New Roman" w:cs="Times New Roman"/>
          <w:sz w:val="24"/>
          <w:szCs w:val="24"/>
        </w:rPr>
        <w:t>Geldium</w:t>
      </w:r>
      <w:proofErr w:type="spellEnd"/>
      <w:r w:rsidRPr="002F3753">
        <w:rPr>
          <w:rFonts w:ascii="Times New Roman" w:hAnsi="Times New Roman" w:cs="Times New Roman"/>
          <w:sz w:val="24"/>
          <w:szCs w:val="24"/>
        </w:rPr>
        <w:t xml:space="preserve"> should document model limitations, protect customer data, monitor performance over time, and keep the process accountable and transparent.</w:t>
      </w:r>
    </w:p>
    <w:sectPr w:rsidR="00832016" w:rsidRPr="002F3753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9BDA8D" w14:textId="77777777" w:rsidR="00495354" w:rsidRDefault="00495354">
      <w:pPr>
        <w:spacing w:line="240" w:lineRule="auto"/>
      </w:pPr>
      <w:r>
        <w:separator/>
      </w:r>
    </w:p>
  </w:endnote>
  <w:endnote w:type="continuationSeparator" w:id="0">
    <w:p w14:paraId="5EDC23BC" w14:textId="77777777" w:rsidR="00495354" w:rsidRDefault="0049535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default"/>
    <w:sig w:usb0="00000000" w:usb1="00000000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384BE7" w14:textId="77777777" w:rsidR="00495354" w:rsidRDefault="00495354">
      <w:pPr>
        <w:spacing w:after="0"/>
      </w:pPr>
      <w:r>
        <w:separator/>
      </w:r>
    </w:p>
  </w:footnote>
  <w:footnote w:type="continuationSeparator" w:id="0">
    <w:p w14:paraId="4DD17DB3" w14:textId="77777777" w:rsidR="00495354" w:rsidRDefault="00495354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667749187">
    <w:abstractNumId w:val="5"/>
  </w:num>
  <w:num w:numId="2" w16cid:durableId="1357537814">
    <w:abstractNumId w:val="3"/>
  </w:num>
  <w:num w:numId="3" w16cid:durableId="1891457266">
    <w:abstractNumId w:val="2"/>
  </w:num>
  <w:num w:numId="4" w16cid:durableId="1214583481">
    <w:abstractNumId w:val="4"/>
  </w:num>
  <w:num w:numId="5" w16cid:durableId="486170727">
    <w:abstractNumId w:val="1"/>
  </w:num>
  <w:num w:numId="6" w16cid:durableId="13187317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F3753"/>
    <w:rsid w:val="00326F90"/>
    <w:rsid w:val="00350365"/>
    <w:rsid w:val="00495354"/>
    <w:rsid w:val="007718D3"/>
    <w:rsid w:val="007D72C2"/>
    <w:rsid w:val="008237CA"/>
    <w:rsid w:val="00832016"/>
    <w:rsid w:val="00A537D1"/>
    <w:rsid w:val="00AA1D8D"/>
    <w:rsid w:val="00B47730"/>
    <w:rsid w:val="00CB0664"/>
    <w:rsid w:val="00FC693F"/>
    <w:rsid w:val="0FBD33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84E07FE"/>
  <w14:defaultImageDpi w14:val="300"/>
  <w15:docId w15:val="{CD752AFC-A01A-45DE-B00C-04F360BF46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 w:qFormat="1"/>
    <w:lsdException w:name="toa heading" w:semiHidden="1" w:unhideWhenUsed="1"/>
    <w:lsdException w:name="List" w:unhideWhenUsed="1" w:qFormat="1"/>
    <w:lsdException w:name="List Bullet" w:unhideWhenUsed="1" w:qFormat="1"/>
    <w:lsdException w:name="List Number" w:unhideWhenUsed="1" w:qFormat="1"/>
    <w:lsdException w:name="List 2" w:unhideWhenUsed="1" w:qFormat="1"/>
    <w:lsdException w:name="List 3" w:unhideWhenUsed="1" w:qFormat="1"/>
    <w:lsdException w:name="List 4" w:semiHidden="1" w:unhideWhenUsed="1"/>
    <w:lsdException w:name="List 5" w:semiHidden="1" w:unhideWhenUsed="1"/>
    <w:lsdException w:name="List Bullet 2" w:unhideWhenUsed="1" w:qFormat="1"/>
    <w:lsdException w:name="List Bullet 3" w:unhideWhenUsed="1" w:qFormat="1"/>
    <w:lsdException w:name="List Bullet 4" w:semiHidden="1" w:unhideWhenUsed="1"/>
    <w:lsdException w:name="List Bullet 5" w:semiHidden="1" w:unhideWhenUsed="1"/>
    <w:lsdException w:name="List Number 2" w:unhideWhenUsed="1" w:qFormat="1"/>
    <w:lsdException w:name="List Number 3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unhideWhenUsed="1" w:qFormat="1"/>
    <w:lsdException w:name="Body Text Indent" w:semiHidden="1" w:unhideWhenUsed="1"/>
    <w:lsdException w:name="List Continue" w:unhideWhenUsed="1" w:qFormat="1"/>
    <w:lsdException w:name="List Continue 2" w:unhideWhenUsed="1" w:qFormat="1"/>
    <w:lsdException w:name="List Continue 3" w:unhideWhenUsed="1" w:qFormat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 w:qFormat="1"/>
    <w:lsdException w:name="Medium List 2" w:uiPriority="66"/>
    <w:lsdException w:name="Medium Grid 1" w:uiPriority="67"/>
    <w:lsdException w:name="Medium Grid 2" w:uiPriority="68" w:qFormat="1"/>
    <w:lsdException w:name="Medium Grid 3" w:uiPriority="69"/>
    <w:lsdException w:name="Dark List" w:uiPriority="70"/>
    <w:lsdException w:name="Colorful Shading" w:uiPriority="71" w:qFormat="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1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 w:qFormat="1"/>
    <w:lsdException w:name="Medium List 1 Accent 2" w:uiPriority="65" w:qFormat="1"/>
    <w:lsdException w:name="Medium List 2 Accent 2" w:uiPriority="66" w:qFormat="1"/>
    <w:lsdException w:name="Medium Grid 1 Accent 2" w:uiPriority="67" w:qFormat="1"/>
    <w:lsdException w:name="Medium Grid 2 Accent 2" w:uiPriority="68"/>
    <w:lsdException w:name="Medium Grid 3 Accent 2" w:uiPriority="69" w:qFormat="1"/>
    <w:lsdException w:name="Dark List Accent 2" w:uiPriority="70" w:qFormat="1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 w:qFormat="1"/>
    <w:lsdException w:name="Medium List 1 Accent 3" w:uiPriority="65" w:qFormat="1"/>
    <w:lsdException w:name="Medium List 2 Accent 3" w:uiPriority="66" w:qFormat="1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 w:qFormat="1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 w:qFormat="1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 w:qFormat="1"/>
    <w:lsdException w:name="Medium List 1 Accent 5" w:uiPriority="65" w:qFormat="1"/>
    <w:lsdException w:name="Medium List 2 Accent 5" w:uiPriority="66" w:qFormat="1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 w:qFormat="1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 w:qFormat="1"/>
    <w:lsdException w:name="Medium List 2 Accent 6" w:uiPriority="66" w:qFormat="1"/>
    <w:lsdException w:name="Medium Grid 1 Accent 6" w:uiPriority="67" w:qFormat="1"/>
    <w:lsdException w:name="Medium Grid 2 Accent 6" w:uiPriority="68"/>
    <w:lsdException w:name="Medium Grid 3 Accent 6" w:uiPriority="69"/>
    <w:lsdException w:name="Dark List Accent 6" w:uiPriority="70" w:qFormat="1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A5A5A5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DDDDD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DDDDD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DDDDD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6E6E6E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6E6E6E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DDDDD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unhideWhenUsed/>
    <w:qFormat/>
    <w:pPr>
      <w:spacing w:after="120"/>
    </w:pPr>
  </w:style>
  <w:style w:type="paragraph" w:styleId="BodyText2">
    <w:name w:val="Body Text 2"/>
    <w:basedOn w:val="Normal"/>
    <w:link w:val="BodyText2Char"/>
    <w:uiPriority w:val="99"/>
    <w:unhideWhenUsed/>
    <w:qFormat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qFormat/>
    <w:pPr>
      <w:spacing w:after="120"/>
    </w:pPr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DDDDDD" w:themeColor="accent1"/>
      <w:sz w:val="18"/>
      <w:szCs w:val="18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List">
    <w:name w:val="List"/>
    <w:basedOn w:val="Normal"/>
    <w:uiPriority w:val="99"/>
    <w:unhideWhenUsed/>
    <w:qFormat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qFormat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qFormat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qFormat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qFormat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qFormat/>
    <w:pPr>
      <w:numPr>
        <w:numId w:val="3"/>
      </w:numPr>
      <w:contextualSpacing/>
    </w:pPr>
  </w:style>
  <w:style w:type="paragraph" w:styleId="ListContinue">
    <w:name w:val="List Continue"/>
    <w:basedOn w:val="Normal"/>
    <w:uiPriority w:val="99"/>
    <w:unhideWhenUsed/>
    <w:qFormat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qFormat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qFormat/>
    <w:pPr>
      <w:spacing w:after="120"/>
      <w:ind w:left="1080"/>
      <w:contextualSpacing/>
    </w:pPr>
  </w:style>
  <w:style w:type="paragraph" w:styleId="ListNumber">
    <w:name w:val="List Number"/>
    <w:basedOn w:val="Normal"/>
    <w:uiPriority w:val="99"/>
    <w:unhideWhenUsed/>
    <w:qFormat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qFormat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qFormat/>
    <w:pPr>
      <w:numPr>
        <w:numId w:val="6"/>
      </w:numPr>
      <w:contextualSpacing/>
    </w:pPr>
  </w:style>
  <w:style w:type="paragraph" w:styleId="MacroText">
    <w:name w:val="macro"/>
    <w:link w:val="MacroTextChar"/>
    <w:uiPriority w:val="99"/>
    <w:unhideWhenUsed/>
    <w:qFormat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DDDDDD" w:themeColor="accent1"/>
      <w:spacing w:val="15"/>
      <w:sz w:val="24"/>
      <w:szCs w:val="24"/>
    </w:rPr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DDDDD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00000" w:themeColor="text2" w:themeShade="BF"/>
      <w:spacing w:val="5"/>
      <w:kern w:val="28"/>
      <w:sz w:val="52"/>
      <w:szCs w:val="52"/>
    </w:rPr>
  </w:style>
  <w:style w:type="table" w:styleId="LightShading">
    <w:name w:val="Light Shading"/>
    <w:basedOn w:val="TableNormal"/>
    <w:uiPriority w:val="60"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Pr>
      <w:color w:val="A5A5A5" w:themeColor="accent1" w:themeShade="BF"/>
    </w:rPr>
    <w:tblPr>
      <w:tblBorders>
        <w:top w:val="single" w:sz="8" w:space="0" w:color="DDDDDD" w:themeColor="accent1"/>
        <w:bottom w:val="single" w:sz="8" w:space="0" w:color="DDDDD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DDDDD" w:themeColor="accent1"/>
          <w:left w:val="nil"/>
          <w:bottom w:val="single" w:sz="8" w:space="0" w:color="DDDDD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DDDDD" w:themeColor="accent1"/>
          <w:left w:val="nil"/>
          <w:bottom w:val="single" w:sz="8" w:space="0" w:color="DDDDD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6F6F6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6F6F6" w:themeFill="accent1" w:themeFillTint="3F"/>
      </w:tcPr>
    </w:tblStylePr>
  </w:style>
  <w:style w:type="table" w:styleId="LightShading-Accent2">
    <w:name w:val="Light Shading Accent 2"/>
    <w:basedOn w:val="TableNormal"/>
    <w:uiPriority w:val="60"/>
    <w:rPr>
      <w:color w:val="858585" w:themeColor="accent2" w:themeShade="BF"/>
    </w:rPr>
    <w:tblPr>
      <w:tblBorders>
        <w:top w:val="single" w:sz="8" w:space="0" w:color="B2B2B2" w:themeColor="accent2"/>
        <w:bottom w:val="single" w:sz="8" w:space="0" w:color="B2B2B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2B2B2" w:themeColor="accent2"/>
          <w:left w:val="nil"/>
          <w:bottom w:val="single" w:sz="8" w:space="0" w:color="B2B2B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2B2B2" w:themeColor="accent2"/>
          <w:left w:val="nil"/>
          <w:bottom w:val="single" w:sz="8" w:space="0" w:color="B2B2B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</w:style>
  <w:style w:type="table" w:styleId="LightShading-Accent3">
    <w:name w:val="Light Shading Accent 3"/>
    <w:basedOn w:val="TableNormal"/>
    <w:uiPriority w:val="60"/>
    <w:rPr>
      <w:color w:val="707070" w:themeColor="accent3" w:themeShade="BF"/>
    </w:rPr>
    <w:tblPr>
      <w:tblBorders>
        <w:top w:val="single" w:sz="8" w:space="0" w:color="969696" w:themeColor="accent3"/>
        <w:bottom w:val="single" w:sz="8" w:space="0" w:color="969696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69696" w:themeColor="accent3"/>
          <w:left w:val="nil"/>
          <w:bottom w:val="single" w:sz="8" w:space="0" w:color="969696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69696" w:themeColor="accent3"/>
          <w:left w:val="nil"/>
          <w:bottom w:val="single" w:sz="8" w:space="0" w:color="969696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</w:style>
  <w:style w:type="table" w:styleId="LightShading-Accent4">
    <w:name w:val="Light Shading Accent 4"/>
    <w:basedOn w:val="TableNormal"/>
    <w:uiPriority w:val="60"/>
    <w:rPr>
      <w:color w:val="5F5F5F" w:themeColor="accent4" w:themeShade="BF"/>
    </w:rPr>
    <w:tblPr>
      <w:tblBorders>
        <w:top w:val="single" w:sz="8" w:space="0" w:color="808080" w:themeColor="accent4"/>
        <w:bottom w:val="single" w:sz="8" w:space="0" w:color="80808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8080" w:themeColor="accent4"/>
          <w:left w:val="nil"/>
          <w:bottom w:val="single" w:sz="8" w:space="0" w:color="80808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8080" w:themeColor="accent4"/>
          <w:left w:val="nil"/>
          <w:bottom w:val="single" w:sz="8" w:space="0" w:color="80808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</w:style>
  <w:style w:type="table" w:styleId="LightShading-Accent5">
    <w:name w:val="Light Shading Accent 5"/>
    <w:basedOn w:val="TableNormal"/>
    <w:uiPriority w:val="60"/>
    <w:rPr>
      <w:color w:val="474747" w:themeColor="accent5" w:themeShade="BF"/>
    </w:rPr>
    <w:tblPr>
      <w:tblBorders>
        <w:top w:val="single" w:sz="8" w:space="0" w:color="5F5F5F" w:themeColor="accent5"/>
        <w:bottom w:val="single" w:sz="8" w:space="0" w:color="5F5F5F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F5F5F" w:themeColor="accent5"/>
          <w:left w:val="nil"/>
          <w:bottom w:val="single" w:sz="8" w:space="0" w:color="5F5F5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F5F5F" w:themeColor="accent5"/>
          <w:left w:val="nil"/>
          <w:bottom w:val="single" w:sz="8" w:space="0" w:color="5F5F5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</w:style>
  <w:style w:type="table" w:styleId="LightShading-Accent6">
    <w:name w:val="Light Shading Accent 6"/>
    <w:basedOn w:val="TableNormal"/>
    <w:uiPriority w:val="60"/>
    <w:rPr>
      <w:color w:val="393939" w:themeColor="accent6" w:themeShade="BF"/>
    </w:rPr>
    <w:tblPr>
      <w:tblBorders>
        <w:top w:val="single" w:sz="8" w:space="0" w:color="4D4D4D" w:themeColor="accent6"/>
        <w:bottom w:val="single" w:sz="8" w:space="0" w:color="4D4D4D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D4D4D" w:themeColor="accent6"/>
          <w:left w:val="nil"/>
          <w:bottom w:val="single" w:sz="8" w:space="0" w:color="4D4D4D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D4D4D" w:themeColor="accent6"/>
          <w:left w:val="nil"/>
          <w:bottom w:val="single" w:sz="8" w:space="0" w:color="4D4D4D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</w:style>
  <w:style w:type="table" w:styleId="LightList">
    <w:name w:val="Light List"/>
    <w:basedOn w:val="TableNormal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tblPr>
      <w:tblBorders>
        <w:top w:val="single" w:sz="8" w:space="0" w:color="DDDDDD" w:themeColor="accent1"/>
        <w:left w:val="single" w:sz="8" w:space="0" w:color="DDDDDD" w:themeColor="accent1"/>
        <w:bottom w:val="single" w:sz="8" w:space="0" w:color="DDDDDD" w:themeColor="accent1"/>
        <w:right w:val="single" w:sz="8" w:space="0" w:color="DDDDD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DDDDD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DDDDD" w:themeColor="accent1"/>
          <w:left w:val="single" w:sz="8" w:space="0" w:color="DDDDDD" w:themeColor="accent1"/>
          <w:bottom w:val="single" w:sz="8" w:space="0" w:color="DDDDDD" w:themeColor="accent1"/>
          <w:right w:val="single" w:sz="8" w:space="0" w:color="DDDDD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DDDDDD" w:themeColor="accent1"/>
          <w:left w:val="single" w:sz="8" w:space="0" w:color="DDDDDD" w:themeColor="accent1"/>
          <w:bottom w:val="single" w:sz="8" w:space="0" w:color="DDDDDD" w:themeColor="accent1"/>
          <w:right w:val="single" w:sz="8" w:space="0" w:color="DDDDDD" w:themeColor="accent1"/>
        </w:tcBorders>
      </w:tcPr>
    </w:tblStylePr>
    <w:tblStylePr w:type="band1Horz">
      <w:tblPr/>
      <w:tcPr>
        <w:tcBorders>
          <w:top w:val="single" w:sz="8" w:space="0" w:color="DDDDDD" w:themeColor="accent1"/>
          <w:left w:val="single" w:sz="8" w:space="0" w:color="DDDDDD" w:themeColor="accent1"/>
          <w:bottom w:val="single" w:sz="8" w:space="0" w:color="DDDDDD" w:themeColor="accent1"/>
          <w:right w:val="single" w:sz="8" w:space="0" w:color="DDDDDD" w:themeColor="accent1"/>
        </w:tcBorders>
      </w:tcPr>
    </w:tblStylePr>
  </w:style>
  <w:style w:type="table" w:styleId="LightList-Accent2">
    <w:name w:val="Light List Accent 2"/>
    <w:basedOn w:val="TableNormal"/>
    <w:uiPriority w:val="61"/>
    <w:tblPr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band1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</w:style>
  <w:style w:type="table" w:styleId="LightList-Accent3">
    <w:name w:val="Light List Accent 3"/>
    <w:basedOn w:val="TableNormal"/>
    <w:uiPriority w:val="61"/>
    <w:tblPr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band1Horz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</w:style>
  <w:style w:type="table" w:styleId="LightList-Accent4">
    <w:name w:val="Light List Accent 4"/>
    <w:basedOn w:val="TableNormal"/>
    <w:uiPriority w:val="61"/>
    <w:tblPr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band1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</w:style>
  <w:style w:type="table" w:styleId="LightList-Accent5">
    <w:name w:val="Light List Accent 5"/>
    <w:basedOn w:val="TableNormal"/>
    <w:uiPriority w:val="61"/>
    <w:tblPr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band1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</w:style>
  <w:style w:type="table" w:styleId="LightList-Accent6">
    <w:name w:val="Light List Accent 6"/>
    <w:basedOn w:val="TableNormal"/>
    <w:uiPriority w:val="61"/>
    <w:tblPr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band1Horz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</w:style>
  <w:style w:type="table" w:styleId="LightGrid">
    <w:name w:val="Light Grid"/>
    <w:basedOn w:val="TableNormal"/>
    <w:uiPriority w:val="62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tblPr>
      <w:tblBorders>
        <w:top w:val="single" w:sz="8" w:space="0" w:color="DDDDDD" w:themeColor="accent1"/>
        <w:left w:val="single" w:sz="8" w:space="0" w:color="DDDDDD" w:themeColor="accent1"/>
        <w:bottom w:val="single" w:sz="8" w:space="0" w:color="DDDDDD" w:themeColor="accent1"/>
        <w:right w:val="single" w:sz="8" w:space="0" w:color="DDDDDD" w:themeColor="accent1"/>
        <w:insideH w:val="single" w:sz="8" w:space="0" w:color="DDDDDD" w:themeColor="accent1"/>
        <w:insideV w:val="single" w:sz="8" w:space="0" w:color="DDDDD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DDDDD" w:themeColor="accent1"/>
          <w:left w:val="single" w:sz="8" w:space="0" w:color="DDDDDD" w:themeColor="accent1"/>
          <w:bottom w:val="single" w:sz="18" w:space="0" w:color="DDDDDD" w:themeColor="accent1"/>
          <w:right w:val="single" w:sz="8" w:space="0" w:color="DDDDD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DDDDDD" w:themeColor="accent1"/>
          <w:left w:val="single" w:sz="8" w:space="0" w:color="DDDDDD" w:themeColor="accent1"/>
          <w:bottom w:val="single" w:sz="8" w:space="0" w:color="DDDDDD" w:themeColor="accent1"/>
          <w:right w:val="single" w:sz="8" w:space="0" w:color="DDDDD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DDDDD" w:themeColor="accent1"/>
          <w:left w:val="single" w:sz="8" w:space="0" w:color="DDDDDD" w:themeColor="accent1"/>
          <w:bottom w:val="single" w:sz="8" w:space="0" w:color="DDDDDD" w:themeColor="accent1"/>
          <w:right w:val="single" w:sz="8" w:space="0" w:color="DDDDDD" w:themeColor="accent1"/>
        </w:tcBorders>
      </w:tcPr>
    </w:tblStylePr>
    <w:tblStylePr w:type="band1Vert">
      <w:tblPr/>
      <w:tcPr>
        <w:tcBorders>
          <w:top w:val="single" w:sz="8" w:space="0" w:color="DDDDDD" w:themeColor="accent1"/>
          <w:left w:val="single" w:sz="8" w:space="0" w:color="DDDDDD" w:themeColor="accent1"/>
          <w:bottom w:val="single" w:sz="8" w:space="0" w:color="DDDDDD" w:themeColor="accent1"/>
          <w:right w:val="single" w:sz="8" w:space="0" w:color="DDDDDD" w:themeColor="accent1"/>
        </w:tcBorders>
        <w:shd w:val="clear" w:color="auto" w:fill="F6F6F6" w:themeFill="accent1" w:themeFillTint="3F"/>
      </w:tcPr>
    </w:tblStylePr>
    <w:tblStylePr w:type="band1Horz">
      <w:tblPr/>
      <w:tcPr>
        <w:tcBorders>
          <w:top w:val="single" w:sz="8" w:space="0" w:color="DDDDDD" w:themeColor="accent1"/>
          <w:left w:val="single" w:sz="8" w:space="0" w:color="DDDDDD" w:themeColor="accent1"/>
          <w:bottom w:val="single" w:sz="8" w:space="0" w:color="DDDDDD" w:themeColor="accent1"/>
          <w:right w:val="single" w:sz="8" w:space="0" w:color="DDDDDD" w:themeColor="accent1"/>
          <w:insideV w:val="single" w:sz="8" w:space="0" w:color="auto"/>
        </w:tcBorders>
        <w:shd w:val="clear" w:color="auto" w:fill="F6F6F6" w:themeFill="accent1" w:themeFillTint="3F"/>
      </w:tcPr>
    </w:tblStylePr>
    <w:tblStylePr w:type="band2Horz">
      <w:tblPr/>
      <w:tcPr>
        <w:tcBorders>
          <w:top w:val="single" w:sz="8" w:space="0" w:color="DDDDDD" w:themeColor="accent1"/>
          <w:left w:val="single" w:sz="8" w:space="0" w:color="DDDDDD" w:themeColor="accent1"/>
          <w:bottom w:val="single" w:sz="8" w:space="0" w:color="DDDDDD" w:themeColor="accent1"/>
          <w:right w:val="single" w:sz="8" w:space="0" w:color="DDDDDD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tblPr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  <w:insideH w:val="single" w:sz="8" w:space="0" w:color="B2B2B2" w:themeColor="accent2"/>
        <w:insideV w:val="single" w:sz="8" w:space="0" w:color="B2B2B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18" w:space="0" w:color="B2B2B2" w:themeColor="accent2"/>
          <w:right w:val="single" w:sz="8" w:space="0" w:color="B2B2B2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band1Vert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  <w:shd w:val="clear" w:color="auto" w:fill="EBEBEB" w:themeFill="accent2" w:themeFillTint="3F"/>
      </w:tcPr>
    </w:tblStylePr>
    <w:tblStylePr w:type="band1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  <w:insideV w:val="single" w:sz="8" w:space="0" w:color="auto"/>
        </w:tcBorders>
        <w:shd w:val="clear" w:color="auto" w:fill="EBEBEB" w:themeFill="accent2" w:themeFillTint="3F"/>
      </w:tcPr>
    </w:tblStylePr>
    <w:tblStylePr w:type="band2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tblPr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  <w:insideH w:val="single" w:sz="8" w:space="0" w:color="969696" w:themeColor="accent3"/>
        <w:insideV w:val="single" w:sz="8" w:space="0" w:color="969696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18" w:space="0" w:color="969696" w:themeColor="accent3"/>
          <w:right w:val="single" w:sz="8" w:space="0" w:color="969696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band1Vert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  <w:shd w:val="clear" w:color="auto" w:fill="E5E5E5" w:themeFill="accent3" w:themeFillTint="3F"/>
      </w:tcPr>
    </w:tblStylePr>
    <w:tblStylePr w:type="band1Horz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  <w:insideV w:val="single" w:sz="8" w:space="0" w:color="auto"/>
        </w:tcBorders>
        <w:shd w:val="clear" w:color="auto" w:fill="E5E5E5" w:themeFill="accent3" w:themeFillTint="3F"/>
      </w:tcPr>
    </w:tblStylePr>
    <w:tblStylePr w:type="band2Horz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tblPr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  <w:insideH w:val="single" w:sz="8" w:space="0" w:color="808080" w:themeColor="accent4"/>
        <w:insideV w:val="single" w:sz="8" w:space="0" w:color="80808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18" w:space="0" w:color="808080" w:themeColor="accent4"/>
          <w:right w:val="single" w:sz="8" w:space="0" w:color="808080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band1Vert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  <w:shd w:val="clear" w:color="auto" w:fill="DFDFDF" w:themeFill="accent4" w:themeFillTint="3F"/>
      </w:tcPr>
    </w:tblStylePr>
    <w:tblStylePr w:type="band1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  <w:insideV w:val="single" w:sz="8" w:space="0" w:color="auto"/>
        </w:tcBorders>
        <w:shd w:val="clear" w:color="auto" w:fill="DFDFDF" w:themeFill="accent4" w:themeFillTint="3F"/>
      </w:tcPr>
    </w:tblStylePr>
    <w:tblStylePr w:type="band2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tblPr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  <w:insideH w:val="single" w:sz="8" w:space="0" w:color="5F5F5F" w:themeColor="accent5"/>
        <w:insideV w:val="single" w:sz="8" w:space="0" w:color="5F5F5F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18" w:space="0" w:color="5F5F5F" w:themeColor="accent5"/>
          <w:right w:val="single" w:sz="8" w:space="0" w:color="5F5F5F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band1Vert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  <w:shd w:val="clear" w:color="auto" w:fill="D7D7D7" w:themeFill="accent5" w:themeFillTint="3F"/>
      </w:tcPr>
    </w:tblStylePr>
    <w:tblStylePr w:type="band1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  <w:insideV w:val="single" w:sz="8" w:space="0" w:color="auto"/>
        </w:tcBorders>
        <w:shd w:val="clear" w:color="auto" w:fill="D7D7D7" w:themeFill="accent5" w:themeFillTint="3F"/>
      </w:tcPr>
    </w:tblStylePr>
    <w:tblStylePr w:type="band2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tblPr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  <w:insideH w:val="single" w:sz="8" w:space="0" w:color="4D4D4D" w:themeColor="accent6"/>
        <w:insideV w:val="single" w:sz="8" w:space="0" w:color="4D4D4D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18" w:space="0" w:color="4D4D4D" w:themeColor="accent6"/>
          <w:right w:val="single" w:sz="8" w:space="0" w:color="4D4D4D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band1Vert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  <w:shd w:val="clear" w:color="auto" w:fill="D3D3D3" w:themeFill="accent6" w:themeFillTint="3F"/>
      </w:tcPr>
    </w:tblStylePr>
    <w:tblStylePr w:type="band1Horz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  <w:insideV w:val="single" w:sz="8" w:space="0" w:color="auto"/>
        </w:tcBorders>
        <w:shd w:val="clear" w:color="auto" w:fill="D3D3D3" w:themeFill="accent6" w:themeFillTint="3F"/>
      </w:tcPr>
    </w:tblStylePr>
    <w:tblStylePr w:type="band2Horz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tblPr>
      <w:tblBorders>
        <w:top w:val="single" w:sz="8" w:space="0" w:color="E5E5E5" w:themeColor="accent1" w:themeTint="BF"/>
        <w:left w:val="single" w:sz="8" w:space="0" w:color="E5E5E5" w:themeColor="accent1" w:themeTint="BF"/>
        <w:bottom w:val="single" w:sz="8" w:space="0" w:color="E5E5E5" w:themeColor="accent1" w:themeTint="BF"/>
        <w:right w:val="single" w:sz="8" w:space="0" w:color="E5E5E5" w:themeColor="accent1" w:themeTint="BF"/>
        <w:insideH w:val="single" w:sz="8" w:space="0" w:color="E5E5E5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5E5E5" w:themeColor="accent1" w:themeTint="BF"/>
          <w:left w:val="single" w:sz="8" w:space="0" w:color="E5E5E5" w:themeColor="accent1" w:themeTint="BF"/>
          <w:bottom w:val="single" w:sz="8" w:space="0" w:color="E5E5E5" w:themeColor="accent1" w:themeTint="BF"/>
          <w:right w:val="single" w:sz="8" w:space="0" w:color="E5E5E5" w:themeColor="accent1" w:themeTint="BF"/>
          <w:insideH w:val="nil"/>
          <w:insideV w:val="nil"/>
        </w:tcBorders>
        <w:shd w:val="clear" w:color="auto" w:fill="DDDDD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5E5E5" w:themeColor="accent1" w:themeTint="BF"/>
          <w:left w:val="single" w:sz="8" w:space="0" w:color="E5E5E5" w:themeColor="accent1" w:themeTint="BF"/>
          <w:bottom w:val="single" w:sz="8" w:space="0" w:color="E5E5E5" w:themeColor="accent1" w:themeTint="BF"/>
          <w:right w:val="single" w:sz="8" w:space="0" w:color="E5E5E5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F6F6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6F6F6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tblPr>
      <w:tblBorders>
        <w:top w:val="single" w:sz="8" w:space="0" w:color="C5C5C5" w:themeColor="accent2" w:themeTint="BF"/>
        <w:left w:val="single" w:sz="8" w:space="0" w:color="C5C5C5" w:themeColor="accent2" w:themeTint="BF"/>
        <w:bottom w:val="single" w:sz="8" w:space="0" w:color="C5C5C5" w:themeColor="accent2" w:themeTint="BF"/>
        <w:right w:val="single" w:sz="8" w:space="0" w:color="C5C5C5" w:themeColor="accent2" w:themeTint="BF"/>
        <w:insideH w:val="single" w:sz="8" w:space="0" w:color="C5C5C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5C5C5" w:themeColor="accent2" w:themeTint="BF"/>
          <w:left w:val="single" w:sz="8" w:space="0" w:color="C5C5C5" w:themeColor="accent2" w:themeTint="BF"/>
          <w:bottom w:val="single" w:sz="8" w:space="0" w:color="C5C5C5" w:themeColor="accent2" w:themeTint="BF"/>
          <w:right w:val="single" w:sz="8" w:space="0" w:color="C5C5C5" w:themeColor="accent2" w:themeTint="BF"/>
          <w:insideH w:val="nil"/>
          <w:insideV w:val="nil"/>
        </w:tcBorders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5C5C5" w:themeColor="accent2" w:themeTint="BF"/>
          <w:left w:val="single" w:sz="8" w:space="0" w:color="C5C5C5" w:themeColor="accent2" w:themeTint="BF"/>
          <w:bottom w:val="single" w:sz="8" w:space="0" w:color="C5C5C5" w:themeColor="accent2" w:themeTint="BF"/>
          <w:right w:val="single" w:sz="8" w:space="0" w:color="C5C5C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EBE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BEBE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tblPr>
      <w:tblBorders>
        <w:top w:val="single" w:sz="8" w:space="0" w:color="B0B0B0" w:themeColor="accent3" w:themeTint="BF"/>
        <w:left w:val="single" w:sz="8" w:space="0" w:color="B0B0B0" w:themeColor="accent3" w:themeTint="BF"/>
        <w:bottom w:val="single" w:sz="8" w:space="0" w:color="B0B0B0" w:themeColor="accent3" w:themeTint="BF"/>
        <w:right w:val="single" w:sz="8" w:space="0" w:color="B0B0B0" w:themeColor="accent3" w:themeTint="BF"/>
        <w:insideH w:val="single" w:sz="8" w:space="0" w:color="B0B0B0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0B0B0" w:themeColor="accent3" w:themeTint="BF"/>
          <w:left w:val="single" w:sz="8" w:space="0" w:color="B0B0B0" w:themeColor="accent3" w:themeTint="BF"/>
          <w:bottom w:val="single" w:sz="8" w:space="0" w:color="B0B0B0" w:themeColor="accent3" w:themeTint="BF"/>
          <w:right w:val="single" w:sz="8" w:space="0" w:color="B0B0B0" w:themeColor="accent3" w:themeTint="BF"/>
          <w:insideH w:val="nil"/>
          <w:insideV w:val="nil"/>
        </w:tcBorders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0B0B0" w:themeColor="accent3" w:themeTint="BF"/>
          <w:left w:val="single" w:sz="8" w:space="0" w:color="B0B0B0" w:themeColor="accent3" w:themeTint="BF"/>
          <w:bottom w:val="single" w:sz="8" w:space="0" w:color="B0B0B0" w:themeColor="accent3" w:themeTint="BF"/>
          <w:right w:val="single" w:sz="8" w:space="0" w:color="B0B0B0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E5E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tblPr>
      <w:tblBorders>
        <w:top w:val="single" w:sz="8" w:space="0" w:color="9F9F9F" w:themeColor="accent4" w:themeTint="BF"/>
        <w:left w:val="single" w:sz="8" w:space="0" w:color="9F9F9F" w:themeColor="accent4" w:themeTint="BF"/>
        <w:bottom w:val="single" w:sz="8" w:space="0" w:color="9F9F9F" w:themeColor="accent4" w:themeTint="BF"/>
        <w:right w:val="single" w:sz="8" w:space="0" w:color="9F9F9F" w:themeColor="accent4" w:themeTint="BF"/>
        <w:insideH w:val="single" w:sz="8" w:space="0" w:color="9F9F9F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9F9F" w:themeColor="accent4" w:themeTint="BF"/>
          <w:left w:val="single" w:sz="8" w:space="0" w:color="9F9F9F" w:themeColor="accent4" w:themeTint="BF"/>
          <w:bottom w:val="single" w:sz="8" w:space="0" w:color="9F9F9F" w:themeColor="accent4" w:themeTint="BF"/>
          <w:right w:val="single" w:sz="8" w:space="0" w:color="9F9F9F" w:themeColor="accent4" w:themeTint="BF"/>
          <w:insideH w:val="nil"/>
          <w:insideV w:val="nil"/>
        </w:tcBorders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9F9F" w:themeColor="accent4" w:themeTint="BF"/>
          <w:left w:val="single" w:sz="8" w:space="0" w:color="9F9F9F" w:themeColor="accent4" w:themeTint="BF"/>
          <w:bottom w:val="single" w:sz="8" w:space="0" w:color="9F9F9F" w:themeColor="accent4" w:themeTint="BF"/>
          <w:right w:val="single" w:sz="8" w:space="0" w:color="9F9F9F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FDF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tblPr>
      <w:tblBorders>
        <w:top w:val="single" w:sz="8" w:space="0" w:color="878787" w:themeColor="accent5" w:themeTint="BF"/>
        <w:left w:val="single" w:sz="8" w:space="0" w:color="878787" w:themeColor="accent5" w:themeTint="BF"/>
        <w:bottom w:val="single" w:sz="8" w:space="0" w:color="878787" w:themeColor="accent5" w:themeTint="BF"/>
        <w:right w:val="single" w:sz="8" w:space="0" w:color="878787" w:themeColor="accent5" w:themeTint="BF"/>
        <w:insideH w:val="single" w:sz="8" w:space="0" w:color="878787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78787" w:themeColor="accent5" w:themeTint="BF"/>
          <w:left w:val="single" w:sz="8" w:space="0" w:color="878787" w:themeColor="accent5" w:themeTint="BF"/>
          <w:bottom w:val="single" w:sz="8" w:space="0" w:color="878787" w:themeColor="accent5" w:themeTint="BF"/>
          <w:right w:val="single" w:sz="8" w:space="0" w:color="878787" w:themeColor="accent5" w:themeTint="BF"/>
          <w:insideH w:val="nil"/>
          <w:insideV w:val="nil"/>
        </w:tcBorders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78787" w:themeColor="accent5" w:themeTint="BF"/>
          <w:left w:val="single" w:sz="8" w:space="0" w:color="878787" w:themeColor="accent5" w:themeTint="BF"/>
          <w:bottom w:val="single" w:sz="8" w:space="0" w:color="878787" w:themeColor="accent5" w:themeTint="BF"/>
          <w:right w:val="single" w:sz="8" w:space="0" w:color="878787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7D7D7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7D7D7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tblPr>
      <w:tblBorders>
        <w:top w:val="single" w:sz="8" w:space="0" w:color="797979" w:themeColor="accent6" w:themeTint="BF"/>
        <w:left w:val="single" w:sz="8" w:space="0" w:color="797979" w:themeColor="accent6" w:themeTint="BF"/>
        <w:bottom w:val="single" w:sz="8" w:space="0" w:color="797979" w:themeColor="accent6" w:themeTint="BF"/>
        <w:right w:val="single" w:sz="8" w:space="0" w:color="797979" w:themeColor="accent6" w:themeTint="BF"/>
        <w:insideH w:val="single" w:sz="8" w:space="0" w:color="797979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97979" w:themeColor="accent6" w:themeTint="BF"/>
          <w:left w:val="single" w:sz="8" w:space="0" w:color="797979" w:themeColor="accent6" w:themeTint="BF"/>
          <w:bottom w:val="single" w:sz="8" w:space="0" w:color="797979" w:themeColor="accent6" w:themeTint="BF"/>
          <w:right w:val="single" w:sz="8" w:space="0" w:color="797979" w:themeColor="accent6" w:themeTint="BF"/>
          <w:insideH w:val="nil"/>
          <w:insideV w:val="nil"/>
        </w:tcBorders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97979" w:themeColor="accent6" w:themeTint="BF"/>
          <w:left w:val="single" w:sz="8" w:space="0" w:color="797979" w:themeColor="accent6" w:themeTint="BF"/>
          <w:bottom w:val="single" w:sz="8" w:space="0" w:color="797979" w:themeColor="accent6" w:themeTint="BF"/>
          <w:right w:val="single" w:sz="8" w:space="0" w:color="797979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3D3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3D3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DDDDD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DDDDD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DDDD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B2B2B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B2B2B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69696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69696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808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808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F5F5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F5F5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D4D4D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D4D4D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qFormat/>
    <w:rPr>
      <w:color w:val="000000" w:themeColor="text1"/>
    </w:rPr>
    <w:tblPr>
      <w:tblBorders>
        <w:top w:val="single" w:sz="8" w:space="0" w:color="DDDDDD" w:themeColor="accent1"/>
        <w:bottom w:val="single" w:sz="8" w:space="0" w:color="DDDDD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DDDDDD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DDDDDD" w:themeColor="accent1"/>
          <w:bottom w:val="single" w:sz="8" w:space="0" w:color="DDDDD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DDDDDD" w:themeColor="accent1"/>
          <w:bottom w:val="single" w:sz="8" w:space="0" w:color="DDDDDD" w:themeColor="accent1"/>
        </w:tcBorders>
      </w:tcPr>
    </w:tblStylePr>
    <w:tblStylePr w:type="band1Vert">
      <w:tblPr/>
      <w:tcPr>
        <w:shd w:val="clear" w:color="auto" w:fill="F6F6F6" w:themeFill="accent1" w:themeFillTint="3F"/>
      </w:tcPr>
    </w:tblStylePr>
    <w:tblStylePr w:type="band1Horz">
      <w:tblPr/>
      <w:tcPr>
        <w:shd w:val="clear" w:color="auto" w:fill="F6F6F6" w:themeFill="accent1" w:themeFillTint="3F"/>
      </w:tcPr>
    </w:tblStylePr>
  </w:style>
  <w:style w:type="table" w:styleId="MediumList1-Accent2">
    <w:name w:val="Medium List 1 Accent 2"/>
    <w:basedOn w:val="TableNormal"/>
    <w:uiPriority w:val="65"/>
    <w:qFormat/>
    <w:rPr>
      <w:color w:val="000000" w:themeColor="text1"/>
    </w:rPr>
    <w:tblPr>
      <w:tblBorders>
        <w:top w:val="single" w:sz="8" w:space="0" w:color="B2B2B2" w:themeColor="accent2"/>
        <w:bottom w:val="single" w:sz="8" w:space="0" w:color="B2B2B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B2B2B2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B2B2B2" w:themeColor="accent2"/>
          <w:bottom w:val="single" w:sz="8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B2B2B2" w:themeColor="accent2"/>
          <w:bottom w:val="single" w:sz="8" w:space="0" w:color="B2B2B2" w:themeColor="accent2"/>
        </w:tcBorders>
      </w:tcPr>
    </w:tblStylePr>
    <w:tblStylePr w:type="band1Vert">
      <w:tblPr/>
      <w:tcPr>
        <w:shd w:val="clear" w:color="auto" w:fill="EBEBEB" w:themeFill="accent2" w:themeFillTint="3F"/>
      </w:tcPr>
    </w:tblStylePr>
    <w:tblStylePr w:type="band1Horz">
      <w:tblPr/>
      <w:tcPr>
        <w:shd w:val="clear" w:color="auto" w:fill="EBEBEB" w:themeFill="accent2" w:themeFillTint="3F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 w:themeColor="text1"/>
    </w:rPr>
    <w:tblPr>
      <w:tblBorders>
        <w:top w:val="single" w:sz="8" w:space="0" w:color="969696" w:themeColor="accent3"/>
        <w:bottom w:val="single" w:sz="8" w:space="0" w:color="969696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69696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969696" w:themeColor="accent3"/>
          <w:bottom w:val="single" w:sz="8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69696" w:themeColor="accent3"/>
          <w:bottom w:val="single" w:sz="8" w:space="0" w:color="969696" w:themeColor="accent3"/>
        </w:tcBorders>
      </w:tcPr>
    </w:tblStylePr>
    <w:tblStylePr w:type="band1Vert">
      <w:tblPr/>
      <w:tcPr>
        <w:shd w:val="clear" w:color="auto" w:fill="E5E5E5" w:themeFill="accent3" w:themeFillTint="3F"/>
      </w:tcPr>
    </w:tblStylePr>
    <w:tblStylePr w:type="band1Horz">
      <w:tblPr/>
      <w:tcPr>
        <w:shd w:val="clear" w:color="auto" w:fill="E5E5E5" w:themeFill="accent3" w:themeFillTint="3F"/>
      </w:tcPr>
    </w:tblStylePr>
  </w:style>
  <w:style w:type="table" w:styleId="MediumList1-Accent4">
    <w:name w:val="Medium List 1 Accent 4"/>
    <w:basedOn w:val="TableNormal"/>
    <w:uiPriority w:val="65"/>
    <w:rPr>
      <w:color w:val="000000" w:themeColor="text1"/>
    </w:rPr>
    <w:tblPr>
      <w:tblBorders>
        <w:top w:val="single" w:sz="8" w:space="0" w:color="808080" w:themeColor="accent4"/>
        <w:bottom w:val="single" w:sz="8" w:space="0" w:color="80808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8080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808080" w:themeColor="accent4"/>
          <w:bottom w:val="single" w:sz="8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8080" w:themeColor="accent4"/>
          <w:bottom w:val="single" w:sz="8" w:space="0" w:color="808080" w:themeColor="accent4"/>
        </w:tcBorders>
      </w:tcPr>
    </w:tblStylePr>
    <w:tblStylePr w:type="band1Vert">
      <w:tblPr/>
      <w:tcPr>
        <w:shd w:val="clear" w:color="auto" w:fill="DFDFDF" w:themeFill="accent4" w:themeFillTint="3F"/>
      </w:tcPr>
    </w:tblStylePr>
    <w:tblStylePr w:type="band1Horz">
      <w:tblPr/>
      <w:tcPr>
        <w:shd w:val="clear" w:color="auto" w:fill="DFDFDF" w:themeFill="accent4" w:themeFillTint="3F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 w:themeColor="text1"/>
    </w:rPr>
    <w:tblPr>
      <w:tblBorders>
        <w:top w:val="single" w:sz="8" w:space="0" w:color="5F5F5F" w:themeColor="accent5"/>
        <w:bottom w:val="single" w:sz="8" w:space="0" w:color="5F5F5F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F5F5F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5F5F5F" w:themeColor="accent5"/>
          <w:bottom w:val="single" w:sz="8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F5F5F" w:themeColor="accent5"/>
          <w:bottom w:val="single" w:sz="8" w:space="0" w:color="5F5F5F" w:themeColor="accent5"/>
        </w:tcBorders>
      </w:tcPr>
    </w:tblStylePr>
    <w:tblStylePr w:type="band1Vert">
      <w:tblPr/>
      <w:tcPr>
        <w:shd w:val="clear" w:color="auto" w:fill="D7D7D7" w:themeFill="accent5" w:themeFillTint="3F"/>
      </w:tcPr>
    </w:tblStylePr>
    <w:tblStylePr w:type="band1Horz">
      <w:tblPr/>
      <w:tcPr>
        <w:shd w:val="clear" w:color="auto" w:fill="D7D7D7" w:themeFill="accent5" w:themeFillTint="3F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 w:themeColor="text1"/>
    </w:rPr>
    <w:tblPr>
      <w:tblBorders>
        <w:top w:val="single" w:sz="8" w:space="0" w:color="4D4D4D" w:themeColor="accent6"/>
        <w:bottom w:val="single" w:sz="8" w:space="0" w:color="4D4D4D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D4D4D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4D4D4D" w:themeColor="accent6"/>
          <w:bottom w:val="single" w:sz="8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D4D4D" w:themeColor="accent6"/>
          <w:bottom w:val="single" w:sz="8" w:space="0" w:color="4D4D4D" w:themeColor="accent6"/>
        </w:tcBorders>
      </w:tcPr>
    </w:tblStylePr>
    <w:tblStylePr w:type="band1Vert">
      <w:tblPr/>
      <w:tcPr>
        <w:shd w:val="clear" w:color="auto" w:fill="D3D3D3" w:themeFill="accent6" w:themeFillTint="3F"/>
      </w:tcPr>
    </w:tblStylePr>
    <w:tblStylePr w:type="band1Horz">
      <w:tblPr/>
      <w:tcPr>
        <w:shd w:val="clear" w:color="auto" w:fill="D3D3D3" w:themeFill="accent6" w:themeFillTint="3F"/>
      </w:tcPr>
    </w:tblStylePr>
  </w:style>
  <w:style w:type="table" w:styleId="MediumList2">
    <w:name w:val="Medium Lis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DDDDDD" w:themeColor="accent1"/>
        <w:left w:val="single" w:sz="8" w:space="0" w:color="DDDDDD" w:themeColor="accent1"/>
        <w:bottom w:val="single" w:sz="8" w:space="0" w:color="DDDDDD" w:themeColor="accent1"/>
        <w:right w:val="single" w:sz="8" w:space="0" w:color="DDDDD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DDDDD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DDDDD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DDDDD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DDDDD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6F6F6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6F6F6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B2B2B2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B2B2B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B2B2B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BEBE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69696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69696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69696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69696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5E5E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808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808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808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808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FDF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F5F5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5F5F5F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F5F5F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F5F5F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7D7D7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D4D4D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D4D4D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D4D4D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D4D4D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3D3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E5E5E5" w:themeColor="accent1" w:themeTint="BF"/>
        <w:left w:val="single" w:sz="8" w:space="0" w:color="E5E5E5" w:themeColor="accent1" w:themeTint="BF"/>
        <w:bottom w:val="single" w:sz="8" w:space="0" w:color="E5E5E5" w:themeColor="accent1" w:themeTint="BF"/>
        <w:right w:val="single" w:sz="8" w:space="0" w:color="E5E5E5" w:themeColor="accent1" w:themeTint="BF"/>
        <w:insideH w:val="single" w:sz="8" w:space="0" w:color="E5E5E5" w:themeColor="accent1" w:themeTint="BF"/>
        <w:insideV w:val="single" w:sz="8" w:space="0" w:color="E5E5E5" w:themeColor="accent1" w:themeTint="BF"/>
      </w:tblBorders>
    </w:tblPr>
    <w:tcPr>
      <w:shd w:val="clear" w:color="auto" w:fill="F6F6F6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5E5E5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EEEEE" w:themeFill="accent1" w:themeFillTint="7F"/>
      </w:tcPr>
    </w:tblStylePr>
    <w:tblStylePr w:type="band1Horz">
      <w:tblPr/>
      <w:tcPr>
        <w:shd w:val="clear" w:color="auto" w:fill="EEEEEE" w:themeFill="accent1" w:themeFillTint="7F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5C5C5" w:themeColor="accent2" w:themeTint="BF"/>
        <w:left w:val="single" w:sz="8" w:space="0" w:color="C5C5C5" w:themeColor="accent2" w:themeTint="BF"/>
        <w:bottom w:val="single" w:sz="8" w:space="0" w:color="C5C5C5" w:themeColor="accent2" w:themeTint="BF"/>
        <w:right w:val="single" w:sz="8" w:space="0" w:color="C5C5C5" w:themeColor="accent2" w:themeTint="BF"/>
        <w:insideH w:val="single" w:sz="8" w:space="0" w:color="C5C5C5" w:themeColor="accent2" w:themeTint="BF"/>
        <w:insideV w:val="single" w:sz="8" w:space="0" w:color="C5C5C5" w:themeColor="accent2" w:themeTint="BF"/>
      </w:tblBorders>
    </w:tblPr>
    <w:tcPr>
      <w:shd w:val="clear" w:color="auto" w:fill="EBEBE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5C5C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shd w:val="clear" w:color="auto" w:fill="D8D8D8" w:themeFill="accent2" w:themeFillTint="7F"/>
      </w:tcPr>
    </w:tblStylePr>
  </w:style>
  <w:style w:type="table" w:styleId="MediumGrid1-Accent3">
    <w:name w:val="Medium Grid 1 Accent 3"/>
    <w:basedOn w:val="TableNormal"/>
    <w:uiPriority w:val="67"/>
    <w:tblPr>
      <w:tblBorders>
        <w:top w:val="single" w:sz="8" w:space="0" w:color="B0B0B0" w:themeColor="accent3" w:themeTint="BF"/>
        <w:left w:val="single" w:sz="8" w:space="0" w:color="B0B0B0" w:themeColor="accent3" w:themeTint="BF"/>
        <w:bottom w:val="single" w:sz="8" w:space="0" w:color="B0B0B0" w:themeColor="accent3" w:themeTint="BF"/>
        <w:right w:val="single" w:sz="8" w:space="0" w:color="B0B0B0" w:themeColor="accent3" w:themeTint="BF"/>
        <w:insideH w:val="single" w:sz="8" w:space="0" w:color="B0B0B0" w:themeColor="accent3" w:themeTint="BF"/>
        <w:insideV w:val="single" w:sz="8" w:space="0" w:color="B0B0B0" w:themeColor="accent3" w:themeTint="BF"/>
      </w:tblBorders>
    </w:tblPr>
    <w:tcPr>
      <w:shd w:val="clear" w:color="auto" w:fill="E5E5E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0B0B0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MediumGrid1-Accent4">
    <w:name w:val="Medium Grid 1 Accent 4"/>
    <w:basedOn w:val="TableNormal"/>
    <w:uiPriority w:val="67"/>
    <w:tblPr>
      <w:tblBorders>
        <w:top w:val="single" w:sz="8" w:space="0" w:color="9F9F9F" w:themeColor="accent4" w:themeTint="BF"/>
        <w:left w:val="single" w:sz="8" w:space="0" w:color="9F9F9F" w:themeColor="accent4" w:themeTint="BF"/>
        <w:bottom w:val="single" w:sz="8" w:space="0" w:color="9F9F9F" w:themeColor="accent4" w:themeTint="BF"/>
        <w:right w:val="single" w:sz="8" w:space="0" w:color="9F9F9F" w:themeColor="accent4" w:themeTint="BF"/>
        <w:insideH w:val="single" w:sz="8" w:space="0" w:color="9F9F9F" w:themeColor="accent4" w:themeTint="BF"/>
        <w:insideV w:val="single" w:sz="8" w:space="0" w:color="9F9F9F" w:themeColor="accent4" w:themeTint="BF"/>
      </w:tblBorders>
    </w:tblPr>
    <w:tcPr>
      <w:shd w:val="clear" w:color="auto" w:fill="DFDFDF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9F9F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shd w:val="clear" w:color="auto" w:fill="BFBFBF" w:themeFill="accent4" w:themeFillTint="7F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878787" w:themeColor="accent5" w:themeTint="BF"/>
        <w:left w:val="single" w:sz="8" w:space="0" w:color="878787" w:themeColor="accent5" w:themeTint="BF"/>
        <w:bottom w:val="single" w:sz="8" w:space="0" w:color="878787" w:themeColor="accent5" w:themeTint="BF"/>
        <w:right w:val="single" w:sz="8" w:space="0" w:color="878787" w:themeColor="accent5" w:themeTint="BF"/>
        <w:insideH w:val="single" w:sz="8" w:space="0" w:color="878787" w:themeColor="accent5" w:themeTint="BF"/>
        <w:insideV w:val="single" w:sz="8" w:space="0" w:color="878787" w:themeColor="accent5" w:themeTint="BF"/>
      </w:tblBorders>
    </w:tblPr>
    <w:tcPr>
      <w:shd w:val="clear" w:color="auto" w:fill="D7D7D7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78787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shd w:val="clear" w:color="auto" w:fill="AFAFAF" w:themeFill="accent5" w:themeFillTint="7F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797979" w:themeColor="accent6" w:themeTint="BF"/>
        <w:left w:val="single" w:sz="8" w:space="0" w:color="797979" w:themeColor="accent6" w:themeTint="BF"/>
        <w:bottom w:val="single" w:sz="8" w:space="0" w:color="797979" w:themeColor="accent6" w:themeTint="BF"/>
        <w:right w:val="single" w:sz="8" w:space="0" w:color="797979" w:themeColor="accent6" w:themeTint="BF"/>
        <w:insideH w:val="single" w:sz="8" w:space="0" w:color="797979" w:themeColor="accent6" w:themeTint="BF"/>
        <w:insideV w:val="single" w:sz="8" w:space="0" w:color="797979" w:themeColor="accent6" w:themeTint="BF"/>
      </w:tblBorders>
    </w:tblPr>
    <w:tcPr>
      <w:shd w:val="clear" w:color="auto" w:fill="D3D3D3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97979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shd w:val="clear" w:color="auto" w:fill="A6A6A6" w:themeFill="accent6" w:themeFillTint="7F"/>
      </w:tcPr>
    </w:tblStylePr>
  </w:style>
  <w:style w:type="table" w:styleId="MediumGrid2">
    <w:name w:val="Medium Grid 2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DDDDDD" w:themeColor="accent1"/>
        <w:left w:val="single" w:sz="8" w:space="0" w:color="DDDDDD" w:themeColor="accent1"/>
        <w:bottom w:val="single" w:sz="8" w:space="0" w:color="DDDDDD" w:themeColor="accent1"/>
        <w:right w:val="single" w:sz="8" w:space="0" w:color="DDDDDD" w:themeColor="accent1"/>
        <w:insideH w:val="single" w:sz="8" w:space="0" w:color="DDDDDD" w:themeColor="accent1"/>
        <w:insideV w:val="single" w:sz="8" w:space="0" w:color="DDDDDD" w:themeColor="accent1"/>
      </w:tblBorders>
    </w:tblPr>
    <w:tcPr>
      <w:shd w:val="clear" w:color="auto" w:fill="F6F6F6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BFBFB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F8F8" w:themeFill="accent1" w:themeFillTint="33"/>
      </w:tcPr>
    </w:tblStylePr>
    <w:tblStylePr w:type="band1Vert">
      <w:tblPr/>
      <w:tcPr>
        <w:shd w:val="clear" w:color="auto" w:fill="EEEEE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EEEEE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  <w:insideH w:val="single" w:sz="8" w:space="0" w:color="B2B2B2" w:themeColor="accent2"/>
        <w:insideV w:val="single" w:sz="8" w:space="0" w:color="B2B2B2" w:themeColor="accent2"/>
      </w:tblBorders>
    </w:tblPr>
    <w:tcPr>
      <w:shd w:val="clear" w:color="auto" w:fill="EBEBE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7F7F7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EFEF" w:themeFill="accent2" w:themeFillTint="33"/>
      </w:tc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8D8D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  <w:insideH w:val="single" w:sz="8" w:space="0" w:color="969696" w:themeColor="accent3"/>
        <w:insideV w:val="single" w:sz="8" w:space="0" w:color="969696" w:themeColor="accent3"/>
      </w:tblBorders>
    </w:tblPr>
    <w:tcPr>
      <w:shd w:val="clear" w:color="auto" w:fill="E5E5E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4F4F4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EAEA" w:themeFill="accent3" w:themeFillTint="33"/>
      </w:tc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ACACA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  <w:insideH w:val="single" w:sz="8" w:space="0" w:color="808080" w:themeColor="accent4"/>
        <w:insideV w:val="single" w:sz="8" w:space="0" w:color="808080" w:themeColor="accent4"/>
      </w:tblBorders>
    </w:tblPr>
    <w:tcPr>
      <w:shd w:val="clear" w:color="auto" w:fill="DFDFDF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F2F2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5E5" w:themeFill="accent4" w:themeFillTint="33"/>
      </w:tc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FBF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  <w:insideH w:val="single" w:sz="8" w:space="0" w:color="5F5F5F" w:themeColor="accent5"/>
        <w:insideV w:val="single" w:sz="8" w:space="0" w:color="5F5F5F" w:themeColor="accent5"/>
      </w:tblBorders>
    </w:tblPr>
    <w:tcPr>
      <w:shd w:val="clear" w:color="auto" w:fill="D7D7D7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FEFEF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FDF" w:themeFill="accent5" w:themeFillTint="33"/>
      </w:tc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FAFA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  <w:insideH w:val="single" w:sz="8" w:space="0" w:color="4D4D4D" w:themeColor="accent6"/>
        <w:insideV w:val="single" w:sz="8" w:space="0" w:color="4D4D4D" w:themeColor="accent6"/>
      </w:tblBorders>
    </w:tblPr>
    <w:tcPr>
      <w:shd w:val="clear" w:color="auto" w:fill="D3D3D3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DEDED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DBDB" w:themeFill="accent6" w:themeFillTint="33"/>
      </w:tc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6A6A6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6F6F6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DDDDD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DDDDD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DDDDD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DDDDD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EEEE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EEEEEE" w:themeFill="accent1" w:themeFillTint="7F"/>
      </w:tcPr>
    </w:tblStylePr>
  </w:style>
  <w:style w:type="table" w:styleId="MediumGrid3-Accent2">
    <w:name w:val="Medium Grid 3 Accent 2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BEBE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B2B2B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B2B2B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B2B2B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B2B2B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8D8D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8D8D8" w:themeFill="accent2" w:themeFillTint="7F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5E5E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69696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69696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69696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69696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ACACA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ACACA" w:themeFill="accent3" w:themeFillTint="7F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FDF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808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808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808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808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FBF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FBF" w:themeFill="accent4" w:themeFillTint="7F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7D7D7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5F5F5F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5F5F5F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F5F5F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F5F5F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FAFA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FAFAF" w:themeFill="accent5" w:themeFillTint="7F"/>
      </w:tcPr>
    </w:tblStylePr>
  </w:style>
  <w:style w:type="table" w:styleId="MediumGrid3-Accent6">
    <w:name w:val="Medium Grid 3 Accent 6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3D3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D4D4D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D4D4D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D4D4D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D4D4D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6A6A6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6A6A6" w:themeFill="accent6" w:themeFillTint="7F"/>
      </w:tcPr>
    </w:tblStylePr>
  </w:style>
  <w:style w:type="table" w:styleId="DarkList">
    <w:name w:val="Dark List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DDDDD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E6E6E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A5A5A5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A5A5A5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5A5A5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5A5A5" w:themeFill="accent1" w:themeFillShade="BF"/>
      </w:tcPr>
    </w:tblStylePr>
  </w:style>
  <w:style w:type="table" w:styleId="DarkList-Accent2">
    <w:name w:val="Dark List Accent 2"/>
    <w:basedOn w:val="TableNormal"/>
    <w:uiPriority w:val="70"/>
    <w:qFormat/>
    <w:rPr>
      <w:color w:val="FFFFFF" w:themeColor="background1"/>
    </w:rPr>
    <w:tblPr>
      <w:tblStyleRowBandSize w:val="1"/>
      <w:tblStyleColBandSize w:val="1"/>
    </w:tblPr>
    <w:tcPr>
      <w:shd w:val="clear" w:color="auto" w:fill="B2B2B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85858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58585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</w:style>
  <w:style w:type="table" w:styleId="DarkList-Accent3">
    <w:name w:val="Dark List Accent 3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969696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A4A4A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07070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</w:style>
  <w:style w:type="table" w:styleId="DarkList-Accent4">
    <w:name w:val="Dark List Accent 4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80808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F3F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5F5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</w:style>
  <w:style w:type="table" w:styleId="DarkList-Accent5">
    <w:name w:val="Dark List Accent 5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5F5F5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F2F2F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74747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</w:style>
  <w:style w:type="table" w:styleId="DarkList-Accent6">
    <w:name w:val="Dark List Accent 6"/>
    <w:basedOn w:val="TableNormal"/>
    <w:uiPriority w:val="70"/>
    <w:qFormat/>
    <w:rPr>
      <w:color w:val="FFFFFF" w:themeColor="background1"/>
    </w:rPr>
    <w:tblPr>
      <w:tblStyleRowBandSize w:val="1"/>
      <w:tblStyleColBandSize w:val="1"/>
    </w:tblPr>
    <w:tcPr>
      <w:shd w:val="clear" w:color="auto" w:fill="4D4D4D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262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93939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</w:style>
  <w:style w:type="table" w:styleId="ColorfulShading">
    <w:name w:val="Colorful Shading"/>
    <w:basedOn w:val="TableNormal"/>
    <w:uiPriority w:val="71"/>
    <w:qFormat/>
    <w:rPr>
      <w:color w:val="000000" w:themeColor="text1"/>
    </w:rPr>
    <w:tblPr>
      <w:tblBorders>
        <w:top w:val="single" w:sz="24" w:space="0" w:color="B2B2B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Pr>
      <w:color w:val="000000" w:themeColor="text1"/>
    </w:rPr>
    <w:tblPr>
      <w:tblBorders>
        <w:top w:val="single" w:sz="24" w:space="0" w:color="B2B2B2" w:themeColor="accent2"/>
        <w:left w:val="single" w:sz="4" w:space="0" w:color="DDDDDD" w:themeColor="accent1"/>
        <w:bottom w:val="single" w:sz="4" w:space="0" w:color="DDDDDD" w:themeColor="accent1"/>
        <w:right w:val="single" w:sz="4" w:space="0" w:color="DDDDD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FBFB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84848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84848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48484" w:themeFill="accent1" w:themeFillShade="99"/>
      </w:tcPr>
    </w:tblStylePr>
    <w:tblStylePr w:type="band1Vert">
      <w:tblPr/>
      <w:tcPr>
        <w:shd w:val="clear" w:color="auto" w:fill="F1F1F1" w:themeFill="accent1" w:themeFillTint="66"/>
      </w:tcPr>
    </w:tblStylePr>
    <w:tblStylePr w:type="band1Horz">
      <w:tblPr/>
      <w:tcPr>
        <w:shd w:val="clear" w:color="auto" w:fill="EEEEE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Pr>
      <w:color w:val="000000" w:themeColor="text1"/>
    </w:rPr>
    <w:tblPr>
      <w:tblBorders>
        <w:top w:val="single" w:sz="24" w:space="0" w:color="B2B2B2" w:themeColor="accent2"/>
        <w:left w:val="single" w:sz="4" w:space="0" w:color="B2B2B2" w:themeColor="accent2"/>
        <w:bottom w:val="single" w:sz="4" w:space="0" w:color="B2B2B2" w:themeColor="accent2"/>
        <w:right w:val="single" w:sz="4" w:space="0" w:color="B2B2B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7F7F7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A6A6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6A6A6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A6A6A" w:themeFill="accent2" w:themeFillShade="99"/>
      </w:tcPr>
    </w:tblStylePr>
    <w:tblStylePr w:type="band1Vert">
      <w:tblPr/>
      <w:tcPr>
        <w:shd w:val="clear" w:color="auto" w:fill="E0E0E0" w:themeFill="accent2" w:themeFillTint="66"/>
      </w:tcPr>
    </w:tblStylePr>
    <w:tblStylePr w:type="band1Horz">
      <w:tblPr/>
      <w:tcPr>
        <w:shd w:val="clear" w:color="auto" w:fill="D8D8D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Pr>
      <w:color w:val="000000" w:themeColor="text1"/>
    </w:rPr>
    <w:tblPr>
      <w:tblBorders>
        <w:top w:val="single" w:sz="24" w:space="0" w:color="808080" w:themeColor="accent4"/>
        <w:left w:val="single" w:sz="4" w:space="0" w:color="969696" w:themeColor="accent3"/>
        <w:bottom w:val="single" w:sz="4" w:space="0" w:color="969696" w:themeColor="accent3"/>
        <w:right w:val="single" w:sz="4" w:space="0" w:color="969696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4F4F4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808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A5A5A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A5A5A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A5A5A" w:themeFill="accent3" w:themeFillShade="99"/>
      </w:tcPr>
    </w:tblStylePr>
    <w:tblStylePr w:type="band1Vert">
      <w:tblPr/>
      <w:tcPr>
        <w:shd w:val="clear" w:color="auto" w:fill="D5D5D5" w:themeFill="accent3" w:themeFillTint="66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Pr>
      <w:color w:val="000000" w:themeColor="text1"/>
    </w:rPr>
    <w:tblPr>
      <w:tblBorders>
        <w:top w:val="single" w:sz="24" w:space="0" w:color="969696" w:themeColor="accent3"/>
        <w:left w:val="single" w:sz="4" w:space="0" w:color="808080" w:themeColor="accent4"/>
        <w:bottom w:val="single" w:sz="4" w:space="0" w:color="808080" w:themeColor="accent4"/>
        <w:right w:val="single" w:sz="4" w:space="0" w:color="80808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F2F2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69696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4C4C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4C4C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4C4C" w:themeFill="accent4" w:themeFillShade="99"/>
      </w:tcPr>
    </w:tblStylePr>
    <w:tblStylePr w:type="band1Vert">
      <w:tblPr/>
      <w:tcPr>
        <w:shd w:val="clear" w:color="auto" w:fill="CCCCCC" w:themeFill="accent4" w:themeFillTint="66"/>
      </w:tcPr>
    </w:tblStylePr>
    <w:tblStylePr w:type="band1Horz">
      <w:tblPr/>
      <w:tcPr>
        <w:shd w:val="clear" w:color="auto" w:fill="BFBFBF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Pr>
      <w:color w:val="000000" w:themeColor="text1"/>
    </w:rPr>
    <w:tblPr>
      <w:tblBorders>
        <w:top w:val="single" w:sz="24" w:space="0" w:color="4D4D4D" w:themeColor="accent6"/>
        <w:left w:val="single" w:sz="4" w:space="0" w:color="5F5F5F" w:themeColor="accent5"/>
        <w:bottom w:val="single" w:sz="4" w:space="0" w:color="5F5F5F" w:themeColor="accent5"/>
        <w:right w:val="single" w:sz="4" w:space="0" w:color="5F5F5F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EFEF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D4D4D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93939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393939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5" w:themeFillShade="99"/>
      </w:tcPr>
    </w:tblStylePr>
    <w:tblStylePr w:type="band1Vert">
      <w:tblPr/>
      <w:tcPr>
        <w:shd w:val="clear" w:color="auto" w:fill="BFBFBF" w:themeFill="accent5" w:themeFillTint="66"/>
      </w:tcPr>
    </w:tblStylePr>
    <w:tblStylePr w:type="band1Horz">
      <w:tblPr/>
      <w:tcPr>
        <w:shd w:val="clear" w:color="auto" w:fill="AFAFA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Pr>
      <w:color w:val="000000" w:themeColor="text1"/>
    </w:rPr>
    <w:tblPr>
      <w:tblBorders>
        <w:top w:val="single" w:sz="24" w:space="0" w:color="5F5F5F" w:themeColor="accent5"/>
        <w:left w:val="single" w:sz="4" w:space="0" w:color="4D4D4D" w:themeColor="accent6"/>
        <w:bottom w:val="single" w:sz="4" w:space="0" w:color="4D4D4D" w:themeColor="accent6"/>
        <w:right w:val="single" w:sz="4" w:space="0" w:color="4D4D4D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F5F5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2E2E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E2E2E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2E2E" w:themeFill="accent6" w:themeFillShade="99"/>
      </w:tcPr>
    </w:tblStylePr>
    <w:tblStylePr w:type="band1Vert">
      <w:tblPr/>
      <w:tcPr>
        <w:shd w:val="clear" w:color="auto" w:fill="B7B7B7" w:themeFill="accent6" w:themeFillTint="66"/>
      </w:tcPr>
    </w:tblStylePr>
    <w:tblStylePr w:type="band1Horz">
      <w:tblPr/>
      <w:tcPr>
        <w:shd w:val="clear" w:color="auto" w:fill="A6A6A6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BFBFB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6F6F6" w:themeFill="accent1" w:themeFillTint="3F"/>
      </w:tcPr>
    </w:tblStylePr>
    <w:tblStylePr w:type="band1Horz">
      <w:tblPr/>
      <w:tcPr>
        <w:shd w:val="clear" w:color="auto" w:fill="F8F8F8" w:themeFill="accent1" w:themeFillTint="33"/>
      </w:tcPr>
    </w:tblStylePr>
  </w:style>
  <w:style w:type="table" w:styleId="ColorfulList-Accent2">
    <w:name w:val="Colorful List Accent 2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7F7F7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ColorfulList-Accent3">
    <w:name w:val="Colorful List Accent 3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4F4F4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6666" w:themeFill="accent4" w:themeFillShade="CC"/>
      </w:tcPr>
    </w:tblStylePr>
    <w:tblStylePr w:type="lastRow">
      <w:rPr>
        <w:b/>
        <w:bCs/>
        <w:color w:val="666666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ColorfulList-Accent4">
    <w:name w:val="Colorful List Accent 4"/>
    <w:basedOn w:val="TableNormal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F2F2F2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87878" w:themeFill="accent3" w:themeFillShade="CC"/>
      </w:tcPr>
    </w:tblStylePr>
    <w:tblStylePr w:type="lastRow">
      <w:rPr>
        <w:b/>
        <w:bCs/>
        <w:color w:val="787878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ColorfulList-Accent5">
    <w:name w:val="Colorful List Accent 5"/>
    <w:basedOn w:val="TableNormal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EFEFEF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D3D3D" w:themeFill="accent6" w:themeFillShade="CC"/>
      </w:tcPr>
    </w:tblStylePr>
    <w:tblStylePr w:type="lastRow">
      <w:rPr>
        <w:b/>
        <w:bCs/>
        <w:color w:val="3D3D3D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ColorfulList-Accent6">
    <w:name w:val="Colorful List Accent 6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DEDED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4C4C4C" w:themeFill="accent5" w:themeFillShade="CC"/>
      </w:tcPr>
    </w:tblStylePr>
    <w:tblStylePr w:type="lastRow">
      <w:rPr>
        <w:b/>
        <w:bCs/>
        <w:color w:val="4C4C4C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ColorfulGrid">
    <w:name w:val="Colorful Grid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8F8F8" w:themeFill="accent1" w:themeFillTint="33"/>
    </w:tcPr>
    <w:tblStylePr w:type="firstRow">
      <w:rPr>
        <w:b/>
        <w:bCs/>
      </w:rPr>
      <w:tblPr/>
      <w:tcPr>
        <w:shd w:val="clear" w:color="auto" w:fill="F1F1F1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1F1F1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A5A5A5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A5A5A5" w:themeFill="accent1" w:themeFillShade="BF"/>
      </w:tcPr>
    </w:tblStylePr>
    <w:tblStylePr w:type="band1Vert">
      <w:tblPr/>
      <w:tcPr>
        <w:shd w:val="clear" w:color="auto" w:fill="EEEEEE" w:themeFill="accent1" w:themeFillTint="7F"/>
      </w:tcPr>
    </w:tblStylePr>
    <w:tblStylePr w:type="band1Horz">
      <w:tblPr/>
      <w:tcPr>
        <w:shd w:val="clear" w:color="auto" w:fill="EEEEEE" w:themeFill="accent1" w:themeFillTint="7F"/>
      </w:tcPr>
    </w:tblStylePr>
  </w:style>
  <w:style w:type="table" w:styleId="ColorfulGrid-Accent2">
    <w:name w:val="Colorful Grid Accent 2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FEFEF" w:themeFill="accent2" w:themeFillTint="33"/>
    </w:tcPr>
    <w:tblStylePr w:type="firstRow">
      <w:rPr>
        <w:b/>
        <w:bCs/>
      </w:rPr>
      <w:tblPr/>
      <w:tcPr>
        <w:shd w:val="clear" w:color="auto" w:fill="E0E0E0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0E0E0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858585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858585" w:themeFill="accent2" w:themeFillShade="BF"/>
      </w:tc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shd w:val="clear" w:color="auto" w:fill="D8D8D8" w:themeFill="accent2" w:themeFillTint="7F"/>
      </w:tcPr>
    </w:tblStylePr>
  </w:style>
  <w:style w:type="table" w:styleId="ColorfulGrid-Accent3">
    <w:name w:val="Colorful Grid Accent 3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EAEA" w:themeFill="accent3" w:themeFillTint="33"/>
    </w:tcPr>
    <w:tblStylePr w:type="firstRow">
      <w:rPr>
        <w:b/>
        <w:bCs/>
      </w:rPr>
      <w:tblPr/>
      <w:tcPr>
        <w:shd w:val="clear" w:color="auto" w:fill="D5D5D5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5D5D5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07070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07070" w:themeFill="accent3" w:themeFillShade="BF"/>
      </w:tc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ColorfulGrid-Accent4">
    <w:name w:val="Colorful Grid Accent 4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E5E5" w:themeFill="accent4" w:themeFillTint="33"/>
    </w:tcPr>
    <w:tblStylePr w:type="firstRow">
      <w:rPr>
        <w:b/>
        <w:bCs/>
      </w:rPr>
      <w:tblPr/>
      <w:tcPr>
        <w:shd w:val="clear" w:color="auto" w:fill="CCCCCC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CCC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5F5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5F5F" w:themeFill="accent4" w:themeFillShade="BF"/>
      </w:tc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shd w:val="clear" w:color="auto" w:fill="BFBFBF" w:themeFill="accent4" w:themeFillTint="7F"/>
      </w:tcPr>
    </w:tblStylePr>
  </w:style>
  <w:style w:type="table" w:styleId="ColorfulGrid-Accent5">
    <w:name w:val="Colorful Grid Accent 5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FDFDF" w:themeFill="accent5" w:themeFillTint="33"/>
    </w:tcPr>
    <w:tblStylePr w:type="firstRow">
      <w:rPr>
        <w:b/>
        <w:bCs/>
      </w:rPr>
      <w:tblPr/>
      <w:tcPr>
        <w:shd w:val="clear" w:color="auto" w:fill="BFBFBF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FBFBF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474747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474747" w:themeFill="accent5" w:themeFillShade="BF"/>
      </w:tc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shd w:val="clear" w:color="auto" w:fill="AFAFAF" w:themeFill="accent5" w:themeFillTint="7F"/>
      </w:tcPr>
    </w:tblStylePr>
  </w:style>
  <w:style w:type="table" w:styleId="ColorfulGrid-Accent6">
    <w:name w:val="Colorful Grid Accent 6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DBDB" w:themeFill="accent6" w:themeFillTint="33"/>
    </w:tcPr>
    <w:tblStylePr w:type="firstRow">
      <w:rPr>
        <w:b/>
        <w:bCs/>
      </w:rPr>
      <w:tblPr/>
      <w:tcPr>
        <w:shd w:val="clear" w:color="auto" w:fill="B7B7B7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7B7B7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93939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93939" w:themeFill="accent6" w:themeFillShade="BF"/>
      </w:tc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shd w:val="clear" w:color="auto" w:fill="A6A6A6" w:themeFill="accent6" w:themeFillTint="7F"/>
      </w:tcPr>
    </w:tblStyle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NoSpacing">
    <w:name w:val="No Spacing"/>
    <w:uiPriority w:val="1"/>
    <w:qFormat/>
    <w:rPr>
      <w:sz w:val="22"/>
      <w:szCs w:val="22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b/>
      <w:bCs/>
      <w:color w:val="A5A5A5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Theme="majorHAnsi" w:eastAsiaTheme="majorEastAsia" w:hAnsiTheme="majorHAnsi" w:cstheme="majorBidi"/>
      <w:b/>
      <w:bCs/>
      <w:color w:val="DDDDD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Theme="majorHAnsi" w:eastAsiaTheme="majorEastAsia" w:hAnsiTheme="majorHAnsi" w:cstheme="majorBidi"/>
      <w:b/>
      <w:bCs/>
      <w:color w:val="DDDDDD" w:themeColor="accent1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color w:val="000000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asciiTheme="majorHAnsi" w:eastAsiaTheme="majorEastAsia" w:hAnsiTheme="majorHAnsi" w:cstheme="majorBidi"/>
      <w:i/>
      <w:iCs/>
      <w:color w:val="DDDDD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  <w:qFormat/>
  </w:style>
  <w:style w:type="character" w:customStyle="1" w:styleId="BodyText2Char">
    <w:name w:val="Body Text 2 Char"/>
    <w:basedOn w:val="DefaultParagraphFont"/>
    <w:link w:val="BodyText2"/>
    <w:uiPriority w:val="99"/>
    <w:qFormat/>
  </w:style>
  <w:style w:type="character" w:customStyle="1" w:styleId="BodyText3Char">
    <w:name w:val="Body Text 3 Char"/>
    <w:basedOn w:val="DefaultParagraphFont"/>
    <w:link w:val="BodyText3"/>
    <w:uiPriority w:val="99"/>
    <w:qFormat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qFormat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asciiTheme="majorHAnsi" w:eastAsiaTheme="majorEastAsia" w:hAnsiTheme="majorHAnsi" w:cstheme="majorBidi"/>
      <w:b/>
      <w:bCs/>
      <w:i/>
      <w:iCs/>
      <w:color w:val="DDDDD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asciiTheme="majorHAnsi" w:eastAsiaTheme="majorEastAsia" w:hAnsiTheme="majorHAnsi" w:cstheme="majorBidi"/>
      <w:color w:val="6E6E6E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asciiTheme="majorHAnsi" w:eastAsiaTheme="majorEastAsia" w:hAnsiTheme="majorHAnsi" w:cstheme="majorBidi"/>
      <w:i/>
      <w:iCs/>
      <w:color w:val="6E6E6E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asciiTheme="majorHAnsi" w:eastAsiaTheme="majorEastAsia" w:hAnsiTheme="majorHAnsi" w:cstheme="majorBidi"/>
      <w:color w:val="DDDDD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DDDDDD" w:themeColor="accent1"/>
      </w:pBdr>
      <w:spacing w:before="200" w:after="280"/>
      <w:ind w:left="936" w:right="936"/>
    </w:pPr>
    <w:rPr>
      <w:b/>
      <w:bCs/>
      <w:i/>
      <w:iCs/>
      <w:color w:val="DDDDD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DDDDDD" w:themeColor="accent1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7F7F7F" w:themeColor="text1" w:themeTint="80"/>
    </w:rPr>
  </w:style>
  <w:style w:type="character" w:customStyle="1" w:styleId="IntenseEmphasis1">
    <w:name w:val="Intense Emphasis1"/>
    <w:basedOn w:val="DefaultParagraphFont"/>
    <w:uiPriority w:val="21"/>
    <w:qFormat/>
    <w:rPr>
      <w:b/>
      <w:bCs/>
      <w:i/>
      <w:iCs/>
      <w:color w:val="DDDDDD" w:themeColor="accent1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B2B2B2" w:themeColor="accent2"/>
      <w:u w:val="single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B2B2B2" w:themeColor="accent2"/>
      <w:spacing w:val="5"/>
      <w:u w:val="single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Greyscale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641</Words>
  <Characters>3655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USER</cp:lastModifiedBy>
  <cp:revision>2</cp:revision>
  <dcterms:created xsi:type="dcterms:W3CDTF">2026-08-21T10:15:00Z</dcterms:created>
  <dcterms:modified xsi:type="dcterms:W3CDTF">2026-08-21T10:15:00Z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eyJoZGlkIjoiNjNjNGY4OGQyMTExYTZlNmJiYTBiNTRhOTA3N2UxODkifQ==</vt:lpwstr>
  </property>
  <property fmtid="{D5CDD505-2E9C-101B-9397-08002B2CF9AE}" pid="3" name="KSOProductBuildVer">
    <vt:lpwstr>1033-12.1.0.26880</vt:lpwstr>
  </property>
  <property fmtid="{D5CDD505-2E9C-101B-9397-08002B2CF9AE}" pid="4" name="ICV">
    <vt:lpwstr>984C2CFC700D4BC3B02462CE8F988D47_12</vt:lpwstr>
  </property>
</Properties>
</file>