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B37F" w14:textId="43FBAD41" w:rsidR="006652C6" w:rsidRDefault="00B86EF2">
      <w:pPr>
        <w:rPr>
          <w:sz w:val="48"/>
          <w:szCs w:val="48"/>
          <w:u w:val="single"/>
        </w:rPr>
      </w:pPr>
      <w:r w:rsidRPr="00B86EF2">
        <w:rPr>
          <w:sz w:val="48"/>
          <w:szCs w:val="48"/>
          <w:u w:val="single"/>
        </w:rPr>
        <w:t>BWA-MEM tool to align sequence reads, clone sequences, and assembly contigs.</w:t>
      </w:r>
    </w:p>
    <w:p w14:paraId="29327433" w14:textId="7F7A7B98" w:rsidR="00B86EF2" w:rsidRDefault="00B86EF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Technology used:-BWA-MEM</w:t>
      </w:r>
    </w:p>
    <w:p w14:paraId="18E463FE" w14:textId="3F18232B" w:rsidR="00B86EF2" w:rsidRDefault="00A87D9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Tool name:-BWA-MEM</w:t>
      </w:r>
    </w:p>
    <w:p w14:paraId="1C09FD25" w14:textId="277DDE61" w:rsidR="00A87D9C" w:rsidRDefault="00A87D9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Tool name:-BWA-MEM</w:t>
      </w:r>
    </w:p>
    <w:p w14:paraId="22C90363" w14:textId="11E59284" w:rsidR="00A87D9C" w:rsidRDefault="00A87D9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Approach:-</w:t>
      </w:r>
    </w:p>
    <w:p w14:paraId="34F207E3" w14:textId="285A3087" w:rsidR="00A87D9C" w:rsidRPr="00A87D9C" w:rsidRDefault="00A87D9C" w:rsidP="00A87D9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Aligning a single query sequence:- 1.1 Seeding and re-seeding 1.2 Chaining and chain filtering 1.3 Seed extension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8467"/>
      </w:tblGrid>
      <w:tr w:rsidR="00A87D9C" w:rsidRPr="00A87D9C" w14:paraId="58364900" w14:textId="77777777" w:rsidTr="00A87D9C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4255FCA" w14:textId="661B196E" w:rsidR="00A87D9C" w:rsidRPr="00A87D9C" w:rsidRDefault="00A87D9C" w:rsidP="00A87D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1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8976E" w14:textId="45A1AA9D" w:rsidR="00A87D9C" w:rsidRPr="00A87D9C" w:rsidRDefault="00A87D9C" w:rsidP="00A87D9C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1813E28B" w14:textId="252F0637" w:rsidR="00A87D9C" w:rsidRDefault="00A87D9C" w:rsidP="00A87D9C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A87D9C">
        <w:rPr>
          <w:rFonts w:ascii="Arial" w:hAnsi="Arial" w:cs="Arial"/>
          <w:color w:val="222222"/>
          <w:shd w:val="clear" w:color="auto" w:fill="FFFFFF"/>
        </w:rPr>
        <w:t>Pair-end mapping:-2.1Rescuing missing hits 2.2 Pairing</w:t>
      </w:r>
    </w:p>
    <w:p w14:paraId="180E3A22" w14:textId="62C3E886" w:rsidR="00A87D9C" w:rsidRDefault="00A87D9C" w:rsidP="00A87D9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Implementation details:-</w:t>
      </w:r>
    </w:p>
    <w:p w14:paraId="10BC4B47" w14:textId="20D74521" w:rsidR="00A87D9C" w:rsidRDefault="00A87D9C" w:rsidP="00A87D9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</w:t>
      </w:r>
      <w:r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  <w:shd w:val="clear" w:color="auto" w:fill="FFFFFF"/>
        </w:rPr>
        <w:t>.1</w:t>
      </w:r>
      <w:r>
        <w:rPr>
          <w:rFonts w:ascii="Arial" w:hAnsi="Arial" w:cs="Arial"/>
          <w:color w:val="222222"/>
          <w:shd w:val="clear" w:color="auto" w:fill="FFFFFF"/>
        </w:rPr>
        <w:t>BWA-MEM follows the canonical seed-and-extend paradigm.</w:t>
      </w:r>
    </w:p>
    <w:p w14:paraId="13EE478B" w14:textId="51D454C2" w:rsidR="00A87D9C" w:rsidRDefault="00A87D9C" w:rsidP="00A87D9C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1.2 We</w:t>
      </w:r>
      <w:r w:rsidRPr="00A87D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call a group of seeds that are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colinear and close to each other a chain. We greedily chain the seeds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while seeding and then filter out short chains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largely contained in a long chain and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much worse than the long chain.</w:t>
      </w:r>
    </w:p>
    <w:p w14:paraId="4929CB79" w14:textId="32555339" w:rsidR="00A87D9C" w:rsidRPr="00A87D9C" w:rsidRDefault="00A87D9C" w:rsidP="00A87D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1.3 </w:t>
      </w:r>
      <w:r w:rsidRPr="00A87D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We rank a seed by the length of the chain it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belongs to and then by the seed length. For each seed in the ranked list,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from the best to the worst, we drop the seed if it is already contained in an</w:t>
      </w:r>
    </w:p>
    <w:p w14:paraId="6A834E8F" w14:textId="5CC89625" w:rsidR="00A87D9C" w:rsidRDefault="00A87D9C" w:rsidP="00A87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alignment found before, or extend the seed with a banded affine-gap-penalty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dynamic programming (DP) if it potentially leads to a new alignment.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BWA-MEM’s seed extension differs from the standard seed extension in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two aspects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14:paraId="71295174" w14:textId="58A16DDB" w:rsidR="00A87D9C" w:rsidRPr="00A87D9C" w:rsidRDefault="00A87D9C" w:rsidP="00A87D9C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87D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Like BWA (Li and Durbin, 2009), BWA-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MEM processes a batch of reads at a </w:t>
      </w:r>
      <w:proofErr w:type="spellStart"/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A87D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BWA</w:t>
      </w:r>
      <w:proofErr w:type="spellEnd"/>
      <w:r w:rsidRPr="00A87D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-MEM prefers to</w:t>
      </w:r>
      <w:r w:rsidRPr="00A87D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pair the two ends; otherwise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it prefers the unpaired alignments. BWA-MEM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chooses the pair (</w:t>
      </w:r>
      <w:proofErr w:type="spellStart"/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j) that maximizes </w:t>
      </w:r>
      <w:proofErr w:type="spellStart"/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Sij</w:t>
      </w:r>
      <w:proofErr w:type="spellEnd"/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 the final alignments for both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ends. This pairing strategy jointly considers the alignment scores, the insert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size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the possibility of chimeric read pairs.</w:t>
      </w:r>
    </w:p>
    <w:p w14:paraId="5606BF9C" w14:textId="77777777" w:rsidR="00A87D9C" w:rsidRPr="00A87D9C" w:rsidRDefault="00A87D9C" w:rsidP="00A87D9C">
      <w:pPr>
        <w:pStyle w:val="ListParagraph"/>
        <w:ind w:left="8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34ED79" w14:textId="522E079A" w:rsidR="00A87D9C" w:rsidRDefault="00A87D9C" w:rsidP="00A87D9C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Performance analysis:-</w:t>
      </w:r>
    </w:p>
    <w:p w14:paraId="1001DFDD" w14:textId="6067B892" w:rsidR="00A87D9C" w:rsidRDefault="00A87D9C" w:rsidP="00A87D9C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</w:t>
      </w:r>
      <w:r w:rsidRPr="00A87D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Accuracy:-On accuracy, </w:t>
      </w:r>
      <w:proofErr w:type="spellStart"/>
      <w:r w:rsidRPr="00A87D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NovoAlign</w:t>
      </w:r>
      <w:proofErr w:type="spellEnd"/>
      <w:r w:rsidRPr="00A87D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is the best. BWA-MEM is close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to </w:t>
      </w:r>
      <w:proofErr w:type="spellStart"/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NovoAlign</w:t>
      </w:r>
      <w:proofErr w:type="spellEnd"/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PE reads and is comparable to GEM and Cushaw2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SE.</w:t>
      </w:r>
    </w:p>
    <w:p w14:paraId="79BCAC67" w14:textId="59C94259" w:rsidR="00A87D9C" w:rsidRDefault="00A87D9C" w:rsidP="00A87D9C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</w:t>
      </w:r>
      <w:r w:rsidRPr="00A87D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Speed:-On speed, BWA-MEM is similar to GEM and Bowtie2 for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data set but is about 6 times as fast as Bowtie2 and Cushaw2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a 650bp long-read data set.</w:t>
      </w:r>
    </w:p>
    <w:p w14:paraId="754A0E68" w14:textId="273AC00C" w:rsidR="00A87D9C" w:rsidRDefault="00A87D9C" w:rsidP="00A87D9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Advantage:-</w:t>
      </w:r>
    </w:p>
    <w:p w14:paraId="17282CC9" w14:textId="2280ACEA" w:rsidR="00A87D9C" w:rsidRDefault="00A87D9C" w:rsidP="00A87D9C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</w:t>
      </w:r>
      <w:r w:rsidRPr="00A87D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Accuracy:-On accuracy, </w:t>
      </w:r>
      <w:proofErr w:type="spellStart"/>
      <w:r w:rsidRPr="00A87D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NovoAlign</w:t>
      </w:r>
      <w:proofErr w:type="spellEnd"/>
      <w:r w:rsidRPr="00A87D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is the best. BWA-MEM is close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to </w:t>
      </w:r>
      <w:proofErr w:type="spellStart"/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NovoAlign</w:t>
      </w:r>
      <w:proofErr w:type="spellEnd"/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PE reads and is comparable to GEM and Cushaw2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SE.</w:t>
      </w:r>
    </w:p>
    <w:p w14:paraId="3D765204" w14:textId="32DBF0F1" w:rsidR="00A87D9C" w:rsidRDefault="00A87D9C" w:rsidP="00A87D9C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</w:t>
      </w:r>
      <w:r w:rsidRPr="00A87D9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Speed:-On speed, BWA-MEM is similar to GEM and Bowtie2 for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 data set but is about 6 times as fast as Bowtie2 and Cushaw2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87D9C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a 650bp long-read data set.</w:t>
      </w:r>
    </w:p>
    <w:p w14:paraId="6790AFBA" w14:textId="67BB460E" w:rsidR="00676646" w:rsidRPr="00676646" w:rsidRDefault="00676646" w:rsidP="0067664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 </w:t>
      </w:r>
      <w:r w:rsidRPr="00676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 speculate BWA-MEM is more performant for longer reads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676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firstly because of its advanced seeding algorithm, which identifies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676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most standing seeds with one pass of the read, and secondly because</w:t>
      </w:r>
    </w:p>
    <w:p w14:paraId="06EACF89" w14:textId="3F553E08" w:rsidR="00676646" w:rsidRPr="00676646" w:rsidRDefault="00676646" w:rsidP="006766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76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of banded dynamic programming, which guarantees linear time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676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complexity in the length of query sequences. BWA-MEM and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676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BWA-SW can also identify chimeric reads, a crucial feature for contig alignment but lacking in most NGS long-read mappers.</w:t>
      </w:r>
    </w:p>
    <w:p w14:paraId="13E656B1" w14:textId="60DA4AD8" w:rsidR="00A87D9C" w:rsidRDefault="00676646" w:rsidP="00A87D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Disadvantage:-</w:t>
      </w:r>
    </w:p>
    <w:p w14:paraId="74DCBF37" w14:textId="79EFB309" w:rsidR="00676646" w:rsidRPr="00676646" w:rsidRDefault="00676646" w:rsidP="00676646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proofErr w:type="spellStart"/>
      <w:r w:rsidRPr="00676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Nucmer</w:t>
      </w:r>
      <w:proofErr w:type="spellEnd"/>
      <w:r w:rsidRPr="00676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finished the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676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alignment in 25 seconds, giving 105,505 substitution differences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676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between the strains. BWA-MEM is slower. It finished the alignment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Pr="00676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 131 seconds, reporting 104,321substitutions of which 102,241overlapping with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Nucmer</w:t>
      </w:r>
      <w:proofErr w:type="spellEnd"/>
      <w:r w:rsidRPr="006766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output.</w:t>
      </w:r>
    </w:p>
    <w:p w14:paraId="31763775" w14:textId="53A0860F" w:rsidR="00676646" w:rsidRPr="00A87D9C" w:rsidRDefault="00676646" w:rsidP="00A87D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20A1DE" w14:textId="562EF596" w:rsidR="00A87D9C" w:rsidRPr="00A87D9C" w:rsidRDefault="00A87D9C" w:rsidP="00A87D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E6781C" w14:textId="32F5D3B7" w:rsidR="00A87D9C" w:rsidRPr="00A87D9C" w:rsidRDefault="00A87D9C" w:rsidP="00A87D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9C465D3" w14:textId="4A69BADC" w:rsidR="00A87D9C" w:rsidRPr="00A87D9C" w:rsidRDefault="00A87D9C" w:rsidP="00A87D9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83C419" w14:textId="373B67A7" w:rsidR="00A87D9C" w:rsidRPr="00A87D9C" w:rsidRDefault="00A87D9C" w:rsidP="00A87D9C">
      <w:pPr>
        <w:rPr>
          <w:rFonts w:ascii="Arial" w:hAnsi="Arial" w:cs="Arial"/>
          <w:color w:val="222222"/>
          <w:shd w:val="clear" w:color="auto" w:fill="FFFFFF"/>
        </w:rPr>
      </w:pPr>
    </w:p>
    <w:p w14:paraId="0C9CDADE" w14:textId="77777777" w:rsidR="00A87D9C" w:rsidRPr="00A87D9C" w:rsidRDefault="00A87D9C">
      <w:pPr>
        <w:rPr>
          <w:rFonts w:ascii="Arial" w:hAnsi="Arial" w:cs="Arial"/>
          <w:color w:val="222222"/>
          <w:shd w:val="clear" w:color="auto" w:fill="FFFFFF"/>
        </w:rPr>
      </w:pPr>
    </w:p>
    <w:sectPr w:rsidR="00A87D9C" w:rsidRPr="00A87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23AF8"/>
    <w:multiLevelType w:val="multilevel"/>
    <w:tmpl w:val="6442A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6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24" w:hanging="1800"/>
      </w:pPr>
      <w:rPr>
        <w:rFonts w:hint="default"/>
      </w:rPr>
    </w:lvl>
  </w:abstractNum>
  <w:num w:numId="1" w16cid:durableId="12609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F2"/>
    <w:rsid w:val="006652C6"/>
    <w:rsid w:val="00676646"/>
    <w:rsid w:val="00A87D9C"/>
    <w:rsid w:val="00B8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FB5B"/>
  <w15:chartTrackingRefBased/>
  <w15:docId w15:val="{16423CD8-0F21-4129-9E69-7CD384DE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A87D9C"/>
  </w:style>
  <w:style w:type="paragraph" w:styleId="ListParagraph">
    <w:name w:val="List Paragraph"/>
    <w:basedOn w:val="Normal"/>
    <w:uiPriority w:val="34"/>
    <w:qFormat/>
    <w:rsid w:val="00A87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5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2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0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8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35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91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55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1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2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8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0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46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99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8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2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51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2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4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944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2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78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2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42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62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63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25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8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02959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571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02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561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16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59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61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027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aishikadas3@gmail.com</dc:creator>
  <cp:keywords/>
  <dc:description/>
  <cp:lastModifiedBy>aishikadas3@gmail.com</cp:lastModifiedBy>
  <cp:revision>1</cp:revision>
  <dcterms:created xsi:type="dcterms:W3CDTF">2023-01-22T12:11:00Z</dcterms:created>
  <dcterms:modified xsi:type="dcterms:W3CDTF">2023-01-22T12:35:00Z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5acb9282-b539-4895-bedf-5c9eb885e8b3</vt:lpwstr>
  </property>
</Properties>
</file>