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4644" w:val="left"/>
        </w:tabs>
        <w:autoSpaceDE w:val="0"/>
        <w:widowControl/>
        <w:spacing w:line="304" w:lineRule="exact" w:before="0" w:after="696"/>
        <w:ind w:left="120" w:right="4752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tab/>
      </w:r>
      <w:r>
        <w:rPr>
          <w:rFonts w:ascii="Cambria" w:hAnsi="Cambria" w:eastAsia="Cambria"/>
          <w:b/>
          <w:i/>
          <w:color w:val="008080"/>
          <w:sz w:val="28"/>
        </w:rPr>
        <w:t>TEST NAME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478"/>
        </w:trPr>
        <w:tc>
          <w:tcPr>
            <w:tcW w:type="dxa" w:w="10706"/>
            <w:tcBorders>
              <w:start w:sz="4.0" w:val="single" w:color="#4AACC5"/>
              <w:top w:sz="4.0" w:val="single" w:color="#4AACC5"/>
              <w:end w:sz="4.0" w:val="single" w:color="#4AACC5"/>
              <w:bottom w:sz="4.0" w:val="single" w:color="#4AACC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10706"/>
            </w:tblGrid>
            <w:tr>
              <w:trPr>
                <w:trHeight w:hRule="exact" w:val="234"/>
              </w:trPr>
              <w:tc>
                <w:tcPr>
                  <w:tcW w:type="dxa" w:w="10696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 Adenocarcinoma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98.0" w:type="dxa"/>
      </w:tblPr>
      <w:tblGrid>
        <w:gridCol w:w="10850"/>
      </w:tblGrid>
      <w:tr>
        <w:trPr>
          <w:trHeight w:hRule="exact" w:val="2048"/>
        </w:trPr>
        <w:tc>
          <w:tcPr>
            <w:tcW w:type="dxa" w:w="5732"/>
            <w:tcBorders>
              <w:top w:sz="7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584" w:after="0"/>
              <w:ind w:left="1152" w:right="1152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8"/>
              </w:rPr>
              <w:t xml:space="preserve">Positive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FFFFFF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82" w:lineRule="exact" w:before="260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Report Highlights: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2"/>
        </w:trPr>
        <w:tc>
          <w:tcPr>
            <w:tcW w:type="dxa" w:w="136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</w:t>
            </w:r>
          </w:p>
        </w:tc>
        <w:tc>
          <w:tcPr>
            <w:tcW w:type="dxa" w:w="13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</w:t>
            </w:r>
          </w:p>
        </w:tc>
        <w:tc>
          <w:tcPr>
            <w:tcW w:type="dxa" w:w="140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III</w:t>
            </w:r>
          </w:p>
        </w:tc>
        <w:tc>
          <w:tcPr>
            <w:tcW w:type="dxa" w:w="143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201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Therapies</w:t>
            </w:r>
          </w:p>
        </w:tc>
        <w:tc>
          <w:tcPr>
            <w:tcW w:type="dxa" w:w="3106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Clinical Trials</w:t>
            </w:r>
          </w:p>
        </w:tc>
      </w:tr>
      <w:tr>
        <w:trPr>
          <w:trHeight w:hRule="exact" w:val="406"/>
        </w:trPr>
        <w:tc>
          <w:tcPr>
            <w:tcW w:type="dxa" w:w="13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3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201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1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0" w:lineRule="exact" w:before="260" w:after="202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450"/>
        </w:trPr>
        <w:tc>
          <w:tcPr>
            <w:tcW w:type="dxa" w:w="152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81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264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5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Exon</w:t>
            </w:r>
          </w:p>
        </w:tc>
        <w:tc>
          <w:tcPr>
            <w:tcW w:type="dxa" w:w="2148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Coverage/VAF</w:t>
            </w:r>
          </w:p>
        </w:tc>
      </w:tr>
      <w:tr>
        <w:trPr>
          <w:trHeight w:hRule="exact" w:val="640"/>
        </w:trPr>
        <w:tc>
          <w:tcPr>
            <w:tcW w:type="dxa" w:w="152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1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NM_000546.6</w:t>
            </w:r>
          </w:p>
        </w:tc>
        <w:tc>
          <w:tcPr>
            <w:tcW w:type="dxa" w:w="264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34" w:lineRule="exact" w:before="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*Genetic test results are reported based on the recommendations of AMP-ASCO-CAP guidelines.</w:t>
      </w:r>
    </w:p>
    <w:p>
      <w:pPr>
        <w:autoSpaceDN w:val="0"/>
        <w:autoSpaceDE w:val="0"/>
        <w:widowControl/>
        <w:spacing w:line="234" w:lineRule="exact" w:before="36" w:after="0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82" w:lineRule="exact" w:before="256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exact" w:val="452"/>
        </w:trPr>
        <w:tc>
          <w:tcPr>
            <w:tcW w:type="dxa" w:w="4442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Assay Biomarker</w:t>
            </w:r>
          </w:p>
        </w:tc>
        <w:tc>
          <w:tcPr>
            <w:tcW w:type="dxa" w:w="3042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222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rPr>
          <w:trHeight w:hRule="exact" w:val="486"/>
        </w:trPr>
        <w:tc>
          <w:tcPr>
            <w:tcW w:type="dxa" w:w="444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3042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322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34" w:lineRule="exact" w:before="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# Correlation of the genetic findings with the clinical condition of the patient is required to arrive at accurate diagnosis,</w:t>
      </w:r>
    </w:p>
    <w:p>
      <w:pPr>
        <w:autoSpaceDN w:val="0"/>
        <w:autoSpaceDE w:val="0"/>
        <w:widowControl/>
        <w:spacing w:line="234" w:lineRule="exact" w:before="36" w:after="1156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prognosis or therapeutic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footerReference w:type="default" r:id="rId15"/>
          <w:footerReference w:type="first" r:id="rId16"/>
          <w:footerReference w:type="even" r:id="rId17"/>
          <w:headerReference w:type="default" r:id="rId18"/>
          <w:headerReference w:type="first" r:id="rId19"/>
          <w:headerReference w:type="even" r:id="rId20"/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82" w:lineRule="exact" w:before="98" w:after="206"/>
        <w:ind w:left="35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exact" w:val="520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7138"/>
            <w:gridSpan w:val="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Therapy</w:t>
            </w:r>
          </w:p>
        </w:tc>
      </w:tr>
      <w:tr>
        <w:trPr>
          <w:trHeight w:hRule="exact" w:val="522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This Cancer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Other Cancer</w:t>
            </w:r>
          </w:p>
        </w:tc>
      </w:tr>
      <w:tr>
        <w:trPr>
          <w:trHeight w:hRule="exact" w:val="980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8" w:after="0"/>
              <w:ind w:left="1296" w:right="1296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IIC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exact" w:val="452"/>
        </w:trPr>
        <w:tc>
          <w:tcPr>
            <w:tcW w:type="dxa" w:w="277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3964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Diagnostic Significance</w:t>
            </w:r>
          </w:p>
        </w:tc>
        <w:tc>
          <w:tcPr>
            <w:tcW w:type="dxa" w:w="3964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Prognostic Significance</w:t>
            </w:r>
          </w:p>
        </w:tc>
      </w:tr>
      <w:tr>
        <w:trPr>
          <w:trHeight w:hRule="exact" w:val="640"/>
        </w:trPr>
        <w:tc>
          <w:tcPr>
            <w:tcW w:type="dxa" w:w="277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712"/>
        <w:gridCol w:w="2712"/>
        <w:gridCol w:w="2712"/>
        <w:gridCol w:w="2712"/>
      </w:tblGrid>
      <w:tr>
        <w:trPr>
          <w:trHeight w:hRule="exact" w:val="5658"/>
        </w:trPr>
        <w:tc>
          <w:tcPr>
            <w:tcW w:type="dxa" w:w="10728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" w:after="202"/>
              <w:ind w:left="32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>Biomarker Description: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5364"/>
              <w:gridCol w:w="5364"/>
            </w:tblGrid>
            <w:tr>
              <w:trPr>
                <w:trHeight w:hRule="exact" w:val="450"/>
              </w:trPr>
              <w:tc>
                <w:tcPr>
                  <w:tcW w:type="dxa" w:w="2358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Variant</w:t>
                  </w:r>
                </w:p>
              </w:tc>
              <w:tc>
                <w:tcPr>
                  <w:tcW w:type="dxa" w:w="8348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Biomarker Description</w:t>
                  </w:r>
                </w:p>
              </w:tc>
            </w:tr>
            <w:tr>
              <w:trPr>
                <w:trHeight w:hRule="exact" w:val="4548"/>
              </w:trPr>
              <w:tc>
                <w:tcPr>
                  <w:tcW w:type="dxa" w:w="235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82" w:after="0"/>
                    <w:ind w:left="106" w:right="864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NM_000546.6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chr17:7578525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c.405C&gt;A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834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0" w:right="10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encodes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suppressor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p53,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binds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DNA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activates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diverse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cellular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stresses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induce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cycle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arrest,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apoptosis,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DNA repair[1]. In unstressed cells, TP53 is kept inactive by targeted degradation via MDM2,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substrate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recognition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factor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ubiquitin-dependent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proteolysis[2].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are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required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oncogenesis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function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gain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transforming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potential[3]. Germline mutations in TP53 are the underlying cause of Li-Fraumeni syndrome,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complex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hereditary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predisposition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disorder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associated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early-onset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cancers[4,5].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is the most frequently mutated gene in the cancer genome with approximately half of all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 experiencing TP53 mutations. Ovarian, head and neck, esophageal, and lung squamous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particularly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high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rates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(60-90%)[6,7,8,9,10,11].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Approximately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two-thirds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missense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several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recurrent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missense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 common, 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substitutions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 codons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R158, R175, Y220, R248, R273, and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R282[6,7]. Invariably, recurrent missense mutations in TP53 inactivate its ability to bind DNA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activate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target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genes[12,13,14,15].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also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observed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pediatric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Somatic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53%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non-Hodgkin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lymphoma,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soft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tissue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sarcoma,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glioma,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B-lymphoblastic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leukemia/lymphoma,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embryonal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lymphoblastic leukemia/lymphoma, and less than 1% of peripheral nervous system cancers (5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1158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)[6,7].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Biallelic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 of 10</w:t>
            </w:r>
          </w:p>
        </w:tc>
      </w:tr>
      <w:tr>
        <w:trPr>
          <w:trHeight w:hRule="exact" w:val="790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exact" w:val="4552"/>
        </w:trPr>
        <w:tc>
          <w:tcPr>
            <w:tcW w:type="dxa" w:w="235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834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  <w:tab w:pos="1600" w:val="left"/>
                <w:tab w:pos="2306" w:val="left"/>
                <w:tab w:pos="2784" w:val="left"/>
                <w:tab w:pos="3314" w:val="left"/>
                <w:tab w:pos="3916" w:val="left"/>
                <w:tab w:pos="4074" w:val="left"/>
                <w:tab w:pos="5044" w:val="left"/>
                <w:tab w:pos="5506" w:val="left"/>
                <w:tab w:pos="5936" w:val="left"/>
                <w:tab w:pos="6400" w:val="left"/>
                <w:tab w:pos="6930" w:val="left"/>
                <w:tab w:pos="7260" w:val="left"/>
                <w:tab w:pos="7630" w:val="left"/>
              </w:tabs>
              <w:autoSpaceDE w:val="0"/>
              <w:widowControl/>
              <w:spacing w:line="245" w:lineRule="auto" w:before="1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less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1%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B-lymphoblastic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731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cases)[6,7].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Y220C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granted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fast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track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reactivator,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eprenetapopt[17],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(2019)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breakthrough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designation[18] (2020) in combination with azacitidine or azacitidine and venetoclax for acute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(AML)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myelodysplastic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syndrome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(MDS)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respectively.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addition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investigational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aimed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restoring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wild-type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evaluation[19,20].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marker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SHH-activated,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TP53-mutant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medulloblastoma[21].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blood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AML,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myeloproliferative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neoplasms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(MPN),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chronic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lymphocytic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(CLL),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acute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(ALL)[22,23,24,25,26,27].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mantle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lymphoma,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treated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conventional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hematopoietic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transplant[28].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Mono-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bi-allelic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unique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multi-hit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experiencing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complex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karyotype,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few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co-occurring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high-risk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presentation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death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transformation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independent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712"/>
        <w:gridCol w:w="2712"/>
        <w:gridCol w:w="2712"/>
        <w:gridCol w:w="2712"/>
      </w:tblGrid>
      <w:tr>
        <w:trPr>
          <w:trHeight w:hRule="exact" w:val="5082"/>
        </w:trPr>
        <w:tc>
          <w:tcPr>
            <w:tcW w:type="dxa" w:w="10728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</w:tabs>
              <w:autoSpaceDE w:val="0"/>
              <w:widowControl/>
              <w:spacing w:line="450" w:lineRule="exact" w:before="0" w:after="74"/>
              <w:ind w:left="106" w:right="7488" w:firstLine="0"/>
              <w:jc w:val="left"/>
            </w:pPr>
            <w:r>
              <w:tab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 xml:space="preserve">Therapy &amp; Clinical Trials: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0"/>
              </w:rPr>
              <w:t>TP53 p.(C135*) c.405C&gt;A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1788"/>
              <w:gridCol w:w="1788"/>
              <w:gridCol w:w="1788"/>
              <w:gridCol w:w="1788"/>
              <w:gridCol w:w="1788"/>
              <w:gridCol w:w="1788"/>
            </w:tblGrid>
            <w:tr>
              <w:trPr>
                <w:trHeight w:hRule="exact" w:val="452"/>
              </w:trPr>
              <w:tc>
                <w:tcPr>
                  <w:tcW w:type="dxa" w:w="5430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Therapy</w:t>
                  </w:r>
                </w:p>
              </w:tc>
              <w:tc>
                <w:tcPr>
                  <w:tcW w:type="dxa" w:w="1010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FDA</w:t>
                  </w:r>
                </w:p>
              </w:tc>
              <w:tc>
                <w:tcPr>
                  <w:tcW w:type="dxa" w:w="1068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NCCN</w:t>
                  </w:r>
                </w:p>
              </w:tc>
              <w:tc>
                <w:tcPr>
                  <w:tcW w:type="dxa" w:w="102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EMA</w:t>
                  </w:r>
                </w:p>
              </w:tc>
              <w:tc>
                <w:tcPr>
                  <w:tcW w:type="dxa" w:w="108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ESMO</w:t>
                  </w:r>
                </w:p>
              </w:tc>
              <w:tc>
                <w:tcPr>
                  <w:tcW w:type="dxa" w:w="1090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Trials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atezolizumab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azenosertib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ART-6043, olaparib, 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ATRN-119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niraparib, GSK-101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VB-15010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GenSci-122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 of 10</w:t>
            </w:r>
          </w:p>
        </w:tc>
      </w:tr>
      <w:tr>
        <w:trPr>
          <w:trHeight w:hRule="exact" w:val="790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5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GH-2616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64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8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exact" w:val="188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5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durvalumab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pembrolizumab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sintilimab,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fluzoparib, camrelizumab,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IMP-1734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tislelizumab,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A2A-252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GB-3010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camonsertib, Debio-0123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SC0245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34" w:lineRule="exact" w:before="38" w:after="246"/>
        <w:ind w:left="120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📝Note: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SegoeUISymbol" w:hAnsi="SegoeUISymbol" w:eastAsia="SegoeUISymbol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</w:t>
      </w: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252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Description</w:t>
            </w:r>
          </w:p>
        </w:tc>
      </w:tr>
      <w:tr>
        <w:trPr>
          <w:trHeight w:hRule="exact" w:val="2834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Liquidseq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Actionable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Genomic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Profiling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precision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oncology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research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relevant biomarkers in a single next-generation sequencing (NGS) test.</w:t>
            </w:r>
          </w:p>
          <w:p>
            <w:pPr>
              <w:autoSpaceDN w:val="0"/>
              <w:autoSpaceDE w:val="0"/>
              <w:widowControl/>
              <w:spacing w:line="234" w:lineRule="exact" w:before="394" w:after="0"/>
              <w:ind w:left="106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Liquidseq Actionable Genomic Profiling assay analyses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34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unique genes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28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DNA +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6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Fusions driver genes) for single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 and multiple gene biomarker insights, detects single gene biomarkers from all variant types including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SNVs, indels,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CNVs, known and novel fusions, and splice variants.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Analyze complex multi-gene biomarkers for mutational signatures,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 microsatellite instability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 for immunotherapy research.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verified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both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commercially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sourced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controls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cell-free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(cfTNA)samples.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252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Methodology</w:t>
            </w:r>
          </w:p>
        </w:tc>
      </w:tr>
      <w:tr>
        <w:trPr>
          <w:trHeight w:hRule="exact" w:val="992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Extraction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&amp;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Library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Nucleic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liquid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biopsy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targeted gene capture using a custom designed hybrid capture panel. In process quality controls were determined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prepared library.</w:t>
            </w:r>
          </w:p>
          <w:p>
            <w:pPr>
              <w:autoSpaceDN w:val="0"/>
              <w:autoSpaceDE w:val="0"/>
              <w:widowControl/>
              <w:spacing w:line="178" w:lineRule="exact" w:before="106" w:after="0"/>
              <w:ind w:left="0" w:right="46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5 of 10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12"/>
        <w:gridCol w:w="2712"/>
        <w:gridCol w:w="2712"/>
        <w:gridCol w:w="2712"/>
      </w:tblGrid>
      <w:tr>
        <w:trPr>
          <w:trHeight w:hRule="exact" w:val="792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2552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depth: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Novaseq-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34" w:lineRule="exact" w:before="27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Data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customized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validated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bioinformatics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pipeline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capable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calculated.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prioritized,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classified,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6" w:right="0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712"/>
        <w:gridCol w:w="2712"/>
        <w:gridCol w:w="2712"/>
        <w:gridCol w:w="2712"/>
      </w:tblGrid>
      <w:tr>
        <w:trPr>
          <w:trHeight w:hRule="exact" w:val="7042"/>
        </w:trPr>
        <w:tc>
          <w:tcPr>
            <w:tcW w:type="dxa" w:w="10730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30"/>
            </w:tblGrid>
            <w:tr>
              <w:trPr>
                <w:trHeight w:hRule="exact" w:val="234"/>
              </w:trPr>
              <w:tc>
                <w:tcPr>
                  <w:tcW w:type="dxa" w:w="10698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10730"/>
            </w:tblGrid>
            <w:tr>
              <w:trPr>
                <w:trHeight w:hRule="exact" w:val="3210"/>
              </w:trPr>
              <w:tc>
                <w:tcPr>
                  <w:tcW w:type="dxa" w:w="107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6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decisions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 be 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solely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 the 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 this test. Findings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 be interpreted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 the context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of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patient’s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profile—including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pathological,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radiological,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family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history—to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diagnosis,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prognosis, and therapeutic decisions.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Therapy-related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derived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multiple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sources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drug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NCCN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peer-reviewed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literature,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standard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strength.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However,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listed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suitable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beneficial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aims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summary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effective treatments, therapies that may pose increased risks, and those that may have limited benefit, based on genomic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 identified. Prognostic and diagnostic biomarkers relevant to the disease context may also be reported.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78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Genelab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Pvt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Ltd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guarantee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completeness,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accuracy,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enrollment.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verify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 criteria for specific trials independently.</w:t>
                  </w:r>
                </w:p>
              </w:tc>
            </w:tr>
            <w:tr>
              <w:trPr>
                <w:trHeight w:hRule="exact" w:val="3466"/>
              </w:trPr>
              <w:tc>
                <w:tcPr>
                  <w:tcW w:type="dxa" w:w="10710"/>
                  <w:tcBorders>
                    <w:start w:sz="4.0" w:val="single" w:color="#DAEDF3"/>
                    <w:top w:sz="6.0" w:val="single" w:color="#FFFFFF"/>
                    <w:end w:sz="4.0" w:val="single" w:color="#DAEDF3"/>
                    <w:bottom w:sz="4.0" w:val="single" w:color="#DAEDF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Identification of a genomic alteration does not guarantee therapeutic efficacy or predict ineffectiveness. Final decisions on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absence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imply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ineffectiveness or lack of safety of any medication selected independently.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classifications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latest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peer-reviewed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publications,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medical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(e.g.,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NCCN,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ASCO,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AMP)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available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time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report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generation. However, literature is continuously evolving, and classification may change with emerging evidence.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assay is designed and validated for somatic variant detection, it does not differentiate between somatic and germline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variants. If indicated, germline testing and genetic counselling are recommended.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6 of 10</w:t>
            </w:r>
          </w:p>
        </w:tc>
      </w:tr>
      <w:tr>
        <w:trPr>
          <w:trHeight w:hRule="exact" w:val="790"/>
        </w:trPr>
        <w:tc>
          <w:tcPr>
            <w:tcW w:type="dxa" w:w="2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3544"/>
        </w:trPr>
        <w:tc>
          <w:tcPr>
            <w:tcW w:type="dxa" w:w="107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cfDNA/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Previous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Ongoing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fail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QC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thresholds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stages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extraction,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library preparation, or bioinformatics, and may result in assay failure or compromised results, such as low gene coverage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with lower allele frequencies may be reported if they are of strong or potential clinical relevance, or if previously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amplifications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Confirmation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orthogonal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methods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DDPCR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recommended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2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34" w:lineRule="exact" w:before="8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246"/>
        </w:trPr>
        <w:tc>
          <w:tcPr>
            <w:tcW w:type="dxa" w:w="10706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DNA Gene List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APC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ATM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BRAF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CTNNB1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EGFR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ERBB2</w:t>
            </w:r>
          </w:p>
        </w:tc>
      </w:tr>
      <w:tr>
        <w:trPr>
          <w:trHeight w:hRule="exact" w:val="244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ESR1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FOXL2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GNA11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GNAQ</w:t>
            </w:r>
          </w:p>
        </w:tc>
      </w:tr>
      <w:tr>
        <w:trPr>
          <w:trHeight w:hRule="exact" w:val="244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HRAS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KIT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KRAS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NRAS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PDGFRA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POLE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RAF1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246"/>
        </w:trPr>
        <w:tc>
          <w:tcPr>
            <w:tcW w:type="dxa" w:w="10706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RNA Gene List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NTRK3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% of Unstable Loci</w:t>
            </w:r>
          </w:p>
        </w:tc>
      </w:tr>
      <w:tr>
        <w:trPr>
          <w:trHeight w:hRule="exact" w:val="246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Stable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0-19%</w:t>
            </w:r>
          </w:p>
        </w:tc>
      </w:tr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Low / Intermediate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20-30%</w:t>
            </w:r>
          </w:p>
        </w:tc>
      </w:tr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High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712"/>
        <w:gridCol w:w="2712"/>
        <w:gridCol w:w="2712"/>
        <w:gridCol w:w="2712"/>
      </w:tblGrid>
      <w:tr>
        <w:trPr>
          <w:trHeight w:hRule="exact" w:val="1850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376"/>
              <w:gridCol w:w="5376"/>
            </w:tblGrid>
            <w:tr>
              <w:trPr>
                <w:trHeight w:hRule="exact" w:val="2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Tier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Interpretation</w:t>
                  </w:r>
                </w:p>
              </w:tc>
            </w:tr>
            <w:tr>
              <w:trPr>
                <w:trHeight w:hRule="exact" w:val="9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IA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Strong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Significance: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predict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resistance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therapies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type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professional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0" w:right="144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7 of 10</w:t>
            </w:r>
          </w:p>
        </w:tc>
      </w:tr>
      <w:tr>
        <w:trPr>
          <w:trHeight w:hRule="exact" w:val="79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exact" w:val="488"/>
        </w:trPr>
        <w:tc>
          <w:tcPr>
            <w:tcW w:type="dxa" w:w="1852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58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prognostic significance of certain diseases based on well-powered studies with expert consensus.</w:t>
            </w:r>
          </w:p>
        </w:tc>
      </w:tr>
      <w:tr>
        <w:trPr>
          <w:trHeight w:hRule="exact" w:val="1182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IIC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response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resistance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therapies approved by FDA or professional societies for a different tumor type (i.e., off-label use of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drug), serve as inclusion criteria for clinical trials,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 on the results of multiple small studies.</w:t>
            </w:r>
          </w:p>
        </w:tc>
      </w:tr>
      <w:tr>
        <w:trPr>
          <w:trHeight w:hRule="exact" w:val="950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IID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show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plausible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therapeutic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studies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assist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and/or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themselves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along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 other biomarkers based on small studies or multiple case reports with no consensus.</w:t>
            </w:r>
          </w:p>
        </w:tc>
      </w:tr>
      <w:tr>
        <w:trPr>
          <w:trHeight w:hRule="exact" w:val="710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III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Unknown clinical significance (VUS): Not observed at a significant allele frequency in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subpopulation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pancancer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databases.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convincing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34" w:lineRule="exact" w:before="242" w:after="0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4" w:after="0"/>
        <w:ind w:left="12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36" w:lineRule="exact" w:before="11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Muller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therapeutic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opportunities.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2014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17;25(3):304-17.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34" w:lineRule="exact" w:before="11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186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Genet. 2016 Jun;48(6):607-16. PMID: 27158780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8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84"/>
        <w:gridCol w:w="2684"/>
        <w:gridCol w:w="2684"/>
        <w:gridCol w:w="2684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04" w:lineRule="exact" w:before="0" w:after="0"/>
        <w:ind w:left="6" w:right="144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Atlas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Research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Network.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Integrated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characterization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oesophageal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carcinoma.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Nature.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Jan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12;541(7636):169-175. doi: 10.1038/nature20805. Epub 2017 Jan 4. PMID: 28052061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Olivier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IARC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database: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online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analysis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users.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2002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Jun;19(6):607-14. PMID: 12007217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Cancer. 2011 Apr;2(4):466-74. PMID: 21779514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Petitjean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selection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impact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prognosis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outcomes.</w:t>
      </w:r>
    </w:p>
    <w:p>
      <w:pPr>
        <w:autoSpaceDN w:val="0"/>
        <w:tabs>
          <w:tab w:pos="366" w:val="left"/>
        </w:tabs>
        <w:autoSpaceDE w:val="0"/>
        <w:widowControl/>
        <w:spacing w:line="310" w:lineRule="exact" w:before="0" w:after="0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Oncogene. 2007 Apr 2;26(15):2157-65. PMID: 17401424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Soussi et al. Recommendations for analyzing and reporting TP53 gene variants in the high-throughput sequencing era. Hum.</w:t>
      </w:r>
    </w:p>
    <w:p>
      <w:pPr>
        <w:autoSpaceDN w:val="0"/>
        <w:tabs>
          <w:tab w:pos="366" w:val="left"/>
        </w:tabs>
        <w:autoSpaceDE w:val="0"/>
        <w:widowControl/>
        <w:spacing w:line="304" w:lineRule="exact" w:before="0" w:after="56"/>
        <w:ind w:left="6" w:right="432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Mutat. 2014 Jun;35(6):766-78. PMID: 24729566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Mutation.html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https://ir.aprea.com//news-releases/news-release-details/aprea-therapeutics-receives-fda-fast-track-designation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>
        <w:trPr>
          <w:trHeight w:hRule="exact" w:val="31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24" w:lineRule="exact" w:before="0" w:after="232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10.3389/fonc.2015.00288. eCollection 2015. PMID: 26732534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Zhao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Molecularly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targeted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therapies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p53-mutant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Life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Sci.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Nov;74(22):4171-4187.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28643165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Louis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WHO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Classification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Tumors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Central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Nervous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System: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summary.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Neuro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Oncol.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Aug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2;23(8):1231-1251. PMID: 34185076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Myeloid Leukemia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Döhner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Diagnosis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management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AML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adults: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2022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from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international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expert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panel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behalf of the ELN. Blood. 2022 Sep 22;140(12):1345-1377. PMID: 35797463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NCCN-Myelodysplastic Syndromes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NCCN-Myeloproliferative Neoplasms [Version 1.2025]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NCCN-Chronic Lymphocytic Leukemia/Small Lymphocytic Lymphoma [Version 3.2025]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Lymphoblastic Leukemia [Version 3.2024]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NCCN Guidelines&amp;amp;reg; - NCCN-B-Cell Lymphomas [Version 2.2025]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84"/>
        <w:gridCol w:w="2684"/>
        <w:gridCol w:w="2684"/>
        <w:gridCol w:w="2684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9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684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84"/>
        <w:gridCol w:w="2684"/>
        <w:gridCol w:w="2684"/>
        <w:gridCol w:w="2684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34" w:lineRule="exact" w:before="78" w:after="0"/>
        <w:ind w:left="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Bernard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Implications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allelic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state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stability,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clinical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presentation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myelodysplastic</w:t>
      </w:r>
    </w:p>
    <w:p>
      <w:pPr>
        <w:autoSpaceDN w:val="0"/>
        <w:autoSpaceDE w:val="0"/>
        <w:widowControl/>
        <w:spacing w:line="234" w:lineRule="exact" w:before="36" w:after="0"/>
        <w:ind w:left="36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6" w:lineRule="exact" w:before="584" w:after="8312"/>
        <w:ind w:left="0" w:right="376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------------------ End Of Report 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84"/>
        <w:gridCol w:w="2684"/>
        <w:gridCol w:w="2684"/>
        <w:gridCol w:w="2684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10 of 10</w:t>
            </w:r>
          </w:p>
        </w:tc>
        <w:tc>
          <w:tcPr>
            <w:tcW w:type="dxa" w:w="2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684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12" w:right="466" w:bottom="210" w:left="7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