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Case ID</w:t>
            </w:r>
          </w:p>
        </w:tc>
        <w:tc>
          <w:tcPr>
            <w:tcW w:type="dxa" w:w="3168"/>
            <w:tcMar>
              <w:top w:w="20" w:type="dxa"/>
              <w:bottom w:w="20" w:type="dxa"/>
              <w:start w:w="40" w:type="dxa"/>
              <w:end w:w="40" w:type="dxa"/>
            </w:tcMar>
          </w:tcPr>
          <w:p>
            <w:r>
              <w:rPr>
                <w:rFonts w:ascii="Cambria" w:hAnsi="Cambria"/>
                <w:color w:val="000000"/>
                <w:sz w:val="20"/>
              </w:rPr>
              <w:t>2600128556</w:t>
            </w:r>
          </w:p>
        </w:tc>
        <w:tc>
          <w:tcPr>
            <w:tcW w:type="dxa" w:w="1440"/>
            <w:tcMar>
              <w:top w:w="20" w:type="dxa"/>
              <w:bottom w:w="20" w:type="dxa"/>
              <w:start w:w="40" w:type="dxa"/>
              <w:end w:w="40" w:type="dxa"/>
            </w:tcMar>
          </w:tcPr>
          <w:p>
            <w:r>
              <w:rPr>
                <w:rFonts w:ascii="Cambria" w:hAnsi="Cambria"/>
                <w:b/>
                <w:color w:val="1F497D"/>
                <w:sz w:val="20"/>
              </w:rPr>
              <w:t>Sample Type</w:t>
            </w:r>
          </w:p>
        </w:tc>
        <w:tc>
          <w:tcPr>
            <w:tcW w:type="dxa" w:w="3168"/>
            <w:tcMar>
              <w:top w:w="20" w:type="dxa"/>
              <w:bottom w:w="20" w:type="dxa"/>
              <w:start w:w="40" w:type="dxa"/>
              <w:end w:w="40" w:type="dxa"/>
            </w:tcMar>
          </w:tcPr>
          <w:p>
            <w:r>
              <w:rPr>
                <w:rFonts w:ascii="Cambria" w:hAnsi="Cambria"/>
                <w:color w:val="000000"/>
                <w:sz w:val="20"/>
              </w:rPr>
              <w:t>BLOOD IN CCF DNA TUBE</w:t>
            </w:r>
          </w:p>
        </w:tc>
      </w:tr>
      <w:tr>
        <w:trPr>
          <w:cantSplit w:val="true"/>
        </w:trPr>
        <w:tc>
          <w:tcPr>
            <w:tcW w:type="dxa" w:w="1440"/>
            <w:tcMar>
              <w:top w:w="20" w:type="dxa"/>
              <w:bottom w:w="20" w:type="dxa"/>
              <w:start w:w="40" w:type="dxa"/>
              <w:end w:w="40" w:type="dxa"/>
            </w:tcMar>
          </w:tcPr>
          <w:p>
            <w:r>
              <w:rPr>
                <w:rFonts w:ascii="Cambria" w:hAnsi="Cambria"/>
                <w:b/>
                <w:color w:val="1F497D"/>
                <w:sz w:val="20"/>
              </w:rPr>
              <w:t>Name</w:t>
            </w:r>
          </w:p>
        </w:tc>
        <w:tc>
          <w:tcPr>
            <w:tcW w:type="dxa" w:w="3168"/>
            <w:tcMar>
              <w:top w:w="20" w:type="dxa"/>
              <w:bottom w:w="20" w:type="dxa"/>
              <w:start w:w="40" w:type="dxa"/>
              <w:end w:w="40" w:type="dxa"/>
            </w:tcMar>
          </w:tcPr>
          <w:p>
            <w:r>
              <w:rPr>
                <w:rFonts w:ascii="Cambria" w:hAnsi="Cambria"/>
                <w:color w:val="000000"/>
                <w:sz w:val="20"/>
              </w:rPr>
              <w:t>MR. DULAL NAHA (KOL2604070057)</w:t>
            </w:r>
          </w:p>
        </w:tc>
        <w:tc>
          <w:tcPr>
            <w:tcW w:type="dxa" w:w="1440"/>
            <w:tcMar>
              <w:top w:w="20" w:type="dxa"/>
              <w:bottom w:w="20" w:type="dxa"/>
              <w:start w:w="40" w:type="dxa"/>
              <w:end w:w="40" w:type="dxa"/>
            </w:tcMar>
          </w:tcPr>
          <w:p>
            <w:r>
              <w:rPr>
                <w:rFonts w:ascii="Cambria" w:hAnsi="Cambria"/>
                <w:b/>
                <w:color w:val="1F497D"/>
                <w:sz w:val="20"/>
              </w:rPr>
              <w:t>Date &amp; Time Collected</w:t>
            </w:r>
          </w:p>
        </w:tc>
        <w:tc>
          <w:tcPr>
            <w:tcW w:type="dxa" w:w="3168"/>
            <w:tcMar>
              <w:top w:w="20" w:type="dxa"/>
              <w:bottom w:w="20" w:type="dxa"/>
              <w:start w:w="40" w:type="dxa"/>
              <w:end w:w="40" w:type="dxa"/>
            </w:tcMar>
          </w:tcPr>
          <w:p>
            <w:r>
              <w:rPr>
                <w:rFonts w:ascii="Cambria" w:hAnsi="Cambria"/>
                <w:color w:val="000000"/>
                <w:sz w:val="20"/>
              </w:rPr>
              <w:t>07-Apr-2026 12:00 AM</w:t>
            </w:r>
          </w:p>
        </w:tc>
      </w:tr>
      <w:tr>
        <w:trPr>
          <w:cantSplit w:val="true"/>
        </w:trPr>
        <w:tc>
          <w:tcPr>
            <w:tcW w:type="dxa" w:w="1440"/>
            <w:tcMar>
              <w:top w:w="20" w:type="dxa"/>
              <w:bottom w:w="20" w:type="dxa"/>
              <w:start w:w="40" w:type="dxa"/>
              <w:end w:w="40" w:type="dxa"/>
            </w:tcMar>
          </w:tcPr>
          <w:p>
            <w:r>
              <w:rPr>
                <w:rFonts w:ascii="Cambria" w:hAnsi="Cambria"/>
                <w:b/>
                <w:color w:val="1F497D"/>
                <w:sz w:val="20"/>
              </w:rPr>
              <w:t>Sex/Age</w:t>
            </w:r>
          </w:p>
        </w:tc>
        <w:tc>
          <w:tcPr>
            <w:tcW w:type="dxa" w:w="3168"/>
            <w:tcMar>
              <w:top w:w="20" w:type="dxa"/>
              <w:bottom w:w="20" w:type="dxa"/>
              <w:start w:w="40" w:type="dxa"/>
              <w:end w:w="40" w:type="dxa"/>
            </w:tcMar>
          </w:tcPr>
          <w:p>
            <w:r>
              <w:rPr>
                <w:rFonts w:ascii="Cambria" w:hAnsi="Cambria"/>
                <w:color w:val="000000"/>
                <w:sz w:val="20"/>
              </w:rPr>
              <w:t>Male/70 Years</w:t>
            </w:r>
          </w:p>
        </w:tc>
        <w:tc>
          <w:tcPr>
            <w:tcW w:type="dxa" w:w="1440"/>
            <w:tcMar>
              <w:top w:w="20" w:type="dxa"/>
              <w:bottom w:w="20" w:type="dxa"/>
              <w:start w:w="40" w:type="dxa"/>
              <w:end w:w="40" w:type="dxa"/>
            </w:tcMar>
          </w:tcPr>
          <w:p>
            <w:r>
              <w:rPr>
                <w:rFonts w:ascii="Cambria" w:hAnsi="Cambria"/>
                <w:b/>
                <w:color w:val="1F497D"/>
                <w:sz w:val="20"/>
              </w:rPr>
              <w:t>Date &amp; Time Received</w:t>
            </w:r>
          </w:p>
        </w:tc>
        <w:tc>
          <w:tcPr>
            <w:tcW w:type="dxa" w:w="3168"/>
            <w:tcMar>
              <w:top w:w="20" w:type="dxa"/>
              <w:bottom w:w="20" w:type="dxa"/>
              <w:start w:w="40" w:type="dxa"/>
              <w:end w:w="40" w:type="dxa"/>
            </w:tcMar>
          </w:tcPr>
          <w:p>
            <w:r>
              <w:rPr>
                <w:rFonts w:ascii="Cambria" w:hAnsi="Cambria"/>
                <w:color w:val="000000"/>
                <w:sz w:val="20"/>
              </w:rPr>
              <w:t>20-Apr-2026 12:16 PM</w:t>
            </w:r>
          </w:p>
        </w:tc>
      </w:tr>
      <w:tr>
        <w:trPr>
          <w:cantSplit w:val="true"/>
        </w:trPr>
        <w:tc>
          <w:tcPr>
            <w:tcW w:type="dxa" w:w="1440"/>
            <w:tcMar>
              <w:top w:w="20" w:type="dxa"/>
              <w:bottom w:w="20" w:type="dxa"/>
              <w:start w:w="40" w:type="dxa"/>
              <w:end w:w="40" w:type="dxa"/>
            </w:tcMar>
          </w:tcPr>
          <w:p>
            <w:r>
              <w:rPr>
                <w:rFonts w:ascii="Cambria" w:hAnsi="Cambria"/>
                <w:b/>
                <w:color w:val="1F497D"/>
                <w:sz w:val="20"/>
              </w:rPr>
              <w:t>Date &amp; Time Reported</w:t>
            </w:r>
          </w:p>
        </w:tc>
        <w:tc>
          <w:tcPr>
            <w:tcW w:type="dxa" w:w="3168"/>
            <w:tcMar>
              <w:top w:w="20" w:type="dxa"/>
              <w:bottom w:w="20" w:type="dxa"/>
              <w:start w:w="40" w:type="dxa"/>
              <w:end w:w="40" w:type="dxa"/>
            </w:tcMar>
          </w:tcPr>
          <w:p>
            <w:r>
              <w:rPr>
                <w:rFonts w:ascii="Cambria" w:hAnsi="Cambria"/>
                <w:color w:val="000000"/>
                <w:sz w:val="20"/>
              </w:rPr>
              <w:t>30-Apr-2026 05:55 PM</w:t>
            </w:r>
          </w:p>
        </w:tc>
        <w:tc>
          <w:tcPr>
            <w:tcW w:type="dxa" w:w="1440"/>
            <w:tcMar>
              <w:top w:w="20" w:type="dxa"/>
              <w:bottom w:w="20" w:type="dxa"/>
              <w:start w:w="40" w:type="dxa"/>
              <w:end w:w="40" w:type="dxa"/>
            </w:tcMar>
          </w:tcPr>
          <w:p>
            <w:r>
              <w:rPr>
                <w:rFonts w:ascii="Cambria" w:hAnsi="Cambria"/>
                <w:b/>
                <w:color w:val="1F497D"/>
                <w:sz w:val="20"/>
              </w:rPr>
              <w:t>Report Version</w:t>
            </w:r>
          </w:p>
        </w:tc>
        <w:tc>
          <w:tcPr>
            <w:tcW w:type="dxa" w:w="3168"/>
            <w:tcMar>
              <w:top w:w="20" w:type="dxa"/>
              <w:bottom w:w="20" w:type="dxa"/>
              <w:start w:w="40" w:type="dxa"/>
              <w:end w:w="40" w:type="dxa"/>
            </w:tcMar>
          </w:tcPr>
          <w:p>
            <w:r>
              <w:rPr>
                <w:rFonts w:ascii="Cambria" w:hAnsi="Cambria"/>
                <w:color w:val="000000"/>
                <w:sz w:val="20"/>
              </w:rPr>
              <w:t>1</w:t>
            </w:r>
          </w:p>
        </w:tc>
      </w:tr>
    </w:tbl>
    <w:p>
      <w:pPr>
        <w:spacing w:before="0" w:after="80" w:line="20" w:lineRule="exact"/>
      </w:pPr>
      <w:r>
        <w:rPr>
          <w:sz w:val="2"/>
        </w:rPr>
      </w:r>
    </w:p>
    <w:p>
      <w:pPr>
        <w:keepNext/>
        <w:spacing w:before="78" w:after="80"/>
        <w:jc w:val="left"/>
      </w:pPr>
      <w:r>
        <w:rPr>
          <w:rFonts w:ascii="Cambria" w:hAnsi="Cambria"/>
          <w:b/>
          <w:i w:val="0"/>
          <w:color w:val="1F497D"/>
          <w:sz w:val="26"/>
        </w:rPr>
        <w:t>TEST NAME</w:t>
      </w:r>
    </w:p>
    <w:p>
      <w:pPr>
        <w:spacing w:before="360" w:after="80" w:line="276" w:lineRule="auto"/>
        <w:jc w:val="left"/>
      </w:pPr>
      <w:r>
        <w:rPr>
          <w:rFonts w:ascii="Cambria" w:hAnsi="Cambria"/>
          <w:color w:val="000000"/>
          <w:sz w:val="20"/>
        </w:rPr>
        <w:t>Clinical Indication: Metastatic Adenocarcinoma</w:t>
      </w:r>
    </w:p>
    <w:p>
      <w:pPr>
        <w:keepNext/>
        <w:spacing w:before="316" w:after="80"/>
        <w:jc w:val="left"/>
      </w:pPr>
      <w:r>
        <w:rPr>
          <w:rFonts w:ascii="Cambria" w:hAnsi="Cambria"/>
          <w:b/>
          <w:i w:val="0"/>
          <w:color w:val="1F497D"/>
          <w:sz w:val="26"/>
        </w:rPr>
        <w:t>Positive (Clinically significant Variant detected)</w:t>
      </w:r>
    </w:p>
    <w:p>
      <w:pPr>
        <w:keepNext/>
        <w:spacing w:before="355" w:after="80"/>
        <w:jc w:val="left"/>
      </w:pPr>
      <w:r>
        <w:rPr>
          <w:rFonts w:ascii="Cambria" w:hAnsi="Cambria"/>
          <w:b/>
          <w:i w:val="0"/>
          <w:color w:val="1F497D"/>
          <w:sz w:val="26"/>
        </w:rPr>
        <w:t>Report Highlights:</w:t>
      </w:r>
    </w:p>
    <w:p>
      <w:pPr>
        <w:spacing w:before="0" w:after="213"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744"/>
        <w:gridCol w:w="1744"/>
        <w:gridCol w:w="1744"/>
        <w:gridCol w:w="1744"/>
        <w:gridCol w:w="1744"/>
        <w:gridCol w:w="1744"/>
      </w:tblGrid>
      <w:tr>
        <w:trPr>
          <w:tblHeader w:val="true"/>
          <w:cantSplit w:val="true"/>
        </w:trPr>
        <w:tc>
          <w:tcPr>
            <w:tcW w:type="dxa" w:w="1570"/>
            <w:shd w:val="clear" w:color="auto" w:fill="1f497d"/>
            <w:tcMar>
              <w:top w:w="60" w:type="dxa"/>
              <w:bottom w:w="60" w:type="dxa"/>
              <w:start w:w="80" w:type="dxa"/>
              <w:end w:w="80" w:type="dxa"/>
            </w:tcMar>
          </w:tcPr>
          <w:p>
            <w:pPr>
              <w:jc w:val="center"/>
            </w:pPr>
            <w:r>
              <w:rPr>
                <w:rFonts w:ascii="Cambria" w:hAnsi="Cambria"/>
                <w:b/>
                <w:color w:val="FFFFFF"/>
                <w:sz w:val="19"/>
              </w:rPr>
              <w:t>Tier I</w:t>
            </w:r>
          </w:p>
        </w:tc>
        <w:tc>
          <w:tcPr>
            <w:tcW w:type="dxa" w:w="1646"/>
            <w:shd w:val="clear" w:color="auto" w:fill="1f497d"/>
            <w:tcMar>
              <w:top w:w="60" w:type="dxa"/>
              <w:bottom w:w="60" w:type="dxa"/>
              <w:start w:w="80" w:type="dxa"/>
              <w:end w:w="80" w:type="dxa"/>
            </w:tcMar>
          </w:tcPr>
          <w:p>
            <w:pPr>
              <w:jc w:val="center"/>
            </w:pPr>
            <w:r>
              <w:rPr>
                <w:rFonts w:ascii="Cambria" w:hAnsi="Cambria"/>
                <w:b/>
                <w:color w:val="FFFFFF"/>
                <w:sz w:val="19"/>
              </w:rPr>
              <w:t>Tier II</w:t>
            </w:r>
          </w:p>
        </w:tc>
        <w:tc>
          <w:tcPr>
            <w:tcW w:type="dxa" w:w="1719"/>
            <w:shd w:val="clear" w:color="auto" w:fill="1f497d"/>
            <w:tcMar>
              <w:top w:w="60" w:type="dxa"/>
              <w:bottom w:w="60" w:type="dxa"/>
              <w:start w:w="80" w:type="dxa"/>
              <w:end w:w="80" w:type="dxa"/>
            </w:tcMar>
          </w:tcPr>
          <w:p>
            <w:pPr>
              <w:jc w:val="center"/>
            </w:pPr>
            <w:r>
              <w:rPr>
                <w:rFonts w:ascii="Cambria" w:hAnsi="Cambria"/>
                <w:b/>
                <w:color w:val="FFFFFF"/>
                <w:sz w:val="19"/>
              </w:rPr>
              <w:t>Tier III</w:t>
            </w:r>
          </w:p>
        </w:tc>
        <w:tc>
          <w:tcPr>
            <w:tcW w:type="dxa" w:w="1570"/>
            <w:shd w:val="clear" w:color="auto" w:fill="1f497d"/>
            <w:tcMar>
              <w:top w:w="60" w:type="dxa"/>
              <w:bottom w:w="60" w:type="dxa"/>
              <w:start w:w="80" w:type="dxa"/>
              <w:end w:w="80" w:type="dxa"/>
            </w:tcMar>
          </w:tcPr>
          <w:p>
            <w:pPr>
              <w:jc w:val="center"/>
            </w:pPr>
            <w:r>
              <w:rPr>
                <w:rFonts w:ascii="Cambria" w:hAnsi="Cambria"/>
                <w:b/>
                <w:color w:val="FFFFFF"/>
                <w:sz w:val="19"/>
              </w:rPr>
              <w:t>MSI</w:t>
            </w:r>
          </w:p>
        </w:tc>
        <w:tc>
          <w:tcPr>
            <w:tcW w:type="dxa" w:w="1789"/>
            <w:shd w:val="clear" w:color="auto" w:fill="1f497d"/>
            <w:tcMar>
              <w:top w:w="60" w:type="dxa"/>
              <w:bottom w:w="60" w:type="dxa"/>
              <w:start w:w="80" w:type="dxa"/>
              <w:end w:w="80" w:type="dxa"/>
            </w:tcMar>
          </w:tcPr>
          <w:p>
            <w:pPr>
              <w:jc w:val="center"/>
            </w:pPr>
            <w:r>
              <w:rPr>
                <w:rFonts w:ascii="Cambria" w:hAnsi="Cambria"/>
                <w:b/>
                <w:color w:val="FFFFFF"/>
                <w:sz w:val="19"/>
              </w:rPr>
              <w:t>Therapies</w:t>
            </w:r>
          </w:p>
        </w:tc>
        <w:tc>
          <w:tcPr>
            <w:tcW w:type="dxa" w:w="2172"/>
            <w:shd w:val="clear" w:color="auto" w:fill="1f497d"/>
            <w:tcMar>
              <w:top w:w="60" w:type="dxa"/>
              <w:bottom w:w="60" w:type="dxa"/>
              <w:start w:w="80" w:type="dxa"/>
              <w:end w:w="80" w:type="dxa"/>
            </w:tcMar>
          </w:tcPr>
          <w:p>
            <w:pPr>
              <w:jc w:val="center"/>
            </w:pPr>
            <w:r>
              <w:rPr>
                <w:rFonts w:ascii="Cambria" w:hAnsi="Cambria"/>
                <w:b/>
                <w:color w:val="FFFFFF"/>
                <w:sz w:val="19"/>
              </w:rPr>
              <w:t>Clinical Trials</w:t>
            </w:r>
          </w:p>
        </w:tc>
      </w:tr>
      <w:tr>
        <w:trPr>
          <w:cantSplit w:val="true"/>
        </w:trPr>
        <w:tc>
          <w:tcPr>
            <w:tcW w:type="dxa" w:w="1570"/>
            <w:tcMar>
              <w:top w:w="60" w:type="dxa"/>
              <w:bottom w:w="60" w:type="dxa"/>
              <w:start w:w="80" w:type="dxa"/>
              <w:end w:w="80" w:type="dxa"/>
            </w:tcMar>
          </w:tcPr>
          <w:p>
            <w:r>
              <w:rPr>
                <w:rFonts w:ascii="Cambria" w:hAnsi="Cambria"/>
                <w:color w:val="000000"/>
                <w:sz w:val="19"/>
              </w:rPr>
              <w:t>0</w:t>
            </w:r>
          </w:p>
        </w:tc>
        <w:tc>
          <w:tcPr>
            <w:tcW w:type="dxa" w:w="1646"/>
            <w:tcMar>
              <w:top w:w="60" w:type="dxa"/>
              <w:bottom w:w="60" w:type="dxa"/>
              <w:start w:w="80" w:type="dxa"/>
              <w:end w:w="80" w:type="dxa"/>
            </w:tcMar>
          </w:tcPr>
          <w:p>
            <w:r>
              <w:rPr>
                <w:rFonts w:ascii="Cambria" w:hAnsi="Cambria"/>
                <w:color w:val="000000"/>
                <w:sz w:val="19"/>
              </w:rPr>
              <w:t>1</w:t>
            </w:r>
          </w:p>
        </w:tc>
        <w:tc>
          <w:tcPr>
            <w:tcW w:type="dxa" w:w="1719"/>
            <w:tcMar>
              <w:top w:w="60" w:type="dxa"/>
              <w:bottom w:w="60" w:type="dxa"/>
              <w:start w:w="80" w:type="dxa"/>
              <w:end w:w="80" w:type="dxa"/>
            </w:tcMar>
          </w:tcPr>
          <w:p>
            <w:r>
              <w:rPr>
                <w:rFonts w:ascii="Cambria" w:hAnsi="Cambria"/>
                <w:color w:val="000000"/>
                <w:sz w:val="19"/>
              </w:rPr>
              <w:t>0</w:t>
            </w:r>
          </w:p>
        </w:tc>
        <w:tc>
          <w:tcPr>
            <w:tcW w:type="dxa" w:w="1570"/>
            <w:tcMar>
              <w:top w:w="60" w:type="dxa"/>
              <w:bottom w:w="60" w:type="dxa"/>
              <w:start w:w="80" w:type="dxa"/>
              <w:end w:w="80" w:type="dxa"/>
            </w:tcMar>
          </w:tcPr>
          <w:p>
            <w:r>
              <w:rPr>
                <w:rFonts w:ascii="Cambria" w:hAnsi="Cambria"/>
                <w:b/>
                <w:color w:val="008000"/>
                <w:sz w:val="19"/>
              </w:rPr>
              <w:t>Stable</w:t>
            </w:r>
          </w:p>
        </w:tc>
        <w:tc>
          <w:tcPr>
            <w:tcW w:type="dxa" w:w="1789"/>
            <w:tcMar>
              <w:top w:w="60" w:type="dxa"/>
              <w:bottom w:w="60" w:type="dxa"/>
              <w:start w:w="80" w:type="dxa"/>
              <w:end w:w="80" w:type="dxa"/>
            </w:tcMar>
          </w:tcPr>
          <w:p>
            <w:r>
              <w:rPr>
                <w:rFonts w:ascii="Cambria" w:hAnsi="Cambria"/>
                <w:color w:val="000000"/>
                <w:sz w:val="19"/>
              </w:rPr>
              <w:t>0</w:t>
            </w:r>
          </w:p>
        </w:tc>
        <w:tc>
          <w:tcPr>
            <w:tcW w:type="dxa" w:w="2172"/>
            <w:tcMar>
              <w:top w:w="60" w:type="dxa"/>
              <w:bottom w:w="60" w:type="dxa"/>
              <w:start w:w="80" w:type="dxa"/>
              <w:end w:w="80" w:type="dxa"/>
            </w:tcMar>
          </w:tcPr>
          <w:p>
            <w:r>
              <w:rPr>
                <w:rFonts w:ascii="Cambria" w:hAnsi="Cambria"/>
                <w:color w:val="000000"/>
                <w:sz w:val="19"/>
              </w:rPr>
              <w:t>43</w:t>
            </w:r>
          </w:p>
        </w:tc>
      </w:tr>
    </w:tbl>
    <w:p>
      <w:pPr>
        <w:spacing w:before="0" w:after="120" w:line="20" w:lineRule="exact"/>
      </w:pPr>
      <w:r>
        <w:rPr>
          <w:sz w:val="2"/>
        </w:rPr>
      </w:r>
    </w:p>
    <w:p>
      <w:pPr>
        <w:keepNext/>
        <w:spacing w:before="262" w:after="80"/>
        <w:jc w:val="left"/>
      </w:pPr>
      <w:r>
        <w:rPr>
          <w:rFonts w:ascii="Cambria" w:hAnsi="Cambria"/>
          <w:b/>
          <w:i w:val="0"/>
          <w:color w:val="1F497D"/>
          <w:sz w:val="26"/>
        </w:rPr>
        <w:t>Key Findings:</w:t>
      </w:r>
    </w:p>
    <w:p>
      <w:pPr>
        <w:spacing w:before="0" w:after="213"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093"/>
        <w:gridCol w:w="2093"/>
        <w:gridCol w:w="2093"/>
        <w:gridCol w:w="2093"/>
        <w:gridCol w:w="2093"/>
      </w:tblGrid>
      <w:tr>
        <w:trPr>
          <w:tblHeader w:val="true"/>
          <w:cantSplit w:val="true"/>
        </w:trPr>
        <w:tc>
          <w:tcPr>
            <w:tcW w:type="dxa" w:w="1496"/>
            <w:shd w:val="clear" w:color="auto" w:fill="1f497d"/>
            <w:tcMar>
              <w:top w:w="60" w:type="dxa"/>
              <w:bottom w:w="60" w:type="dxa"/>
              <w:start w:w="80" w:type="dxa"/>
              <w:end w:w="80" w:type="dxa"/>
            </w:tcMar>
          </w:tcPr>
          <w:p>
            <w:pPr>
              <w:jc w:val="center"/>
            </w:pPr>
            <w:r>
              <w:rPr>
                <w:rFonts w:ascii="Cambria" w:hAnsi="Cambria"/>
                <w:b/>
                <w:color w:val="FFFFFF"/>
                <w:sz w:val="19"/>
              </w:rPr>
              <w:t>Tier</w:t>
            </w:r>
          </w:p>
        </w:tc>
        <w:tc>
          <w:tcPr>
            <w:tcW w:type="dxa" w:w="2607"/>
            <w:shd w:val="clear" w:color="auto" w:fill="1f497d"/>
            <w:tcMar>
              <w:top w:w="60" w:type="dxa"/>
              <w:bottom w:w="60" w:type="dxa"/>
              <w:start w:w="80" w:type="dxa"/>
              <w:end w:w="80" w:type="dxa"/>
            </w:tcMar>
          </w:tcPr>
          <w:p>
            <w:pPr>
              <w:jc w:val="center"/>
            </w:pPr>
            <w:r>
              <w:rPr>
                <w:rFonts w:ascii="Cambria" w:hAnsi="Cambria"/>
                <w:b/>
                <w:color w:val="FFFFFF"/>
                <w:sz w:val="19"/>
              </w:rPr>
              <w:t>Gene &amp; Transcript</w:t>
            </w:r>
          </w:p>
        </w:tc>
        <w:tc>
          <w:tcPr>
            <w:tcW w:type="dxa" w:w="2607"/>
            <w:shd w:val="clear" w:color="auto" w:fill="1f497d"/>
            <w:tcMar>
              <w:top w:w="60" w:type="dxa"/>
              <w:bottom w:w="60" w:type="dxa"/>
              <w:start w:w="80" w:type="dxa"/>
              <w:end w:w="80" w:type="dxa"/>
            </w:tcMar>
          </w:tcPr>
          <w:p>
            <w:pPr>
              <w:jc w:val="center"/>
            </w:pPr>
            <w:r>
              <w:rPr>
                <w:rFonts w:ascii="Cambria" w:hAnsi="Cambria"/>
                <w:b/>
                <w:color w:val="FFFFFF"/>
                <w:sz w:val="19"/>
              </w:rPr>
              <w:t>Variant</w:t>
            </w:r>
          </w:p>
        </w:tc>
        <w:tc>
          <w:tcPr>
            <w:tcW w:type="dxa" w:w="1496"/>
            <w:shd w:val="clear" w:color="auto" w:fill="1f497d"/>
            <w:tcMar>
              <w:top w:w="60" w:type="dxa"/>
              <w:bottom w:w="60" w:type="dxa"/>
              <w:start w:w="80" w:type="dxa"/>
              <w:end w:w="80" w:type="dxa"/>
            </w:tcMar>
          </w:tcPr>
          <w:p>
            <w:pPr>
              <w:jc w:val="center"/>
            </w:pPr>
            <w:r>
              <w:rPr>
                <w:rFonts w:ascii="Cambria" w:hAnsi="Cambria"/>
                <w:b/>
                <w:color w:val="FFFFFF"/>
                <w:sz w:val="19"/>
              </w:rPr>
              <w:t>Exon</w:t>
            </w:r>
          </w:p>
        </w:tc>
        <w:tc>
          <w:tcPr>
            <w:tcW w:type="dxa" w:w="2260"/>
            <w:shd w:val="clear" w:color="auto" w:fill="1f497d"/>
            <w:tcMar>
              <w:top w:w="60" w:type="dxa"/>
              <w:bottom w:w="60" w:type="dxa"/>
              <w:start w:w="80" w:type="dxa"/>
              <w:end w:w="80" w:type="dxa"/>
            </w:tcMar>
          </w:tcPr>
          <w:p>
            <w:pPr>
              <w:jc w:val="center"/>
            </w:pPr>
            <w:r>
              <w:rPr>
                <w:rFonts w:ascii="Cambria" w:hAnsi="Cambria"/>
                <w:b/>
                <w:color w:val="FFFFFF"/>
                <w:sz w:val="19"/>
              </w:rPr>
              <w:t>Coverage/VAF</w:t>
            </w:r>
          </w:p>
        </w:tc>
      </w:tr>
      <w:tr>
        <w:trPr>
          <w:cantSplit w:val="true"/>
        </w:trPr>
        <w:tc>
          <w:tcPr>
            <w:tcW w:type="dxa" w:w="1496"/>
            <w:tcMar>
              <w:top w:w="60" w:type="dxa"/>
              <w:bottom w:w="60" w:type="dxa"/>
              <w:start w:w="80" w:type="dxa"/>
              <w:end w:w="80" w:type="dxa"/>
            </w:tcMar>
          </w:tcPr>
          <w:p>
            <w:r>
              <w:rPr>
                <w:rFonts w:ascii="Cambria" w:hAnsi="Cambria"/>
                <w:color w:val="000000"/>
                <w:sz w:val="19"/>
              </w:rPr>
              <w:t>IIC</w:t>
            </w:r>
          </w:p>
        </w:tc>
        <w:tc>
          <w:tcPr>
            <w:tcW w:type="dxa" w:w="2607"/>
            <w:tcMar>
              <w:top w:w="60" w:type="dxa"/>
              <w:bottom w:w="60" w:type="dxa"/>
              <w:start w:w="80" w:type="dxa"/>
              <w:end w:w="80" w:type="dxa"/>
            </w:tcMar>
          </w:tcPr>
          <w:p>
            <w:r>
              <w:rPr>
                <w:rFonts w:ascii="Cambria" w:hAnsi="Cambria"/>
                <w:color w:val="000000"/>
                <w:sz w:val="19"/>
              </w:rPr>
              <w:t>TP53</w:t>
              <w:br/>
              <w:t>NM 000546.6</w:t>
              <w:br/>
              <w:t>_</w:t>
            </w:r>
          </w:p>
        </w:tc>
        <w:tc>
          <w:tcPr>
            <w:tcW w:type="dxa" w:w="2607"/>
            <w:tcMar>
              <w:top w:w="60" w:type="dxa"/>
              <w:bottom w:w="60" w:type="dxa"/>
              <w:start w:w="80" w:type="dxa"/>
              <w:end w:w="80" w:type="dxa"/>
            </w:tcMar>
          </w:tcPr>
          <w:p>
            <w:r>
              <w:rPr>
                <w:rFonts w:ascii="Cambria" w:hAnsi="Cambria"/>
                <w:color w:val="000000"/>
                <w:sz w:val="19"/>
              </w:rPr>
              <w:t>c.405C&gt;A</w:t>
              <w:br/>
              <w:t>p.(C135*)</w:t>
            </w:r>
          </w:p>
        </w:tc>
        <w:tc>
          <w:tcPr>
            <w:tcW w:type="dxa" w:w="1496"/>
            <w:tcMar>
              <w:top w:w="60" w:type="dxa"/>
              <w:bottom w:w="60" w:type="dxa"/>
              <w:start w:w="80" w:type="dxa"/>
              <w:end w:w="80" w:type="dxa"/>
            </w:tcMar>
          </w:tcPr>
          <w:p>
            <w:r>
              <w:rPr>
                <w:rFonts w:ascii="Cambria" w:hAnsi="Cambria"/>
                <w:color w:val="000000"/>
                <w:sz w:val="19"/>
              </w:rPr>
              <w:t>5</w:t>
            </w:r>
          </w:p>
        </w:tc>
        <w:tc>
          <w:tcPr>
            <w:tcW w:type="dxa" w:w="2260"/>
            <w:tcMar>
              <w:top w:w="60" w:type="dxa"/>
              <w:bottom w:w="60" w:type="dxa"/>
              <w:start w:w="80" w:type="dxa"/>
              <w:end w:w="80" w:type="dxa"/>
            </w:tcMar>
          </w:tcPr>
          <w:p>
            <w:r>
              <w:rPr>
                <w:rFonts w:ascii="Cambria" w:hAnsi="Cambria"/>
                <w:color w:val="000000"/>
                <w:sz w:val="19"/>
              </w:rPr>
              <w:t>691x /</w:t>
              <w:br/>
              <w:t>93.13%</w:t>
            </w:r>
          </w:p>
        </w:tc>
      </w:tr>
    </w:tbl>
    <w:p>
      <w:pPr>
        <w:spacing w:before="0" w:after="120" w:line="20" w:lineRule="exact"/>
      </w:pPr>
      <w:r>
        <w:rPr>
          <w:sz w:val="2"/>
        </w:rPr>
      </w:r>
    </w:p>
    <w:p>
      <w:pPr>
        <w:pStyle w:val="ListBullet"/>
        <w:spacing w:before="0" w:after="80" w:line="276" w:lineRule="auto"/>
      </w:pPr>
      <w:r>
        <w:rPr>
          <w:rFonts w:ascii="Cambria" w:hAnsi="Cambria"/>
          <w:color w:val="000000"/>
          <w:sz w:val="20"/>
        </w:rPr>
        <w:t>Genetic test results are reported based on the recommendations of AMP-ASCO-CAP guidelines. **Public data sources included in relevant targeted therapies, guidelines: EMA, FDA, ESMO, NCCN.</w:t>
      </w:r>
    </w:p>
    <w:p>
      <w:pPr>
        <w:keepNext/>
        <w:spacing w:before="256" w:after="80"/>
        <w:jc w:val="left"/>
      </w:pPr>
      <w:r>
        <w:rPr>
          <w:rFonts w:ascii="Cambria" w:hAnsi="Cambria"/>
          <w:b/>
          <w:i w:val="0"/>
          <w:color w:val="1F497D"/>
          <w:sz w:val="26"/>
        </w:rPr>
        <w:t>Multi-Gene Biomarkers Results:</w:t>
      </w:r>
    </w:p>
    <w:p>
      <w:pPr>
        <w:spacing w:before="0" w:after="212"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3489"/>
        <w:gridCol w:w="3489"/>
        <w:gridCol w:w="3489"/>
      </w:tblGrid>
      <w:tr>
        <w:trPr>
          <w:tblHeader w:val="true"/>
          <w:cantSplit w:val="true"/>
        </w:trPr>
        <w:tc>
          <w:tcPr>
            <w:tcW w:type="dxa" w:w="4328"/>
            <w:shd w:val="clear" w:color="auto" w:fill="1f497d"/>
            <w:tcMar>
              <w:top w:w="60" w:type="dxa"/>
              <w:bottom w:w="60" w:type="dxa"/>
              <w:start w:w="80" w:type="dxa"/>
              <w:end w:w="80" w:type="dxa"/>
            </w:tcMar>
          </w:tcPr>
          <w:p>
            <w:pPr>
              <w:jc w:val="center"/>
            </w:pPr>
            <w:r>
              <w:rPr>
                <w:rFonts w:ascii="Cambria" w:hAnsi="Cambria"/>
                <w:b/>
                <w:color w:val="FFFFFF"/>
                <w:sz w:val="19"/>
              </w:rPr>
              <w:t>Assay Biomarker</w:t>
            </w:r>
          </w:p>
        </w:tc>
        <w:tc>
          <w:tcPr>
            <w:tcW w:type="dxa" w:w="1962"/>
            <w:shd w:val="clear" w:color="auto" w:fill="1f497d"/>
            <w:tcMar>
              <w:top w:w="60" w:type="dxa"/>
              <w:bottom w:w="60" w:type="dxa"/>
              <w:start w:w="80" w:type="dxa"/>
              <w:end w:w="80" w:type="dxa"/>
            </w:tcMar>
          </w:tcPr>
          <w:p>
            <w:pPr>
              <w:jc w:val="center"/>
            </w:pPr>
            <w:r>
              <w:rPr>
                <w:rFonts w:ascii="Cambria" w:hAnsi="Cambria"/>
                <w:b/>
                <w:color w:val="FFFFFF"/>
                <w:sz w:val="19"/>
              </w:rPr>
              <w:t>Result</w:t>
            </w:r>
          </w:p>
        </w:tc>
        <w:tc>
          <w:tcPr>
            <w:tcW w:type="dxa" w:w="4176"/>
            <w:shd w:val="clear" w:color="auto" w:fill="1f497d"/>
            <w:tcMar>
              <w:top w:w="60" w:type="dxa"/>
              <w:bottom w:w="60" w:type="dxa"/>
              <w:start w:w="80" w:type="dxa"/>
              <w:end w:w="80" w:type="dxa"/>
            </w:tcMar>
          </w:tcPr>
          <w:p>
            <w:pPr>
              <w:jc w:val="center"/>
            </w:pPr>
            <w:r>
              <w:rPr>
                <w:rFonts w:ascii="Cambria" w:hAnsi="Cambria"/>
                <w:b/>
                <w:color w:val="FFFFFF"/>
                <w:sz w:val="19"/>
              </w:rPr>
              <w:t>Interpretation</w:t>
            </w:r>
          </w:p>
        </w:tc>
      </w:tr>
      <w:tr>
        <w:trPr>
          <w:cantSplit w:val="true"/>
        </w:trPr>
        <w:tc>
          <w:tcPr>
            <w:tcW w:type="dxa" w:w="4328"/>
            <w:tcMar>
              <w:top w:w="60" w:type="dxa"/>
              <w:bottom w:w="60" w:type="dxa"/>
              <w:start w:w="80" w:type="dxa"/>
              <w:end w:w="80" w:type="dxa"/>
            </w:tcMar>
          </w:tcPr>
          <w:p>
            <w:r>
              <w:rPr>
                <w:rFonts w:ascii="Cambria" w:hAnsi="Cambria"/>
                <w:color w:val="000000"/>
                <w:sz w:val="19"/>
              </w:rPr>
              <w:t>Microsatellite Instability (MSI)</w:t>
            </w:r>
          </w:p>
        </w:tc>
        <w:tc>
          <w:tcPr>
            <w:tcW w:type="dxa" w:w="1962"/>
            <w:tcMar>
              <w:top w:w="60" w:type="dxa"/>
              <w:bottom w:w="60" w:type="dxa"/>
              <w:start w:w="80" w:type="dxa"/>
              <w:end w:w="80" w:type="dxa"/>
            </w:tcMar>
          </w:tcPr>
          <w:p>
            <w:r>
              <w:rPr>
                <w:rFonts w:ascii="Cambria" w:hAnsi="Cambria"/>
                <w:b/>
                <w:color w:val="008000"/>
                <w:sz w:val="19"/>
              </w:rPr>
              <w:t>Stable</w:t>
            </w:r>
          </w:p>
        </w:tc>
        <w:tc>
          <w:tcPr>
            <w:tcW w:type="dxa" w:w="4176"/>
            <w:tcMar>
              <w:top w:w="60" w:type="dxa"/>
              <w:bottom w:w="60" w:type="dxa"/>
              <w:start w:w="80" w:type="dxa"/>
              <w:end w:w="80" w:type="dxa"/>
            </w:tcMar>
          </w:tcPr>
          <w:p>
            <w:r>
              <w:rPr>
                <w:rFonts w:ascii="Cambria" w:hAnsi="Cambria"/>
                <w:b/>
                <w:color w:val="008000"/>
                <w:sz w:val="19"/>
              </w:rPr>
              <w:t>Stable Microsatellite detected</w:t>
            </w:r>
          </w:p>
        </w:tc>
      </w:tr>
    </w:tbl>
    <w:p>
      <w:pPr>
        <w:spacing w:before="0" w:after="120" w:line="20" w:lineRule="exact"/>
      </w:pPr>
      <w:r>
        <w:rPr>
          <w:sz w:val="2"/>
        </w:rPr>
      </w:r>
    </w:p>
    <w:p>
      <w:pPr>
        <w:spacing w:before="0" w:after="80" w:line="276" w:lineRule="auto"/>
        <w:jc w:val="left"/>
      </w:pPr>
      <w:r>
        <w:rPr>
          <w:rFonts w:ascii="Cambria" w:hAnsi="Cambria"/>
          <w:color w:val="000000"/>
          <w:sz w:val="20"/>
        </w:rPr>
        <w:t># Correlation of the genetic findings with the clinical condition of the patient is required to arrive at accurate diagnosis, prognosis or therapeutic decisions.</w:t>
      </w:r>
    </w:p>
    <w:p>
      <w:pPr>
        <w:spacing w:before="360" w:after="120"/>
        <w:jc w:val="center"/>
      </w:pPr>
      <w:r>
        <w:drawing>
          <wp:inline xmlns:a="http://schemas.openxmlformats.org/drawingml/2006/main" xmlns:pic="http://schemas.openxmlformats.org/drawingml/2006/picture">
            <wp:extent cx="1536700" cy="6731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9"/>
          <w:footerReference w:type="default" r:id="rId10"/>
          <w:headerReference w:type="first" r:id="rId32"/>
          <w:headerReference w:type="even" r:id="rId33"/>
          <w:footerReference w:type="first" r:id="rId34"/>
          <w:footerReference w:type="even" r:id="rId35"/>
          <w:pgSz w:w="11906" w:h="16838"/>
          <w:pgMar w:top="1200" w:right="720" w:bottom="800" w:left="720" w:header="720" w:footer="720" w:gutter="0"/>
          <w:cols w:space="720"/>
          <w:docGrid w:linePitch="360"/>
        </w:sectPr>
      </w:pPr>
    </w:p>
    <w:p>
      <w:pPr>
        <w:keepNext/>
        <w:spacing w:before="360" w:after="80"/>
        <w:jc w:val="left"/>
      </w:pPr>
      <w:r>
        <w:rPr>
          <w:rFonts w:ascii="Cambria" w:hAnsi="Cambria"/>
          <w:b/>
          <w:i w:val="0"/>
          <w:color w:val="1F497D"/>
          <w:sz w:val="26"/>
        </w:rPr>
        <w:t>Clinical Significance:</w:t>
      </w:r>
    </w:p>
    <w:p>
      <w:pPr>
        <w:spacing w:before="0" w:after="214"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3489"/>
        <w:gridCol w:w="3489"/>
        <w:gridCol w:w="3489"/>
      </w:tblGrid>
      <w:tr>
        <w:trPr>
          <w:tblHeader w:val="true"/>
          <w:cantSplit w:val="true"/>
        </w:trPr>
        <w:tc>
          <w:tcPr>
            <w:tcW w:type="dxa" w:w="3756"/>
            <w:shd w:val="clear" w:color="auto" w:fill="1f497d"/>
            <w:tcMar>
              <w:top w:w="60" w:type="dxa"/>
              <w:bottom w:w="60" w:type="dxa"/>
              <w:start w:w="80" w:type="dxa"/>
              <w:end w:w="80" w:type="dxa"/>
            </w:tcMar>
          </w:tcPr>
          <w:p>
            <w:pPr>
              <w:jc w:val="center"/>
            </w:pPr>
            <w:r>
              <w:rPr>
                <w:rFonts w:ascii="Cambria" w:hAnsi="Cambria"/>
                <w:b/>
                <w:color w:val="FFFFFF"/>
                <w:sz w:val="19"/>
              </w:rPr>
              <w:t>Assay Biomarker</w:t>
            </w:r>
          </w:p>
        </w:tc>
        <w:tc>
          <w:tcPr>
            <w:tcW w:type="dxa" w:w="3295"/>
            <w:shd w:val="clear" w:color="auto" w:fill="1f497d"/>
            <w:tcMar>
              <w:top w:w="60" w:type="dxa"/>
              <w:bottom w:w="60" w:type="dxa"/>
              <w:start w:w="80" w:type="dxa"/>
              <w:end w:w="80" w:type="dxa"/>
            </w:tcMar>
          </w:tcPr>
          <w:p>
            <w:pPr>
              <w:jc w:val="center"/>
            </w:pPr>
            <w:r>
              <w:rPr>
                <w:rFonts w:ascii="Cambria" w:hAnsi="Cambria"/>
                <w:b/>
                <w:color w:val="FFFFFF"/>
                <w:sz w:val="19"/>
              </w:rPr>
              <w:t>Result</w:t>
            </w:r>
          </w:p>
        </w:tc>
        <w:tc>
          <w:tcPr>
            <w:tcW w:type="dxa" w:w="3414"/>
            <w:shd w:val="clear" w:color="auto" w:fill="1f497d"/>
            <w:tcMar>
              <w:top w:w="60" w:type="dxa"/>
              <w:bottom w:w="60" w:type="dxa"/>
              <w:start w:w="80" w:type="dxa"/>
              <w:end w:w="80" w:type="dxa"/>
            </w:tcMar>
          </w:tcPr>
          <w:p>
            <w:pPr>
              <w:jc w:val="center"/>
            </w:pPr>
            <w:r>
              <w:rPr>
                <w:rFonts w:ascii="Cambria" w:hAnsi="Cambria"/>
                <w:b/>
                <w:color w:val="FFFFFF"/>
                <w:sz w:val="19"/>
              </w:rPr>
              <w:t>Interpretation</w:t>
            </w:r>
          </w:p>
        </w:tc>
      </w:tr>
      <w:tr>
        <w:trPr>
          <w:cantSplit w:val="true"/>
        </w:trPr>
        <w:tc>
          <w:tcPr>
            <w:tcW w:type="dxa" w:w="3756"/>
            <w:tcMar>
              <w:top w:w="60" w:type="dxa"/>
              <w:bottom w:w="60" w:type="dxa"/>
              <w:start w:w="80" w:type="dxa"/>
              <w:end w:w="80" w:type="dxa"/>
            </w:tcMar>
          </w:tcPr>
          <w:p>
            <w:r>
              <w:rPr>
                <w:rFonts w:ascii="Cambria" w:hAnsi="Cambria"/>
                <w:color w:val="000000"/>
                <w:sz w:val="19"/>
              </w:rPr>
              <w:t>Variant</w:t>
            </w:r>
          </w:p>
        </w:tc>
        <w:tc>
          <w:tcPr>
            <w:tcW w:type="dxa" w:w="3295"/>
            <w:tcMar>
              <w:top w:w="60" w:type="dxa"/>
              <w:bottom w:w="60" w:type="dxa"/>
              <w:start w:w="80" w:type="dxa"/>
              <w:end w:w="80" w:type="dxa"/>
            </w:tcMar>
          </w:tcPr>
          <w:p>
            <w:r>
              <w:rPr>
                <w:rFonts w:ascii="Cambria" w:hAnsi="Cambria"/>
                <w:color w:val="000000"/>
                <w:sz w:val="19"/>
              </w:rPr>
              <w:t>Therapy</w:t>
            </w:r>
          </w:p>
        </w:tc>
        <w:tc>
          <w:tcPr>
            <w:tcW w:type="dxa" w:w="3414"/>
            <w:tcMar>
              <w:top w:w="60" w:type="dxa"/>
              <w:bottom w:w="60" w:type="dxa"/>
              <w:start w:w="80" w:type="dxa"/>
              <w:end w:w="80" w:type="dxa"/>
            </w:tcMar>
          </w:tcPr>
          <w:p>
            <w:r>
              <w:rPr>
                <w:rFonts w:ascii="Cambria" w:hAnsi="Cambria"/>
                <w:color w:val="000000"/>
                <w:sz w:val="19"/>
              </w:rPr>
            </w:r>
          </w:p>
        </w:tc>
      </w:tr>
      <w:tr>
        <w:trPr>
          <w:cantSplit w:val="true"/>
        </w:trPr>
        <w:tc>
          <w:tcPr>
            <w:tcW w:type="dxa" w:w="3756"/>
            <w:shd w:val="clear" w:color="auto" w:fill="f8fafc"/>
            <w:tcMar>
              <w:top w:w="60" w:type="dxa"/>
              <w:bottom w:w="60" w:type="dxa"/>
              <w:start w:w="80" w:type="dxa"/>
              <w:end w:w="80" w:type="dxa"/>
            </w:tcMar>
          </w:tcPr>
          <w:p>
            <w:r>
              <w:rPr>
                <w:rFonts w:ascii="Cambria" w:hAnsi="Cambria"/>
                <w:color w:val="000000"/>
                <w:sz w:val="19"/>
              </w:rPr>
            </w:r>
          </w:p>
        </w:tc>
        <w:tc>
          <w:tcPr>
            <w:tcW w:type="dxa" w:w="3295"/>
            <w:shd w:val="clear" w:color="auto" w:fill="f8fafc"/>
            <w:tcMar>
              <w:top w:w="60" w:type="dxa"/>
              <w:bottom w:w="60" w:type="dxa"/>
              <w:start w:w="80" w:type="dxa"/>
              <w:end w:w="80" w:type="dxa"/>
            </w:tcMar>
          </w:tcPr>
          <w:p>
            <w:r>
              <w:rPr>
                <w:rFonts w:ascii="Cambria" w:hAnsi="Cambria"/>
                <w:color w:val="000000"/>
                <w:sz w:val="19"/>
              </w:rPr>
              <w:t>In This Cancer</w:t>
            </w:r>
          </w:p>
        </w:tc>
        <w:tc>
          <w:tcPr>
            <w:tcW w:type="dxa" w:w="3414"/>
            <w:shd w:val="clear" w:color="auto" w:fill="f8fafc"/>
            <w:tcMar>
              <w:top w:w="60" w:type="dxa"/>
              <w:bottom w:w="60" w:type="dxa"/>
              <w:start w:w="80" w:type="dxa"/>
              <w:end w:w="80" w:type="dxa"/>
            </w:tcMar>
          </w:tcPr>
          <w:p>
            <w:r>
              <w:rPr>
                <w:rFonts w:ascii="Cambria" w:hAnsi="Cambria"/>
                <w:color w:val="000000"/>
                <w:sz w:val="19"/>
              </w:rPr>
              <w:t>In Other Cancer</w:t>
            </w:r>
          </w:p>
        </w:tc>
      </w:tr>
      <w:tr>
        <w:trPr>
          <w:cantSplit w:val="true"/>
        </w:trPr>
        <w:tc>
          <w:tcPr>
            <w:tcW w:type="dxa" w:w="3756"/>
            <w:tcMar>
              <w:top w:w="60" w:type="dxa"/>
              <w:bottom w:w="60" w:type="dxa"/>
              <w:start w:w="80" w:type="dxa"/>
              <w:end w:w="80" w:type="dxa"/>
            </w:tcMar>
          </w:tcPr>
          <w:p>
            <w:r>
              <w:rPr>
                <w:rFonts w:ascii="Cambria" w:hAnsi="Cambria"/>
                <w:color w:val="000000"/>
                <w:sz w:val="19"/>
              </w:rPr>
              <w:t>IIC</w:t>
              <w:br/>
              <w:t>TP53</w:t>
              <w:br/>
              <w:t>p.(C135*)</w:t>
            </w:r>
          </w:p>
        </w:tc>
        <w:tc>
          <w:tcPr>
            <w:tcW w:type="dxa" w:w="3295"/>
            <w:tcMar>
              <w:top w:w="60" w:type="dxa"/>
              <w:bottom w:w="60" w:type="dxa"/>
              <w:start w:w="80" w:type="dxa"/>
              <w:end w:w="80" w:type="dxa"/>
            </w:tcMar>
          </w:tcPr>
          <w:p>
            <w:r>
              <w:rPr>
                <w:rFonts w:ascii="Cambria" w:hAnsi="Cambria"/>
                <w:color w:val="000000"/>
                <w:sz w:val="19"/>
              </w:rPr>
              <w:t>▪None*</w:t>
            </w:r>
          </w:p>
        </w:tc>
        <w:tc>
          <w:tcPr>
            <w:tcW w:type="dxa" w:w="3414"/>
            <w:tcMar>
              <w:top w:w="60" w:type="dxa"/>
              <w:bottom w:w="60" w:type="dxa"/>
              <w:start w:w="80" w:type="dxa"/>
              <w:end w:w="80" w:type="dxa"/>
            </w:tcMar>
          </w:tcPr>
          <w:p>
            <w:r>
              <w:rPr>
                <w:rFonts w:ascii="Cambria" w:hAnsi="Cambria"/>
                <w:color w:val="000000"/>
                <w:sz w:val="19"/>
              </w:rPr>
              <w:t>▪None*</w:t>
            </w:r>
          </w:p>
        </w:tc>
      </w:tr>
    </w:tbl>
    <w:p>
      <w:pPr>
        <w:spacing w:before="0" w:after="12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3489"/>
        <w:gridCol w:w="3489"/>
        <w:gridCol w:w="3489"/>
      </w:tblGrid>
      <w:tr>
        <w:trPr>
          <w:tblHeader w:val="true"/>
          <w:cantSplit w:val="true"/>
        </w:trPr>
        <w:tc>
          <w:tcPr>
            <w:tcW w:type="dxa" w:w="2927"/>
            <w:shd w:val="clear" w:color="auto" w:fill="1f497d"/>
            <w:tcMar>
              <w:top w:w="60" w:type="dxa"/>
              <w:bottom w:w="60" w:type="dxa"/>
              <w:start w:w="80" w:type="dxa"/>
              <w:end w:w="80" w:type="dxa"/>
            </w:tcMar>
          </w:tcPr>
          <w:p>
            <w:pPr>
              <w:jc w:val="center"/>
            </w:pPr>
            <w:r>
              <w:rPr>
                <w:rFonts w:ascii="Cambria" w:hAnsi="Cambria"/>
                <w:b/>
                <w:color w:val="FFFFFF"/>
                <w:sz w:val="19"/>
              </w:rPr>
              <w:t>Variant</w:t>
            </w:r>
          </w:p>
        </w:tc>
        <w:tc>
          <w:tcPr>
            <w:tcW w:type="dxa" w:w="3769"/>
            <w:shd w:val="clear" w:color="auto" w:fill="1f497d"/>
            <w:tcMar>
              <w:top w:w="60" w:type="dxa"/>
              <w:bottom w:w="60" w:type="dxa"/>
              <w:start w:w="80" w:type="dxa"/>
              <w:end w:w="80" w:type="dxa"/>
            </w:tcMar>
          </w:tcPr>
          <w:p>
            <w:pPr>
              <w:jc w:val="center"/>
            </w:pPr>
            <w:r>
              <w:rPr>
                <w:rFonts w:ascii="Cambria" w:hAnsi="Cambria"/>
                <w:b/>
                <w:color w:val="FFFFFF"/>
                <w:sz w:val="19"/>
              </w:rPr>
              <w:t>Diagnostic Significance</w:t>
            </w:r>
          </w:p>
        </w:tc>
        <w:tc>
          <w:tcPr>
            <w:tcW w:type="dxa" w:w="3769"/>
            <w:shd w:val="clear" w:color="auto" w:fill="1f497d"/>
            <w:tcMar>
              <w:top w:w="60" w:type="dxa"/>
              <w:bottom w:w="60" w:type="dxa"/>
              <w:start w:w="80" w:type="dxa"/>
              <w:end w:w="80" w:type="dxa"/>
            </w:tcMar>
          </w:tcPr>
          <w:p>
            <w:pPr>
              <w:jc w:val="center"/>
            </w:pPr>
            <w:r>
              <w:rPr>
                <w:rFonts w:ascii="Cambria" w:hAnsi="Cambria"/>
                <w:b/>
                <w:color w:val="FFFFFF"/>
                <w:sz w:val="19"/>
              </w:rPr>
              <w:t>Prognostic Significance</w:t>
            </w:r>
          </w:p>
        </w:tc>
      </w:tr>
      <w:tr>
        <w:trPr>
          <w:cantSplit w:val="true"/>
        </w:trPr>
        <w:tc>
          <w:tcPr>
            <w:tcW w:type="dxa" w:w="2927"/>
            <w:tcMar>
              <w:top w:w="60" w:type="dxa"/>
              <w:bottom w:w="60" w:type="dxa"/>
              <w:start w:w="80" w:type="dxa"/>
              <w:end w:w="80" w:type="dxa"/>
            </w:tcMar>
          </w:tcPr>
          <w:p>
            <w:r>
              <w:rPr>
                <w:rFonts w:ascii="Cambria" w:hAnsi="Cambria"/>
                <w:color w:val="000000"/>
                <w:sz w:val="19"/>
              </w:rPr>
              <w:t>TP53</w:t>
              <w:br/>
              <w:t>p.(C135*)</w:t>
            </w:r>
          </w:p>
        </w:tc>
        <w:tc>
          <w:tcPr>
            <w:tcW w:type="dxa" w:w="3769"/>
            <w:tcMar>
              <w:top w:w="60" w:type="dxa"/>
              <w:bottom w:w="60" w:type="dxa"/>
              <w:start w:w="80" w:type="dxa"/>
              <w:end w:w="80" w:type="dxa"/>
            </w:tcMar>
          </w:tcPr>
          <w:p>
            <w:r>
              <w:rPr>
                <w:rFonts w:ascii="Cambria" w:hAnsi="Cambria"/>
                <w:color w:val="000000"/>
                <w:sz w:val="19"/>
              </w:rPr>
              <w:t>None*</w:t>
            </w:r>
          </w:p>
        </w:tc>
        <w:tc>
          <w:tcPr>
            <w:tcW w:type="dxa" w:w="3769"/>
            <w:tcMar>
              <w:top w:w="60" w:type="dxa"/>
              <w:bottom w:w="60" w:type="dxa"/>
              <w:start w:w="80" w:type="dxa"/>
              <w:end w:w="80" w:type="dxa"/>
            </w:tcMar>
          </w:tcPr>
          <w:p>
            <w:r>
              <w:rPr>
                <w:rFonts w:ascii="Cambria" w:hAnsi="Cambria"/>
                <w:color w:val="000000"/>
                <w:sz w:val="19"/>
              </w:rPr>
              <w:t>None*</w:t>
            </w:r>
          </w:p>
        </w:tc>
      </w:tr>
    </w:tbl>
    <w:p>
      <w:pPr>
        <w:spacing w:before="0" w:after="120" w:line="20" w:lineRule="exact"/>
      </w:pPr>
      <w:r>
        <w:rPr>
          <w:sz w:val="2"/>
        </w:rPr>
      </w:r>
    </w:p>
    <w:p>
      <w:pPr>
        <w:keepNext/>
        <w:spacing w:before="262" w:after="80"/>
        <w:jc w:val="left"/>
      </w:pPr>
      <w:r>
        <w:rPr>
          <w:rFonts w:ascii="Cambria" w:hAnsi="Cambria"/>
          <w:b/>
          <w:i w:val="0"/>
          <w:color w:val="1F497D"/>
          <w:sz w:val="26"/>
        </w:rPr>
        <w:t>Biomarker Description:</w:t>
      </w:r>
    </w:p>
    <w:p>
      <w:pPr>
        <w:spacing w:before="0" w:after="212"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1578"/>
            <w:shd w:val="clear" w:color="auto" w:fill="1f497d"/>
            <w:tcMar>
              <w:top w:w="60" w:type="dxa"/>
              <w:bottom w:w="60" w:type="dxa"/>
              <w:start w:w="80" w:type="dxa"/>
              <w:end w:w="80" w:type="dxa"/>
            </w:tcMar>
          </w:tcPr>
          <w:p>
            <w:pPr>
              <w:jc w:val="center"/>
            </w:pPr>
            <w:r>
              <w:rPr>
                <w:rFonts w:ascii="Cambria" w:hAnsi="Cambria"/>
                <w:b/>
                <w:color w:val="FFFFFF"/>
                <w:sz w:val="19"/>
              </w:rPr>
              <w:t>Variant</w:t>
            </w:r>
          </w:p>
        </w:tc>
        <w:tc>
          <w:tcPr>
            <w:tcW w:type="dxa" w:w="8888"/>
            <w:shd w:val="clear" w:color="auto" w:fill="1f497d"/>
            <w:tcMar>
              <w:top w:w="60" w:type="dxa"/>
              <w:bottom w:w="60" w:type="dxa"/>
              <w:start w:w="80" w:type="dxa"/>
              <w:end w:w="80" w:type="dxa"/>
            </w:tcMar>
          </w:tcPr>
          <w:p>
            <w:pPr>
              <w:jc w:val="center"/>
            </w:pPr>
            <w:r>
              <w:rPr>
                <w:rFonts w:ascii="Cambria" w:hAnsi="Cambria"/>
                <w:b/>
                <w:color w:val="FFFFFF"/>
                <w:sz w:val="19"/>
              </w:rPr>
              <w:t>Biomarker Description</w:t>
            </w:r>
          </w:p>
        </w:tc>
      </w:tr>
      <w:tr>
        <w:trPr>
          <w:cantSplit w:val="true"/>
        </w:trPr>
        <w:tc>
          <w:tcPr>
            <w:tcW w:type="dxa" w:w="1578"/>
            <w:tcMar>
              <w:top w:w="60" w:type="dxa"/>
              <w:bottom w:w="60" w:type="dxa"/>
              <w:start w:w="80" w:type="dxa"/>
              <w:end w:w="80" w:type="dxa"/>
            </w:tcMar>
          </w:tcPr>
          <w:p>
            <w:r>
              <w:rPr>
                <w:rFonts w:ascii="Cambria" w:hAnsi="Cambria"/>
                <w:color w:val="000000"/>
                <w:sz w:val="19"/>
              </w:rPr>
              <w:t>TP53</w:t>
              <w:br/>
              <w:t>NM 000546.6</w:t>
              <w:br/>
              <w:t>_</w:t>
              <w:br/>
              <w:t>chr17:7578525</w:t>
              <w:br/>
              <w:t>c.405C&gt;A</w:t>
              <w:br/>
              <w:t>p.(C135*)</w:t>
            </w:r>
          </w:p>
        </w:tc>
        <w:tc>
          <w:tcPr>
            <w:tcW w:type="dxa" w:w="8888"/>
            <w:tcMar>
              <w:top w:w="60" w:type="dxa"/>
              <w:bottom w:w="60" w:type="dxa"/>
              <w:start w:w="80" w:type="dxa"/>
              <w:end w:w="80" w:type="dxa"/>
            </w:tcMar>
          </w:tcPr>
          <w:p>
            <w:r>
              <w:rPr>
                <w:rFonts w:ascii="Cambria" w:hAnsi="Cambria"/>
                <w:b/>
                <w:color w:val="C00000"/>
                <w:sz w:val="19"/>
              </w:rPr>
              <w:t>The TP53 gene encodes the tumor suppressor protein p53, which binds to DNA and activates</w:t>
              <w:br/>
              <w:t>transcription in response to diverse cellular stresses to induce cell cycle arrest, apoptosis, or</w:t>
              <w:br/>
              <w:t>DNA repair[1]. In unstressed cells, TP53 is kept inactive by targeted degradation via MDM2, a</w:t>
              <w:br/>
              <w:t>substrate recognition factor for ubiquitin-dependent proteolysis[2]. Alterations in TP53 are</w:t>
              <w:br/>
              <w:t>required for oncogenesis as they result in loss of protein function and gain of transforming</w:t>
              <w:br/>
              <w:t>potential[3]. Germline mutations in TP53 are the underlying cause of Li-Fraumeni syndrome, a</w:t>
              <w:br/>
              <w:t>complex hereditary cancer predisposition disorder associated with early-onset cancers[4,5].</w:t>
              <w:br/>
              <w:t>TP53 is the most frequently mutated gene in the cancer genome with approximately half of all</w:t>
              <w:br/>
              <w:t>cancers experiencing TP53 mutations. Ovarian, head and neck, esophageal, and lung squamous</w:t>
              <w:br/>
              <w:t>cancers have particularly high TP53 mutation rates (60-90%)[6,7,8,9,10,11]. Approximately</w:t>
              <w:br/>
              <w:t>two-thirds of TP53 mutations are missense mutations and several recurrent missense</w:t>
              <w:br/>
              <w:t>mutations are common, including substitutions at codons R158, R175, Y220, R248, R273, and</w:t>
              <w:br/>
              <w:t>R282[6,7]. Invariably, recurrent missense mutations in TP53 inactivate its ability to bind DNA</w:t>
              <w:br/>
              <w:t>and activate transcription of target genes[12,13,14,15]. Alterations in TP53 are also observed</w:t>
              <w:br/>
              <w:t>in pediatric cancers[6,7]. Somatic mutations are observed in 53% of non-Hodgkin lymphoma,</w:t>
              <w:br/>
              <w:t>24% of soft tissue sarcoma, 19% of glioma, 13% of bone cancer, 9% of B-lymphoblastic</w:t>
              <w:br/>
              <w:t>leukemia/lymphoma, 4% of embryonal tumors, 3% of Wilms tumor and leukemia, 2% of T-</w:t>
              <w:br/>
              <w:t>lymphoblastic leukemia/lymphoma, and less than 1% of peripheral nervous system cancers (5</w:t>
              <w:br/>
              <w:t>in 1158 cases )[6,7]. Biallelic loss of TP53 is observed in 10% of bone cancer, 2% of Wilms</w:t>
            </w:r>
          </w:p>
        </w:tc>
      </w:tr>
    </w:tbl>
    <w:p>
      <w:pPr>
        <w:spacing w:before="0" w:after="120" w:line="20" w:lineRule="exact"/>
      </w:pPr>
      <w:r>
        <w:rPr>
          <w:sz w:val="2"/>
        </w:rPr>
      </w:r>
    </w:p>
    <w:p>
      <w:pPr>
        <w:spacing w:before="167" w:after="120"/>
        <w:jc w:val="center"/>
      </w:pPr>
      <w:r>
        <w:drawing>
          <wp:inline xmlns:a="http://schemas.openxmlformats.org/drawingml/2006/main" xmlns:pic="http://schemas.openxmlformats.org/drawingml/2006/picture">
            <wp:extent cx="1536700" cy="673100"/>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4"/>
          <w:footerReference w:type="default" r:id="rId15"/>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1093"/>
            <w:shd w:val="clear" w:color="auto" w:fill="1f497d"/>
            <w:tcMar>
              <w:top w:w="60" w:type="dxa"/>
              <w:bottom w:w="60" w:type="dxa"/>
              <w:start w:w="80" w:type="dxa"/>
              <w:end w:w="80" w:type="dxa"/>
            </w:tcMar>
          </w:tcPr>
          <w:p>
            <w:pPr>
              <w:jc w:val="center"/>
            </w:pPr>
            <w:r>
              <w:rPr>
                <w:rFonts w:ascii="Cambria" w:hAnsi="Cambria"/>
                <w:b/>
                <w:color w:val="FFFFFF"/>
                <w:sz w:val="19"/>
              </w:rPr>
              <w:t>Variant</w:t>
            </w:r>
          </w:p>
        </w:tc>
        <w:tc>
          <w:tcPr>
            <w:tcW w:type="dxa" w:w="9372"/>
            <w:shd w:val="clear" w:color="auto" w:fill="1f497d"/>
            <w:tcMar>
              <w:top w:w="60" w:type="dxa"/>
              <w:bottom w:w="60" w:type="dxa"/>
              <w:start w:w="80" w:type="dxa"/>
              <w:end w:w="80" w:type="dxa"/>
            </w:tcMar>
          </w:tcPr>
          <w:p>
            <w:pPr>
              <w:jc w:val="center"/>
            </w:pPr>
            <w:r>
              <w:rPr>
                <w:rFonts w:ascii="Cambria" w:hAnsi="Cambria"/>
                <w:b/>
                <w:color w:val="FFFFFF"/>
                <w:sz w:val="19"/>
              </w:rPr>
              <w:t>Biomarker Description</w:t>
            </w:r>
          </w:p>
        </w:tc>
      </w:tr>
      <w:tr>
        <w:trPr>
          <w:cantSplit w:val="true"/>
        </w:trPr>
        <w:tc>
          <w:tcPr>
            <w:tcW w:type="dxa" w:w="1093"/>
            <w:tcMar>
              <w:top w:w="60" w:type="dxa"/>
              <w:bottom w:w="60" w:type="dxa"/>
              <w:start w:w="80" w:type="dxa"/>
              <w:end w:w="80" w:type="dxa"/>
            </w:tcMar>
          </w:tcPr>
          <w:p>
            <w:r>
              <w:rPr>
                <w:rFonts w:ascii="Cambria" w:hAnsi="Cambria"/>
                <w:color w:val="000000"/>
                <w:sz w:val="19"/>
              </w:rPr>
            </w:r>
          </w:p>
        </w:tc>
        <w:tc>
          <w:tcPr>
            <w:tcW w:type="dxa" w:w="9372"/>
            <w:tcMar>
              <w:top w:w="60" w:type="dxa"/>
              <w:bottom w:w="60" w:type="dxa"/>
              <w:start w:w="80" w:type="dxa"/>
              <w:end w:w="80" w:type="dxa"/>
            </w:tcMar>
          </w:tcPr>
          <w:p>
            <w:r>
              <w:rPr>
                <w:rFonts w:ascii="Cambria" w:hAnsi="Cambria"/>
                <w:b/>
                <w:color w:val="C00000"/>
                <w:sz w:val="19"/>
              </w:rPr>
              <w:t>tumor, and less than 1% of B-lymphoblastic leukemia/lymphoma (2 in 731 cases) and</w:t>
              <w:br/>
              <w:t>leukemia (1 in 250 cases)[6,7].</w:t>
              <w:br/>
              <w:t>The small molecule p53 reactivator, PC14586[16] (2020), received a fast track designation by</w:t>
              <w:br/>
              <w:t>the FDA for advanced tumors harboring a TP53 Y220C mutation. The FDA has granted fast</w:t>
              <w:br/>
              <w:t>track designation to the p53 reactivator, eprenetapopt[17], (2019) and breakthrough</w:t>
              <w:br/>
              <w:t>designation[18] (2020) in combination with azacitidine or azacitidine and venetoclax for acute</w:t>
              <w:br/>
              <w:t>myeloid leukemia patients (AML) and myelodysplastic syndrome (MDS) harboring a TP53</w:t>
              <w:br/>
              <w:t>mutation, respectively. In addition to investigational therapies aimed at restoring wild-type</w:t>
              <w:br/>
              <w:t>TP53 activity, compounds that induce synthetic lethality are also under clinical</w:t>
              <w:br/>
              <w:t>evaluation[19,20]. TP53 mutation are a diagnostic marker of SHH-activated, TP53-mutant</w:t>
              <w:br/>
              <w:t>medulloblastoma[21]. TP53 mutations confer poor prognosis and poor risk in multiple blood</w:t>
              <w:br/>
              <w:t>cancers including AML, MDS, myeloproliferative neoplasms (MPN), and chronic lymphocytic</w:t>
              <w:br/>
              <w:t>leukemia (CLL), and acute lymphoblastic leukemia (ALL)[22,23,24,25,26,27]. In mantle cell</w:t>
              <w:br/>
              <w:t>lymphoma, TP53 mutations are associated with poor prognosis when treated with</w:t>
              <w:br/>
              <w:t>conventional therapy including hematopoietic cell transplant[28]. Mono- and bi-allelic</w:t>
              <w:br/>
              <w:t>mutations in TP53 confer unique characteristics in MDS, with multi-hit patients also</w:t>
              <w:br/>
              <w:t>experiencing associations with complex karyotype, few co-occurring mutations, and high-risk</w:t>
              <w:br/>
              <w:t>disease presentation as well as predicted death and leukemic transformation independent of</w:t>
              <w:br/>
              <w:t>the IPSS-R staging system[29].</w:t>
            </w:r>
          </w:p>
        </w:tc>
      </w:tr>
    </w:tbl>
    <w:p>
      <w:pPr>
        <w:spacing w:before="0" w:after="120" w:line="20" w:lineRule="exact"/>
      </w:pPr>
      <w:r>
        <w:rPr>
          <w:sz w:val="2"/>
        </w:rPr>
      </w:r>
    </w:p>
    <w:p>
      <w:pPr>
        <w:keepNext/>
        <w:spacing w:before="262" w:after="80"/>
        <w:jc w:val="left"/>
      </w:pPr>
      <w:r>
        <w:rPr>
          <w:rFonts w:ascii="Cambria" w:hAnsi="Cambria"/>
          <w:b/>
          <w:i w:val="0"/>
          <w:color w:val="1F497D"/>
          <w:sz w:val="26"/>
        </w:rPr>
        <w:t>Therapy &amp; Clinical Trials:</w:t>
      </w:r>
    </w:p>
    <w:p>
      <w:pPr>
        <w:keepNext/>
        <w:spacing w:before="360" w:after="60"/>
        <w:jc w:val="left"/>
      </w:pPr>
      <w:r>
        <w:rPr>
          <w:rFonts w:ascii="Cambria" w:hAnsi="Cambria"/>
          <w:b/>
          <w:i w:val="0"/>
          <w:color w:val="008080"/>
          <w:sz w:val="22"/>
        </w:rPr>
        <w:t>TP53 p.(C135*) c.405C&gt;A</w:t>
      </w:r>
    </w:p>
    <w:p>
      <w:pPr>
        <w:spacing w:before="0" w:after="84"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744"/>
        <w:gridCol w:w="1744"/>
        <w:gridCol w:w="1744"/>
        <w:gridCol w:w="1744"/>
        <w:gridCol w:w="1744"/>
        <w:gridCol w:w="1744"/>
      </w:tblGrid>
      <w:tr>
        <w:trPr>
          <w:tblHeader w:val="true"/>
          <w:cantSplit w:val="true"/>
        </w:trPr>
        <w:tc>
          <w:tcPr>
            <w:tcW w:type="dxa" w:w="2892"/>
            <w:shd w:val="clear" w:color="auto" w:fill="1f497d"/>
            <w:tcMar>
              <w:top w:w="60" w:type="dxa"/>
              <w:bottom w:w="60" w:type="dxa"/>
              <w:start w:w="80" w:type="dxa"/>
              <w:end w:w="80" w:type="dxa"/>
            </w:tcMar>
          </w:tcPr>
          <w:p>
            <w:pPr>
              <w:jc w:val="center"/>
            </w:pPr>
            <w:r>
              <w:rPr>
                <w:rFonts w:ascii="Cambria" w:hAnsi="Cambria"/>
                <w:b/>
                <w:color w:val="FFFFFF"/>
                <w:sz w:val="19"/>
              </w:rPr>
              <w:t>Therapy</w:t>
            </w:r>
          </w:p>
        </w:tc>
        <w:tc>
          <w:tcPr>
            <w:tcW w:type="dxa" w:w="1910"/>
            <w:shd w:val="clear" w:color="auto" w:fill="1f497d"/>
            <w:tcMar>
              <w:top w:w="60" w:type="dxa"/>
              <w:bottom w:w="60" w:type="dxa"/>
              <w:start w:w="80" w:type="dxa"/>
              <w:end w:w="80" w:type="dxa"/>
            </w:tcMar>
          </w:tcPr>
          <w:p>
            <w:pPr>
              <w:jc w:val="center"/>
            </w:pPr>
            <w:r>
              <w:rPr>
                <w:rFonts w:ascii="Cambria" w:hAnsi="Cambria"/>
                <w:b/>
                <w:color w:val="FFFFFF"/>
                <w:sz w:val="19"/>
              </w:rPr>
              <w:t>FDA</w:t>
            </w:r>
          </w:p>
        </w:tc>
        <w:tc>
          <w:tcPr>
            <w:tcW w:type="dxa" w:w="1398"/>
            <w:shd w:val="clear" w:color="auto" w:fill="1f497d"/>
            <w:tcMar>
              <w:top w:w="60" w:type="dxa"/>
              <w:bottom w:w="60" w:type="dxa"/>
              <w:start w:w="80" w:type="dxa"/>
              <w:end w:w="80" w:type="dxa"/>
            </w:tcMar>
          </w:tcPr>
          <w:p>
            <w:pPr>
              <w:jc w:val="center"/>
            </w:pPr>
            <w:r>
              <w:rPr>
                <w:rFonts w:ascii="Cambria" w:hAnsi="Cambria"/>
                <w:b/>
                <w:color w:val="FFFFFF"/>
                <w:sz w:val="19"/>
              </w:rPr>
              <w:t>NCCN</w:t>
            </w:r>
          </w:p>
        </w:tc>
        <w:tc>
          <w:tcPr>
            <w:tcW w:type="dxa" w:w="1307"/>
            <w:shd w:val="clear" w:color="auto" w:fill="1f497d"/>
            <w:tcMar>
              <w:top w:w="60" w:type="dxa"/>
              <w:bottom w:w="60" w:type="dxa"/>
              <w:start w:w="80" w:type="dxa"/>
              <w:end w:w="80" w:type="dxa"/>
            </w:tcMar>
          </w:tcPr>
          <w:p>
            <w:pPr>
              <w:jc w:val="center"/>
            </w:pPr>
            <w:r>
              <w:rPr>
                <w:rFonts w:ascii="Cambria" w:hAnsi="Cambria"/>
                <w:b/>
                <w:color w:val="FFFFFF"/>
                <w:sz w:val="19"/>
              </w:rPr>
              <w:t>EMA</w:t>
            </w:r>
          </w:p>
        </w:tc>
        <w:tc>
          <w:tcPr>
            <w:tcW w:type="dxa" w:w="1398"/>
            <w:shd w:val="clear" w:color="auto" w:fill="1f497d"/>
            <w:tcMar>
              <w:top w:w="60" w:type="dxa"/>
              <w:bottom w:w="60" w:type="dxa"/>
              <w:start w:w="80" w:type="dxa"/>
              <w:end w:w="80" w:type="dxa"/>
            </w:tcMar>
          </w:tcPr>
          <w:p>
            <w:pPr>
              <w:jc w:val="center"/>
            </w:pPr>
            <w:r>
              <w:rPr>
                <w:rFonts w:ascii="Cambria" w:hAnsi="Cambria"/>
                <w:b/>
                <w:color w:val="FFFFFF"/>
                <w:sz w:val="19"/>
              </w:rPr>
              <w:t>ESMO</w:t>
            </w:r>
          </w:p>
        </w:tc>
        <w:tc>
          <w:tcPr>
            <w:tcW w:type="dxa" w:w="1561"/>
            <w:shd w:val="clear" w:color="auto" w:fill="1f497d"/>
            <w:tcMar>
              <w:top w:w="60" w:type="dxa"/>
              <w:bottom w:w="60" w:type="dxa"/>
              <w:start w:w="80" w:type="dxa"/>
              <w:end w:w="80" w:type="dxa"/>
            </w:tcMar>
          </w:tcPr>
          <w:p>
            <w:pPr>
              <w:jc w:val="center"/>
            </w:pPr>
            <w:r>
              <w:rPr>
                <w:rFonts w:ascii="Cambria" w:hAnsi="Cambria"/>
                <w:b/>
                <w:color w:val="FFFFFF"/>
                <w:sz w:val="19"/>
              </w:rPr>
              <w:t>Trials</w:t>
            </w:r>
          </w:p>
        </w:tc>
      </w:tr>
      <w:tr>
        <w:trPr>
          <w:cantSplit w:val="true"/>
        </w:trPr>
        <w:tc>
          <w:tcPr>
            <w:tcW w:type="dxa" w:w="2892"/>
            <w:tcMar>
              <w:top w:w="60" w:type="dxa"/>
              <w:bottom w:w="60" w:type="dxa"/>
              <w:start w:w="80" w:type="dxa"/>
              <w:end w:w="80" w:type="dxa"/>
            </w:tcMar>
          </w:tcPr>
          <w:p>
            <w:r>
              <w:rPr>
                <w:rFonts w:ascii="Cambria" w:hAnsi="Cambria"/>
                <w:color w:val="000000"/>
                <w:sz w:val="19"/>
              </w:rPr>
              <w:t>niraparib</w:t>
            </w:r>
          </w:p>
        </w:tc>
        <w:tc>
          <w:tcPr>
            <w:tcW w:type="dxa" w:w="1910"/>
            <w:tcMar>
              <w:top w:w="60" w:type="dxa"/>
              <w:bottom w:w="60" w:type="dxa"/>
              <w:start w:w="80" w:type="dxa"/>
              <w:end w:w="80" w:type="dxa"/>
            </w:tcMar>
          </w:tcPr>
          <w:p>
            <w:r>
              <w:rPr>
                <w:rFonts w:ascii="Cambria" w:hAnsi="Cambria"/>
                <w:color w:val="000000"/>
                <w:sz w:val="19"/>
              </w:rPr>
              <w:t>X</w:t>
            </w:r>
          </w:p>
        </w:tc>
        <w:tc>
          <w:tcPr>
            <w:tcW w:type="dxa" w:w="1398"/>
            <w:tcMar>
              <w:top w:w="60" w:type="dxa"/>
              <w:bottom w:w="60" w:type="dxa"/>
              <w:start w:w="80" w:type="dxa"/>
              <w:end w:w="80" w:type="dxa"/>
            </w:tcMar>
          </w:tcPr>
          <w:p>
            <w:r>
              <w:rPr>
                <w:rFonts w:ascii="Cambria" w:hAnsi="Cambria"/>
                <w:color w:val="000000"/>
                <w:sz w:val="19"/>
              </w:rPr>
              <w:t>X</w:t>
            </w:r>
          </w:p>
        </w:tc>
        <w:tc>
          <w:tcPr>
            <w:tcW w:type="dxa" w:w="1307"/>
            <w:tcMar>
              <w:top w:w="60" w:type="dxa"/>
              <w:bottom w:w="60" w:type="dxa"/>
              <w:start w:w="80" w:type="dxa"/>
              <w:end w:w="80" w:type="dxa"/>
            </w:tcMar>
          </w:tcPr>
          <w:p>
            <w:r>
              <w:rPr>
                <w:rFonts w:ascii="Cambria" w:hAnsi="Cambria"/>
                <w:color w:val="000000"/>
                <w:sz w:val="19"/>
              </w:rPr>
              <w:t>X</w:t>
            </w:r>
          </w:p>
        </w:tc>
        <w:tc>
          <w:tcPr>
            <w:tcW w:type="dxa" w:w="1398"/>
            <w:tcMar>
              <w:top w:w="60" w:type="dxa"/>
              <w:bottom w:w="60" w:type="dxa"/>
              <w:start w:w="80" w:type="dxa"/>
              <w:end w:w="80" w:type="dxa"/>
            </w:tcMar>
          </w:tcPr>
          <w:p>
            <w:r>
              <w:rPr>
                <w:rFonts w:ascii="Cambria" w:hAnsi="Cambria"/>
                <w:color w:val="000000"/>
                <w:sz w:val="19"/>
              </w:rPr>
              <w:t>X</w:t>
            </w:r>
          </w:p>
        </w:tc>
        <w:tc>
          <w:tcPr>
            <w:tcW w:type="dxa" w:w="1561"/>
            <w:tcMar>
              <w:top w:w="60" w:type="dxa"/>
              <w:bottom w:w="60" w:type="dxa"/>
              <w:start w:w="80" w:type="dxa"/>
              <w:end w:w="80" w:type="dxa"/>
            </w:tcMar>
          </w:tcPr>
          <w:p>
            <w:r>
              <w:rPr>
                <w:rFonts w:ascii="Cambria" w:hAnsi="Cambria"/>
                <w:color w:val="000000"/>
                <w:sz w:val="19"/>
              </w:rPr>
              <w:t>II</w:t>
            </w:r>
          </w:p>
        </w:tc>
      </w:tr>
      <w:tr>
        <w:trPr>
          <w:cantSplit w:val="true"/>
        </w:trPr>
        <w:tc>
          <w:tcPr>
            <w:tcW w:type="dxa" w:w="2892"/>
            <w:shd w:val="clear" w:color="auto" w:fill="f8fafc"/>
            <w:tcMar>
              <w:top w:w="60" w:type="dxa"/>
              <w:bottom w:w="60" w:type="dxa"/>
              <w:start w:w="80" w:type="dxa"/>
              <w:end w:w="80" w:type="dxa"/>
            </w:tcMar>
          </w:tcPr>
          <w:p>
            <w:r>
              <w:rPr>
                <w:rFonts w:ascii="Cambria" w:hAnsi="Cambria"/>
                <w:color w:val="000000"/>
                <w:sz w:val="19"/>
              </w:rPr>
              <w:t>atezolizumab</w:t>
            </w:r>
          </w:p>
        </w:tc>
        <w:tc>
          <w:tcPr>
            <w:tcW w:type="dxa" w:w="1910"/>
            <w:shd w:val="clear" w:color="auto" w:fill="f8fafc"/>
            <w:tcMar>
              <w:top w:w="60" w:type="dxa"/>
              <w:bottom w:w="60" w:type="dxa"/>
              <w:start w:w="80" w:type="dxa"/>
              <w:end w:w="80" w:type="dxa"/>
            </w:tcMar>
          </w:tcPr>
          <w:p>
            <w:r>
              <w:rPr>
                <w:rFonts w:ascii="Cambria" w:hAnsi="Cambria"/>
                <w:color w:val="000000"/>
                <w:sz w:val="19"/>
              </w:rPr>
              <w:t>X</w:t>
            </w:r>
          </w:p>
        </w:tc>
        <w:tc>
          <w:tcPr>
            <w:tcW w:type="dxa" w:w="1398"/>
            <w:shd w:val="clear" w:color="auto" w:fill="f8fafc"/>
            <w:tcMar>
              <w:top w:w="60" w:type="dxa"/>
              <w:bottom w:w="60" w:type="dxa"/>
              <w:start w:w="80" w:type="dxa"/>
              <w:end w:w="80" w:type="dxa"/>
            </w:tcMar>
          </w:tcPr>
          <w:p>
            <w:r>
              <w:rPr>
                <w:rFonts w:ascii="Cambria" w:hAnsi="Cambria"/>
                <w:color w:val="000000"/>
                <w:sz w:val="19"/>
              </w:rPr>
              <w:t>X</w:t>
            </w:r>
          </w:p>
        </w:tc>
        <w:tc>
          <w:tcPr>
            <w:tcW w:type="dxa" w:w="1307"/>
            <w:shd w:val="clear" w:color="auto" w:fill="f8fafc"/>
            <w:tcMar>
              <w:top w:w="60" w:type="dxa"/>
              <w:bottom w:w="60" w:type="dxa"/>
              <w:start w:w="80" w:type="dxa"/>
              <w:end w:w="80" w:type="dxa"/>
            </w:tcMar>
          </w:tcPr>
          <w:p>
            <w:r>
              <w:rPr>
                <w:rFonts w:ascii="Cambria" w:hAnsi="Cambria"/>
                <w:color w:val="000000"/>
                <w:sz w:val="19"/>
              </w:rPr>
              <w:t>X</w:t>
            </w:r>
          </w:p>
        </w:tc>
        <w:tc>
          <w:tcPr>
            <w:tcW w:type="dxa" w:w="1398"/>
            <w:shd w:val="clear" w:color="auto" w:fill="f8fafc"/>
            <w:tcMar>
              <w:top w:w="60" w:type="dxa"/>
              <w:bottom w:w="60" w:type="dxa"/>
              <w:start w:w="80" w:type="dxa"/>
              <w:end w:w="80" w:type="dxa"/>
            </w:tcMar>
          </w:tcPr>
          <w:p>
            <w:r>
              <w:rPr>
                <w:rFonts w:ascii="Cambria" w:hAnsi="Cambria"/>
                <w:color w:val="000000"/>
                <w:sz w:val="19"/>
              </w:rPr>
              <w:t>X</w:t>
            </w:r>
          </w:p>
        </w:tc>
        <w:tc>
          <w:tcPr>
            <w:tcW w:type="dxa" w:w="1561"/>
            <w:shd w:val="clear" w:color="auto" w:fill="f8fafc"/>
            <w:tcMar>
              <w:top w:w="60" w:type="dxa"/>
              <w:bottom w:w="60" w:type="dxa"/>
              <w:start w:w="80" w:type="dxa"/>
              <w:end w:w="80" w:type="dxa"/>
            </w:tcMar>
          </w:tcPr>
          <w:p>
            <w:r>
              <w:rPr>
                <w:rFonts w:ascii="Cambria" w:hAnsi="Cambria"/>
                <w:color w:val="000000"/>
                <w:sz w:val="19"/>
              </w:rPr>
              <w:t>II</w:t>
            </w:r>
          </w:p>
        </w:tc>
      </w:tr>
      <w:tr>
        <w:trPr>
          <w:cantSplit w:val="true"/>
        </w:trPr>
        <w:tc>
          <w:tcPr>
            <w:tcW w:type="dxa" w:w="2892"/>
            <w:tcMar>
              <w:top w:w="60" w:type="dxa"/>
              <w:bottom w:w="60" w:type="dxa"/>
              <w:start w:w="80" w:type="dxa"/>
              <w:end w:w="80" w:type="dxa"/>
            </w:tcMar>
          </w:tcPr>
          <w:p>
            <w:r>
              <w:rPr>
                <w:rFonts w:ascii="Cambria" w:hAnsi="Cambria"/>
                <w:color w:val="000000"/>
                <w:sz w:val="19"/>
              </w:rPr>
              <w:t>azenosertib</w:t>
            </w:r>
          </w:p>
        </w:tc>
        <w:tc>
          <w:tcPr>
            <w:tcW w:type="dxa" w:w="1910"/>
            <w:tcMar>
              <w:top w:w="60" w:type="dxa"/>
              <w:bottom w:w="60" w:type="dxa"/>
              <w:start w:w="80" w:type="dxa"/>
              <w:end w:w="80" w:type="dxa"/>
            </w:tcMar>
          </w:tcPr>
          <w:p>
            <w:r>
              <w:rPr>
                <w:rFonts w:ascii="Cambria" w:hAnsi="Cambria"/>
                <w:color w:val="000000"/>
                <w:sz w:val="19"/>
              </w:rPr>
              <w:t>X</w:t>
            </w:r>
          </w:p>
        </w:tc>
        <w:tc>
          <w:tcPr>
            <w:tcW w:type="dxa" w:w="1398"/>
            <w:tcMar>
              <w:top w:w="60" w:type="dxa"/>
              <w:bottom w:w="60" w:type="dxa"/>
              <w:start w:w="80" w:type="dxa"/>
              <w:end w:w="80" w:type="dxa"/>
            </w:tcMar>
          </w:tcPr>
          <w:p>
            <w:r>
              <w:rPr>
                <w:rFonts w:ascii="Cambria" w:hAnsi="Cambria"/>
                <w:color w:val="000000"/>
                <w:sz w:val="19"/>
              </w:rPr>
              <w:t>X</w:t>
            </w:r>
          </w:p>
        </w:tc>
        <w:tc>
          <w:tcPr>
            <w:tcW w:type="dxa" w:w="1307"/>
            <w:tcMar>
              <w:top w:w="60" w:type="dxa"/>
              <w:bottom w:w="60" w:type="dxa"/>
              <w:start w:w="80" w:type="dxa"/>
              <w:end w:w="80" w:type="dxa"/>
            </w:tcMar>
          </w:tcPr>
          <w:p>
            <w:r>
              <w:rPr>
                <w:rFonts w:ascii="Cambria" w:hAnsi="Cambria"/>
                <w:color w:val="000000"/>
                <w:sz w:val="19"/>
              </w:rPr>
              <w:t>X</w:t>
            </w:r>
          </w:p>
        </w:tc>
        <w:tc>
          <w:tcPr>
            <w:tcW w:type="dxa" w:w="1398"/>
            <w:tcMar>
              <w:top w:w="60" w:type="dxa"/>
              <w:bottom w:w="60" w:type="dxa"/>
              <w:start w:w="80" w:type="dxa"/>
              <w:end w:w="80" w:type="dxa"/>
            </w:tcMar>
          </w:tcPr>
          <w:p>
            <w:r>
              <w:rPr>
                <w:rFonts w:ascii="Cambria" w:hAnsi="Cambria"/>
                <w:color w:val="000000"/>
                <w:sz w:val="19"/>
              </w:rPr>
              <w:t>X</w:t>
            </w:r>
          </w:p>
        </w:tc>
        <w:tc>
          <w:tcPr>
            <w:tcW w:type="dxa" w:w="1561"/>
            <w:tcMar>
              <w:top w:w="60" w:type="dxa"/>
              <w:bottom w:w="60" w:type="dxa"/>
              <w:start w:w="80" w:type="dxa"/>
              <w:end w:w="80" w:type="dxa"/>
            </w:tcMar>
          </w:tcPr>
          <w:p>
            <w:r>
              <w:rPr>
                <w:rFonts w:ascii="Cambria" w:hAnsi="Cambria"/>
                <w:color w:val="000000"/>
                <w:sz w:val="19"/>
              </w:rPr>
              <w:t>II</w:t>
            </w:r>
          </w:p>
        </w:tc>
      </w:tr>
      <w:tr>
        <w:trPr>
          <w:cantSplit w:val="true"/>
        </w:trPr>
        <w:tc>
          <w:tcPr>
            <w:tcW w:type="dxa" w:w="2892"/>
            <w:shd w:val="clear" w:color="auto" w:fill="f8fafc"/>
            <w:tcMar>
              <w:top w:w="60" w:type="dxa"/>
              <w:bottom w:w="60" w:type="dxa"/>
              <w:start w:w="80" w:type="dxa"/>
              <w:end w:w="80" w:type="dxa"/>
            </w:tcMar>
          </w:tcPr>
          <w:p>
            <w:r>
              <w:rPr>
                <w:rFonts w:ascii="Cambria" w:hAnsi="Cambria"/>
                <w:color w:val="000000"/>
                <w:sz w:val="19"/>
              </w:rPr>
              <w:t>ART-6043, olaparib, niraparib</w:t>
            </w:r>
          </w:p>
        </w:tc>
        <w:tc>
          <w:tcPr>
            <w:tcW w:type="dxa" w:w="1910"/>
            <w:shd w:val="clear" w:color="auto" w:fill="f8fafc"/>
            <w:tcMar>
              <w:top w:w="60" w:type="dxa"/>
              <w:bottom w:w="60" w:type="dxa"/>
              <w:start w:w="80" w:type="dxa"/>
              <w:end w:w="80" w:type="dxa"/>
            </w:tcMar>
          </w:tcPr>
          <w:p>
            <w:r>
              <w:rPr>
                <w:rFonts w:ascii="Cambria" w:hAnsi="Cambria"/>
                <w:color w:val="000000"/>
                <w:sz w:val="19"/>
              </w:rPr>
              <w:t>X</w:t>
            </w:r>
          </w:p>
        </w:tc>
        <w:tc>
          <w:tcPr>
            <w:tcW w:type="dxa" w:w="1398"/>
            <w:shd w:val="clear" w:color="auto" w:fill="f8fafc"/>
            <w:tcMar>
              <w:top w:w="60" w:type="dxa"/>
              <w:bottom w:w="60" w:type="dxa"/>
              <w:start w:w="80" w:type="dxa"/>
              <w:end w:w="80" w:type="dxa"/>
            </w:tcMar>
          </w:tcPr>
          <w:p>
            <w:r>
              <w:rPr>
                <w:rFonts w:ascii="Cambria" w:hAnsi="Cambria"/>
                <w:color w:val="000000"/>
                <w:sz w:val="19"/>
              </w:rPr>
              <w:t>X</w:t>
            </w:r>
          </w:p>
        </w:tc>
        <w:tc>
          <w:tcPr>
            <w:tcW w:type="dxa" w:w="1307"/>
            <w:shd w:val="clear" w:color="auto" w:fill="f8fafc"/>
            <w:tcMar>
              <w:top w:w="60" w:type="dxa"/>
              <w:bottom w:w="60" w:type="dxa"/>
              <w:start w:w="80" w:type="dxa"/>
              <w:end w:w="80" w:type="dxa"/>
            </w:tcMar>
          </w:tcPr>
          <w:p>
            <w:r>
              <w:rPr>
                <w:rFonts w:ascii="Cambria" w:hAnsi="Cambria"/>
                <w:color w:val="000000"/>
                <w:sz w:val="19"/>
              </w:rPr>
              <w:t>X</w:t>
            </w:r>
          </w:p>
        </w:tc>
        <w:tc>
          <w:tcPr>
            <w:tcW w:type="dxa" w:w="1398"/>
            <w:shd w:val="clear" w:color="auto" w:fill="f8fafc"/>
            <w:tcMar>
              <w:top w:w="60" w:type="dxa"/>
              <w:bottom w:w="60" w:type="dxa"/>
              <w:start w:w="80" w:type="dxa"/>
              <w:end w:w="80" w:type="dxa"/>
            </w:tcMar>
          </w:tcPr>
          <w:p>
            <w:r>
              <w:rPr>
                <w:rFonts w:ascii="Cambria" w:hAnsi="Cambria"/>
                <w:color w:val="000000"/>
                <w:sz w:val="19"/>
              </w:rPr>
              <w:t>X</w:t>
            </w:r>
          </w:p>
        </w:tc>
        <w:tc>
          <w:tcPr>
            <w:tcW w:type="dxa" w:w="1561"/>
            <w:shd w:val="clear" w:color="auto" w:fill="f8fafc"/>
            <w:tcMar>
              <w:top w:w="60" w:type="dxa"/>
              <w:bottom w:w="60" w:type="dxa"/>
              <w:start w:w="80" w:type="dxa"/>
              <w:end w:w="80" w:type="dxa"/>
            </w:tcMar>
          </w:tcPr>
          <w:p>
            <w:r>
              <w:rPr>
                <w:rFonts w:ascii="Cambria" w:hAnsi="Cambria"/>
                <w:color w:val="000000"/>
                <w:sz w:val="19"/>
              </w:rPr>
              <w:t>I/II</w:t>
            </w:r>
          </w:p>
        </w:tc>
      </w:tr>
      <w:tr>
        <w:trPr>
          <w:cantSplit w:val="true"/>
        </w:trPr>
        <w:tc>
          <w:tcPr>
            <w:tcW w:type="dxa" w:w="2892"/>
            <w:tcMar>
              <w:top w:w="60" w:type="dxa"/>
              <w:bottom w:w="60" w:type="dxa"/>
              <w:start w:w="80" w:type="dxa"/>
              <w:end w:w="80" w:type="dxa"/>
            </w:tcMar>
          </w:tcPr>
          <w:p>
            <w:r>
              <w:rPr>
                <w:rFonts w:ascii="Cambria" w:hAnsi="Cambria"/>
                <w:color w:val="000000"/>
                <w:sz w:val="19"/>
              </w:rPr>
              <w:t>ATRN-119</w:t>
            </w:r>
          </w:p>
        </w:tc>
        <w:tc>
          <w:tcPr>
            <w:tcW w:type="dxa" w:w="1910"/>
            <w:tcMar>
              <w:top w:w="60" w:type="dxa"/>
              <w:bottom w:w="60" w:type="dxa"/>
              <w:start w:w="80" w:type="dxa"/>
              <w:end w:w="80" w:type="dxa"/>
            </w:tcMar>
          </w:tcPr>
          <w:p>
            <w:r>
              <w:rPr>
                <w:rFonts w:ascii="Cambria" w:hAnsi="Cambria"/>
                <w:color w:val="000000"/>
                <w:sz w:val="19"/>
              </w:rPr>
              <w:t>X</w:t>
            </w:r>
          </w:p>
        </w:tc>
        <w:tc>
          <w:tcPr>
            <w:tcW w:type="dxa" w:w="1398"/>
            <w:tcMar>
              <w:top w:w="60" w:type="dxa"/>
              <w:bottom w:w="60" w:type="dxa"/>
              <w:start w:w="80" w:type="dxa"/>
              <w:end w:w="80" w:type="dxa"/>
            </w:tcMar>
          </w:tcPr>
          <w:p>
            <w:r>
              <w:rPr>
                <w:rFonts w:ascii="Cambria" w:hAnsi="Cambria"/>
                <w:color w:val="000000"/>
                <w:sz w:val="19"/>
              </w:rPr>
              <w:t>X</w:t>
            </w:r>
          </w:p>
        </w:tc>
        <w:tc>
          <w:tcPr>
            <w:tcW w:type="dxa" w:w="1307"/>
            <w:tcMar>
              <w:top w:w="60" w:type="dxa"/>
              <w:bottom w:w="60" w:type="dxa"/>
              <w:start w:w="80" w:type="dxa"/>
              <w:end w:w="80" w:type="dxa"/>
            </w:tcMar>
          </w:tcPr>
          <w:p>
            <w:r>
              <w:rPr>
                <w:rFonts w:ascii="Cambria" w:hAnsi="Cambria"/>
                <w:color w:val="000000"/>
                <w:sz w:val="19"/>
              </w:rPr>
              <w:t>X</w:t>
            </w:r>
          </w:p>
        </w:tc>
        <w:tc>
          <w:tcPr>
            <w:tcW w:type="dxa" w:w="1398"/>
            <w:tcMar>
              <w:top w:w="60" w:type="dxa"/>
              <w:bottom w:w="60" w:type="dxa"/>
              <w:start w:w="80" w:type="dxa"/>
              <w:end w:w="80" w:type="dxa"/>
            </w:tcMar>
          </w:tcPr>
          <w:p>
            <w:r>
              <w:rPr>
                <w:rFonts w:ascii="Cambria" w:hAnsi="Cambria"/>
                <w:color w:val="000000"/>
                <w:sz w:val="19"/>
              </w:rPr>
              <w:t>X</w:t>
            </w:r>
          </w:p>
        </w:tc>
        <w:tc>
          <w:tcPr>
            <w:tcW w:type="dxa" w:w="1561"/>
            <w:tcMar>
              <w:top w:w="60" w:type="dxa"/>
              <w:bottom w:w="60" w:type="dxa"/>
              <w:start w:w="80" w:type="dxa"/>
              <w:end w:w="80" w:type="dxa"/>
            </w:tcMar>
          </w:tcPr>
          <w:p>
            <w:r>
              <w:rPr>
                <w:rFonts w:ascii="Cambria" w:hAnsi="Cambria"/>
                <w:color w:val="000000"/>
                <w:sz w:val="19"/>
              </w:rPr>
              <w:t>I/II</w:t>
            </w:r>
          </w:p>
        </w:tc>
      </w:tr>
      <w:tr>
        <w:trPr>
          <w:cantSplit w:val="true"/>
        </w:trPr>
        <w:tc>
          <w:tcPr>
            <w:tcW w:type="dxa" w:w="2892"/>
            <w:shd w:val="clear" w:color="auto" w:fill="f8fafc"/>
            <w:tcMar>
              <w:top w:w="60" w:type="dxa"/>
              <w:bottom w:w="60" w:type="dxa"/>
              <w:start w:w="80" w:type="dxa"/>
              <w:end w:w="80" w:type="dxa"/>
            </w:tcMar>
          </w:tcPr>
          <w:p>
            <w:r>
              <w:rPr>
                <w:rFonts w:ascii="Cambria" w:hAnsi="Cambria"/>
                <w:color w:val="000000"/>
                <w:sz w:val="19"/>
              </w:rPr>
              <w:t>niraparib, GSK-101</w:t>
            </w:r>
          </w:p>
        </w:tc>
        <w:tc>
          <w:tcPr>
            <w:tcW w:type="dxa" w:w="1910"/>
            <w:shd w:val="clear" w:color="auto" w:fill="f8fafc"/>
            <w:tcMar>
              <w:top w:w="60" w:type="dxa"/>
              <w:bottom w:w="60" w:type="dxa"/>
              <w:start w:w="80" w:type="dxa"/>
              <w:end w:w="80" w:type="dxa"/>
            </w:tcMar>
          </w:tcPr>
          <w:p>
            <w:r>
              <w:rPr>
                <w:rFonts w:ascii="Cambria" w:hAnsi="Cambria"/>
                <w:color w:val="000000"/>
                <w:sz w:val="19"/>
              </w:rPr>
              <w:t>X</w:t>
            </w:r>
          </w:p>
        </w:tc>
        <w:tc>
          <w:tcPr>
            <w:tcW w:type="dxa" w:w="1398"/>
            <w:shd w:val="clear" w:color="auto" w:fill="f8fafc"/>
            <w:tcMar>
              <w:top w:w="60" w:type="dxa"/>
              <w:bottom w:w="60" w:type="dxa"/>
              <w:start w:w="80" w:type="dxa"/>
              <w:end w:w="80" w:type="dxa"/>
            </w:tcMar>
          </w:tcPr>
          <w:p>
            <w:r>
              <w:rPr>
                <w:rFonts w:ascii="Cambria" w:hAnsi="Cambria"/>
                <w:color w:val="000000"/>
                <w:sz w:val="19"/>
              </w:rPr>
              <w:t>X</w:t>
            </w:r>
          </w:p>
        </w:tc>
        <w:tc>
          <w:tcPr>
            <w:tcW w:type="dxa" w:w="1307"/>
            <w:shd w:val="clear" w:color="auto" w:fill="f8fafc"/>
            <w:tcMar>
              <w:top w:w="60" w:type="dxa"/>
              <w:bottom w:w="60" w:type="dxa"/>
              <w:start w:w="80" w:type="dxa"/>
              <w:end w:w="80" w:type="dxa"/>
            </w:tcMar>
          </w:tcPr>
          <w:p>
            <w:r>
              <w:rPr>
                <w:rFonts w:ascii="Cambria" w:hAnsi="Cambria"/>
                <w:color w:val="000000"/>
                <w:sz w:val="19"/>
              </w:rPr>
              <w:t>X</w:t>
            </w:r>
          </w:p>
        </w:tc>
        <w:tc>
          <w:tcPr>
            <w:tcW w:type="dxa" w:w="1398"/>
            <w:shd w:val="clear" w:color="auto" w:fill="f8fafc"/>
            <w:tcMar>
              <w:top w:w="60" w:type="dxa"/>
              <w:bottom w:w="60" w:type="dxa"/>
              <w:start w:w="80" w:type="dxa"/>
              <w:end w:w="80" w:type="dxa"/>
            </w:tcMar>
          </w:tcPr>
          <w:p>
            <w:r>
              <w:rPr>
                <w:rFonts w:ascii="Cambria" w:hAnsi="Cambria"/>
                <w:color w:val="000000"/>
                <w:sz w:val="19"/>
              </w:rPr>
              <w:t>X</w:t>
            </w:r>
          </w:p>
        </w:tc>
        <w:tc>
          <w:tcPr>
            <w:tcW w:type="dxa" w:w="1561"/>
            <w:shd w:val="clear" w:color="auto" w:fill="f8fafc"/>
            <w:tcMar>
              <w:top w:w="60" w:type="dxa"/>
              <w:bottom w:w="60" w:type="dxa"/>
              <w:start w:w="80" w:type="dxa"/>
              <w:end w:w="80" w:type="dxa"/>
            </w:tcMar>
          </w:tcPr>
          <w:p>
            <w:r>
              <w:rPr>
                <w:rFonts w:ascii="Cambria" w:hAnsi="Cambria"/>
                <w:color w:val="000000"/>
                <w:sz w:val="19"/>
              </w:rPr>
              <w:t>I/II</w:t>
            </w:r>
          </w:p>
        </w:tc>
      </w:tr>
      <w:tr>
        <w:trPr>
          <w:cantSplit w:val="true"/>
        </w:trPr>
        <w:tc>
          <w:tcPr>
            <w:tcW w:type="dxa" w:w="2892"/>
            <w:tcMar>
              <w:top w:w="60" w:type="dxa"/>
              <w:bottom w:w="60" w:type="dxa"/>
              <w:start w:w="80" w:type="dxa"/>
              <w:end w:w="80" w:type="dxa"/>
            </w:tcMar>
          </w:tcPr>
          <w:p>
            <w:r>
              <w:rPr>
                <w:rFonts w:ascii="Cambria" w:hAnsi="Cambria"/>
                <w:color w:val="000000"/>
                <w:sz w:val="19"/>
              </w:rPr>
              <w:t>VB-15010</w:t>
            </w:r>
          </w:p>
        </w:tc>
        <w:tc>
          <w:tcPr>
            <w:tcW w:type="dxa" w:w="1910"/>
            <w:tcMar>
              <w:top w:w="60" w:type="dxa"/>
              <w:bottom w:w="60" w:type="dxa"/>
              <w:start w:w="80" w:type="dxa"/>
              <w:end w:w="80" w:type="dxa"/>
            </w:tcMar>
          </w:tcPr>
          <w:p>
            <w:r>
              <w:rPr>
                <w:rFonts w:ascii="Cambria" w:hAnsi="Cambria"/>
                <w:color w:val="000000"/>
                <w:sz w:val="19"/>
              </w:rPr>
              <w:t>X</w:t>
            </w:r>
          </w:p>
        </w:tc>
        <w:tc>
          <w:tcPr>
            <w:tcW w:type="dxa" w:w="1398"/>
            <w:tcMar>
              <w:top w:w="60" w:type="dxa"/>
              <w:bottom w:w="60" w:type="dxa"/>
              <w:start w:w="80" w:type="dxa"/>
              <w:end w:w="80" w:type="dxa"/>
            </w:tcMar>
          </w:tcPr>
          <w:p>
            <w:r>
              <w:rPr>
                <w:rFonts w:ascii="Cambria" w:hAnsi="Cambria"/>
                <w:color w:val="000000"/>
                <w:sz w:val="19"/>
              </w:rPr>
              <w:t>X</w:t>
            </w:r>
          </w:p>
        </w:tc>
        <w:tc>
          <w:tcPr>
            <w:tcW w:type="dxa" w:w="1307"/>
            <w:tcMar>
              <w:top w:w="60" w:type="dxa"/>
              <w:bottom w:w="60" w:type="dxa"/>
              <w:start w:w="80" w:type="dxa"/>
              <w:end w:w="80" w:type="dxa"/>
            </w:tcMar>
          </w:tcPr>
          <w:p>
            <w:r>
              <w:rPr>
                <w:rFonts w:ascii="Cambria" w:hAnsi="Cambria"/>
                <w:color w:val="000000"/>
                <w:sz w:val="19"/>
              </w:rPr>
              <w:t>X</w:t>
            </w:r>
          </w:p>
        </w:tc>
        <w:tc>
          <w:tcPr>
            <w:tcW w:type="dxa" w:w="1398"/>
            <w:tcMar>
              <w:top w:w="60" w:type="dxa"/>
              <w:bottom w:w="60" w:type="dxa"/>
              <w:start w:w="80" w:type="dxa"/>
              <w:end w:w="80" w:type="dxa"/>
            </w:tcMar>
          </w:tcPr>
          <w:p>
            <w:r>
              <w:rPr>
                <w:rFonts w:ascii="Cambria" w:hAnsi="Cambria"/>
                <w:color w:val="000000"/>
                <w:sz w:val="19"/>
              </w:rPr>
              <w:t>X</w:t>
            </w:r>
          </w:p>
        </w:tc>
        <w:tc>
          <w:tcPr>
            <w:tcW w:type="dxa" w:w="1561"/>
            <w:tcMar>
              <w:top w:w="60" w:type="dxa"/>
              <w:bottom w:w="60" w:type="dxa"/>
              <w:start w:w="80" w:type="dxa"/>
              <w:end w:w="80" w:type="dxa"/>
            </w:tcMar>
          </w:tcPr>
          <w:p>
            <w:r>
              <w:rPr>
                <w:rFonts w:ascii="Cambria" w:hAnsi="Cambria"/>
                <w:color w:val="000000"/>
                <w:sz w:val="19"/>
              </w:rPr>
              <w:t>I/II</w:t>
            </w:r>
          </w:p>
        </w:tc>
      </w:tr>
      <w:tr>
        <w:trPr>
          <w:cantSplit w:val="true"/>
        </w:trPr>
        <w:tc>
          <w:tcPr>
            <w:tcW w:type="dxa" w:w="2892"/>
            <w:shd w:val="clear" w:color="auto" w:fill="f8fafc"/>
            <w:tcMar>
              <w:top w:w="60" w:type="dxa"/>
              <w:bottom w:w="60" w:type="dxa"/>
              <w:start w:w="80" w:type="dxa"/>
              <w:end w:w="80" w:type="dxa"/>
            </w:tcMar>
          </w:tcPr>
          <w:p>
            <w:r>
              <w:rPr>
                <w:rFonts w:ascii="Cambria" w:hAnsi="Cambria"/>
                <w:color w:val="000000"/>
                <w:sz w:val="19"/>
              </w:rPr>
              <w:t>GenSci-122</w:t>
              <w:br/>
              <w:t>Pag</w:t>
            </w:r>
          </w:p>
        </w:tc>
        <w:tc>
          <w:tcPr>
            <w:tcW w:type="dxa" w:w="1910"/>
            <w:shd w:val="clear" w:color="auto" w:fill="f8fafc"/>
            <w:tcMar>
              <w:top w:w="60" w:type="dxa"/>
              <w:bottom w:w="60" w:type="dxa"/>
              <w:start w:w="80" w:type="dxa"/>
              <w:end w:w="80" w:type="dxa"/>
            </w:tcMar>
          </w:tcPr>
          <w:p>
            <w:r>
              <w:rPr>
                <w:rFonts w:ascii="Cambria" w:hAnsi="Cambria"/>
                <w:color w:val="000000"/>
                <w:sz w:val="19"/>
              </w:rPr>
              <w:t>X</w:t>
              <w:br/>
              <w:t>e 3 of 10</w:t>
            </w:r>
          </w:p>
        </w:tc>
        <w:tc>
          <w:tcPr>
            <w:tcW w:type="dxa" w:w="1398"/>
            <w:shd w:val="clear" w:color="auto" w:fill="f8fafc"/>
            <w:tcMar>
              <w:top w:w="60" w:type="dxa"/>
              <w:bottom w:w="60" w:type="dxa"/>
              <w:start w:w="80" w:type="dxa"/>
              <w:end w:w="80" w:type="dxa"/>
            </w:tcMar>
          </w:tcPr>
          <w:p>
            <w:r>
              <w:rPr>
                <w:rFonts w:ascii="Cambria" w:hAnsi="Cambria"/>
                <w:color w:val="000000"/>
                <w:sz w:val="19"/>
              </w:rPr>
              <w:t>X</w:t>
            </w:r>
          </w:p>
        </w:tc>
        <w:tc>
          <w:tcPr>
            <w:tcW w:type="dxa" w:w="1307"/>
            <w:shd w:val="clear" w:color="auto" w:fill="f8fafc"/>
            <w:tcMar>
              <w:top w:w="60" w:type="dxa"/>
              <w:bottom w:w="60" w:type="dxa"/>
              <w:start w:w="80" w:type="dxa"/>
              <w:end w:w="80" w:type="dxa"/>
            </w:tcMar>
          </w:tcPr>
          <w:p>
            <w:r>
              <w:rPr>
                <w:rFonts w:ascii="Cambria" w:hAnsi="Cambria"/>
                <w:color w:val="000000"/>
                <w:sz w:val="19"/>
              </w:rPr>
              <w:t>X</w:t>
            </w:r>
          </w:p>
        </w:tc>
        <w:tc>
          <w:tcPr>
            <w:tcW w:type="dxa" w:w="1398"/>
            <w:shd w:val="clear" w:color="auto" w:fill="f8fafc"/>
            <w:tcMar>
              <w:top w:w="60" w:type="dxa"/>
              <w:bottom w:w="60" w:type="dxa"/>
              <w:start w:w="80" w:type="dxa"/>
              <w:end w:w="80" w:type="dxa"/>
            </w:tcMar>
          </w:tcPr>
          <w:p>
            <w:r>
              <w:rPr>
                <w:rFonts w:ascii="Cambria" w:hAnsi="Cambria"/>
                <w:color w:val="000000"/>
                <w:sz w:val="19"/>
              </w:rPr>
              <w:t>X</w:t>
            </w:r>
          </w:p>
        </w:tc>
        <w:tc>
          <w:tcPr>
            <w:tcW w:type="dxa" w:w="1561"/>
            <w:shd w:val="clear" w:color="auto" w:fill="f8fafc"/>
            <w:tcMar>
              <w:top w:w="60" w:type="dxa"/>
              <w:bottom w:w="60" w:type="dxa"/>
              <w:start w:w="80" w:type="dxa"/>
              <w:end w:w="80" w:type="dxa"/>
            </w:tcMar>
          </w:tcPr>
          <w:p>
            <w:r>
              <w:rPr>
                <w:rFonts w:ascii="Cambria" w:hAnsi="Cambria"/>
                <w:color w:val="000000"/>
                <w:sz w:val="19"/>
              </w:rPr>
              <w:t>I</w:t>
            </w:r>
          </w:p>
        </w:tc>
      </w:tr>
    </w:tbl>
    <w:p>
      <w:pPr>
        <w:spacing w:before="0" w:after="120" w:line="20" w:lineRule="exact"/>
      </w:pPr>
      <w:r>
        <w:rPr>
          <w:sz w:val="2"/>
        </w:rPr>
      </w:r>
    </w:p>
    <w:p>
      <w:pPr>
        <w:spacing w:before="0" w:after="120"/>
        <w:jc w:val="center"/>
      </w:pPr>
      <w:r>
        <w:drawing>
          <wp:inline xmlns:a="http://schemas.openxmlformats.org/drawingml/2006/main" xmlns:pic="http://schemas.openxmlformats.org/drawingml/2006/picture">
            <wp:extent cx="1536700" cy="6731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8" name="Picture 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9" name="Picture 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6"/>
          <w:footerReference w:type="default" r:id="rId17"/>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744"/>
        <w:gridCol w:w="1744"/>
        <w:gridCol w:w="1744"/>
        <w:gridCol w:w="1744"/>
        <w:gridCol w:w="1744"/>
        <w:gridCol w:w="1744"/>
      </w:tblGrid>
      <w:tr>
        <w:trPr>
          <w:tblHeader w:val="true"/>
          <w:cantSplit w:val="true"/>
        </w:trPr>
        <w:tc>
          <w:tcPr>
            <w:tcW w:type="dxa" w:w="3910"/>
            <w:shd w:val="clear" w:color="auto" w:fill="1f497d"/>
            <w:tcMar>
              <w:top w:w="60" w:type="dxa"/>
              <w:bottom w:w="60" w:type="dxa"/>
              <w:start w:w="80" w:type="dxa"/>
              <w:end w:w="80" w:type="dxa"/>
            </w:tcMar>
          </w:tcPr>
          <w:p>
            <w:pPr>
              <w:jc w:val="center"/>
            </w:pPr>
            <w:r>
              <w:rPr>
                <w:rFonts w:ascii="Cambria" w:hAnsi="Cambria"/>
                <w:b/>
                <w:color w:val="FFFFFF"/>
                <w:sz w:val="19"/>
              </w:rPr>
              <w:t>Therapy</w:t>
            </w:r>
          </w:p>
        </w:tc>
        <w:tc>
          <w:tcPr>
            <w:tcW w:type="dxa" w:w="1239"/>
            <w:shd w:val="clear" w:color="auto" w:fill="1f497d"/>
            <w:tcMar>
              <w:top w:w="60" w:type="dxa"/>
              <w:bottom w:w="60" w:type="dxa"/>
              <w:start w:w="80" w:type="dxa"/>
              <w:end w:w="80" w:type="dxa"/>
            </w:tcMar>
          </w:tcPr>
          <w:p>
            <w:pPr>
              <w:jc w:val="center"/>
            </w:pPr>
            <w:r>
              <w:rPr>
                <w:rFonts w:ascii="Cambria" w:hAnsi="Cambria"/>
                <w:b/>
                <w:color w:val="FFFFFF"/>
                <w:sz w:val="19"/>
              </w:rPr>
              <w:t>FDA</w:t>
            </w:r>
          </w:p>
        </w:tc>
        <w:tc>
          <w:tcPr>
            <w:tcW w:type="dxa" w:w="1314"/>
            <w:shd w:val="clear" w:color="auto" w:fill="1f497d"/>
            <w:tcMar>
              <w:top w:w="60" w:type="dxa"/>
              <w:bottom w:w="60" w:type="dxa"/>
              <w:start w:w="80" w:type="dxa"/>
              <w:end w:w="80" w:type="dxa"/>
            </w:tcMar>
          </w:tcPr>
          <w:p>
            <w:pPr>
              <w:jc w:val="center"/>
            </w:pPr>
            <w:r>
              <w:rPr>
                <w:rFonts w:ascii="Cambria" w:hAnsi="Cambria"/>
                <w:b/>
                <w:color w:val="FFFFFF"/>
                <w:sz w:val="19"/>
              </w:rPr>
              <w:t>NCCN</w:t>
            </w:r>
          </w:p>
        </w:tc>
        <w:tc>
          <w:tcPr>
            <w:tcW w:type="dxa" w:w="1239"/>
            <w:shd w:val="clear" w:color="auto" w:fill="1f497d"/>
            <w:tcMar>
              <w:top w:w="60" w:type="dxa"/>
              <w:bottom w:w="60" w:type="dxa"/>
              <w:start w:w="80" w:type="dxa"/>
              <w:end w:w="80" w:type="dxa"/>
            </w:tcMar>
          </w:tcPr>
          <w:p>
            <w:pPr>
              <w:jc w:val="center"/>
            </w:pPr>
            <w:r>
              <w:rPr>
                <w:rFonts w:ascii="Cambria" w:hAnsi="Cambria"/>
                <w:b/>
                <w:color w:val="FFFFFF"/>
                <w:sz w:val="19"/>
              </w:rPr>
              <w:t>EMA</w:t>
            </w:r>
          </w:p>
        </w:tc>
        <w:tc>
          <w:tcPr>
            <w:tcW w:type="dxa" w:w="1314"/>
            <w:shd w:val="clear" w:color="auto" w:fill="1f497d"/>
            <w:tcMar>
              <w:top w:w="60" w:type="dxa"/>
              <w:bottom w:w="60" w:type="dxa"/>
              <w:start w:w="80" w:type="dxa"/>
              <w:end w:w="80" w:type="dxa"/>
            </w:tcMar>
          </w:tcPr>
          <w:p>
            <w:pPr>
              <w:jc w:val="center"/>
            </w:pPr>
            <w:r>
              <w:rPr>
                <w:rFonts w:ascii="Cambria" w:hAnsi="Cambria"/>
                <w:b/>
                <w:color w:val="FFFFFF"/>
                <w:sz w:val="19"/>
              </w:rPr>
              <w:t>ESMO</w:t>
            </w:r>
          </w:p>
        </w:tc>
        <w:tc>
          <w:tcPr>
            <w:tcW w:type="dxa" w:w="1450"/>
            <w:shd w:val="clear" w:color="auto" w:fill="1f497d"/>
            <w:tcMar>
              <w:top w:w="60" w:type="dxa"/>
              <w:bottom w:w="60" w:type="dxa"/>
              <w:start w:w="80" w:type="dxa"/>
              <w:end w:w="80" w:type="dxa"/>
            </w:tcMar>
          </w:tcPr>
          <w:p>
            <w:pPr>
              <w:jc w:val="center"/>
            </w:pPr>
            <w:r>
              <w:rPr>
                <w:rFonts w:ascii="Cambria" w:hAnsi="Cambria"/>
                <w:b/>
                <w:color w:val="FFFFFF"/>
                <w:sz w:val="19"/>
              </w:rPr>
              <w:t>Trials</w:t>
            </w:r>
          </w:p>
        </w:tc>
      </w:tr>
      <w:tr>
        <w:trPr>
          <w:cantSplit w:val="true"/>
        </w:trPr>
        <w:tc>
          <w:tcPr>
            <w:tcW w:type="dxa" w:w="3910"/>
            <w:tcMar>
              <w:top w:w="60" w:type="dxa"/>
              <w:bottom w:w="60" w:type="dxa"/>
              <w:start w:w="80" w:type="dxa"/>
              <w:end w:w="80" w:type="dxa"/>
            </w:tcMar>
          </w:tcPr>
          <w:p>
            <w:r>
              <w:rPr>
                <w:rFonts w:ascii="Cambria" w:hAnsi="Cambria"/>
                <w:color w:val="000000"/>
                <w:sz w:val="19"/>
              </w:rPr>
              <w:t>GH-2616</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HRS-1167</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w:t>
            </w:r>
          </w:p>
        </w:tc>
      </w:tr>
      <w:tr>
        <w:trPr>
          <w:cantSplit w:val="true"/>
        </w:trPr>
        <w:tc>
          <w:tcPr>
            <w:tcW w:type="dxa" w:w="3910"/>
            <w:tcMar>
              <w:top w:w="60" w:type="dxa"/>
              <w:bottom w:w="60" w:type="dxa"/>
              <w:start w:w="80" w:type="dxa"/>
              <w:end w:w="80" w:type="dxa"/>
            </w:tcMar>
          </w:tcPr>
          <w:p>
            <w:r>
              <w:rPr>
                <w:rFonts w:ascii="Cambria" w:hAnsi="Cambria"/>
                <w:color w:val="000000"/>
                <w:sz w:val="19"/>
              </w:rPr>
              <w:t>HS-10502</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SIM-0501</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w:t>
            </w:r>
          </w:p>
        </w:tc>
      </w:tr>
      <w:tr>
        <w:trPr>
          <w:cantSplit w:val="true"/>
        </w:trPr>
        <w:tc>
          <w:tcPr>
            <w:tcW w:type="dxa" w:w="3910"/>
            <w:tcMar>
              <w:top w:w="60" w:type="dxa"/>
              <w:bottom w:w="60" w:type="dxa"/>
              <w:start w:w="80" w:type="dxa"/>
              <w:end w:w="80" w:type="dxa"/>
            </w:tcMar>
          </w:tcPr>
          <w:p>
            <w:r>
              <w:rPr>
                <w:rFonts w:ascii="Cambria" w:hAnsi="Cambria"/>
                <w:color w:val="000000"/>
                <w:sz w:val="19"/>
              </w:rPr>
              <w:t>talazoparib, palbociclib, axitinib, crizotinib</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XL-309, olaparib</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w:t>
            </w:r>
          </w:p>
        </w:tc>
      </w:tr>
      <w:tr>
        <w:trPr>
          <w:cantSplit w:val="true"/>
        </w:trPr>
        <w:tc>
          <w:tcPr>
            <w:tcW w:type="dxa" w:w="3910"/>
            <w:tcMar>
              <w:top w:w="60" w:type="dxa"/>
              <w:bottom w:w="60" w:type="dxa"/>
              <w:start w:w="80" w:type="dxa"/>
              <w:end w:w="80" w:type="dxa"/>
            </w:tcMar>
          </w:tcPr>
          <w:p>
            <w:r>
              <w:rPr>
                <w:rFonts w:ascii="Cambria" w:hAnsi="Cambria"/>
                <w:color w:val="000000"/>
                <w:sz w:val="19"/>
              </w:rPr>
              <w:t>pembrolizumab, chemotherapy</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IV</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hormone therapy, chemotherapy</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III</w:t>
            </w:r>
          </w:p>
        </w:tc>
      </w:tr>
      <w:tr>
        <w:trPr>
          <w:cantSplit w:val="true"/>
        </w:trPr>
        <w:tc>
          <w:tcPr>
            <w:tcW w:type="dxa" w:w="3910"/>
            <w:tcMar>
              <w:top w:w="60" w:type="dxa"/>
              <w:bottom w:w="60" w:type="dxa"/>
              <w:start w:w="80" w:type="dxa"/>
              <w:end w:w="80" w:type="dxa"/>
            </w:tcMar>
          </w:tcPr>
          <w:p>
            <w:r>
              <w:rPr>
                <w:rFonts w:ascii="Cambria" w:hAnsi="Cambria"/>
                <w:color w:val="000000"/>
                <w:sz w:val="19"/>
              </w:rPr>
              <w:t>olaparib, chemotherapy, radiation therapy</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III</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saruparib, hormone therapy</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III</w:t>
            </w:r>
          </w:p>
        </w:tc>
      </w:tr>
      <w:tr>
        <w:trPr>
          <w:cantSplit w:val="true"/>
        </w:trPr>
        <w:tc>
          <w:tcPr>
            <w:tcW w:type="dxa" w:w="3910"/>
            <w:tcMar>
              <w:top w:w="60" w:type="dxa"/>
              <w:bottom w:w="60" w:type="dxa"/>
              <w:start w:w="80" w:type="dxa"/>
              <w:end w:w="80" w:type="dxa"/>
            </w:tcMar>
          </w:tcPr>
          <w:p>
            <w:r>
              <w:rPr>
                <w:rFonts w:ascii="Cambria" w:hAnsi="Cambria"/>
                <w:color w:val="000000"/>
                <w:sz w:val="19"/>
              </w:rPr>
              <w:t>niraparib, radiation therapy</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II/III</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olaparib + chemotherapy</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II/III</w:t>
            </w:r>
          </w:p>
        </w:tc>
      </w:tr>
      <w:tr>
        <w:trPr>
          <w:cantSplit w:val="true"/>
        </w:trPr>
        <w:tc>
          <w:tcPr>
            <w:tcW w:type="dxa" w:w="3910"/>
            <w:tcMar>
              <w:top w:w="60" w:type="dxa"/>
              <w:bottom w:w="60" w:type="dxa"/>
              <w:start w:w="80" w:type="dxa"/>
              <w:end w:w="80" w:type="dxa"/>
            </w:tcMar>
          </w:tcPr>
          <w:p>
            <w:r>
              <w:rPr>
                <w:rFonts w:ascii="Cambria" w:hAnsi="Cambria"/>
                <w:color w:val="000000"/>
                <w:sz w:val="19"/>
              </w:rPr>
              <w:t>abiraterone + niraparib, hormone therapy, radiation therapy,</w:t>
              <w:br/>
              <w:t>steroid</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II</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camrelizumab, fluzoparib, chemotherapy</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II</w:t>
            </w:r>
          </w:p>
        </w:tc>
      </w:tr>
      <w:tr>
        <w:trPr>
          <w:cantSplit w:val="true"/>
        </w:trPr>
        <w:tc>
          <w:tcPr>
            <w:tcW w:type="dxa" w:w="3910"/>
            <w:tcMar>
              <w:top w:w="60" w:type="dxa"/>
              <w:bottom w:w="60" w:type="dxa"/>
              <w:start w:w="80" w:type="dxa"/>
              <w:end w:w="80" w:type="dxa"/>
            </w:tcMar>
          </w:tcPr>
          <w:p>
            <w:r>
              <w:rPr>
                <w:rFonts w:ascii="Cambria" w:hAnsi="Cambria"/>
                <w:color w:val="000000"/>
                <w:sz w:val="19"/>
              </w:rPr>
              <w:t>eflornithine</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II</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hormone therapy, hormone therapy + chemotherapy</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II</w:t>
            </w:r>
          </w:p>
        </w:tc>
      </w:tr>
      <w:tr>
        <w:trPr>
          <w:cantSplit w:val="true"/>
        </w:trPr>
        <w:tc>
          <w:tcPr>
            <w:tcW w:type="dxa" w:w="3910"/>
            <w:tcMar>
              <w:top w:w="60" w:type="dxa"/>
              <w:bottom w:w="60" w:type="dxa"/>
              <w:start w:w="80" w:type="dxa"/>
              <w:end w:w="80" w:type="dxa"/>
            </w:tcMar>
          </w:tcPr>
          <w:p>
            <w:r>
              <w:rPr>
                <w:rFonts w:ascii="Cambria" w:hAnsi="Cambria"/>
                <w:color w:val="000000"/>
                <w:sz w:val="19"/>
              </w:rPr>
              <w:t>lunresertib, trastuzumab, chemotherapy, camonsertib</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II</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niraparib, dostarlimab</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II</w:t>
            </w:r>
          </w:p>
        </w:tc>
      </w:tr>
      <w:tr>
        <w:trPr>
          <w:cantSplit w:val="true"/>
        </w:trPr>
        <w:tc>
          <w:tcPr>
            <w:tcW w:type="dxa" w:w="3910"/>
            <w:tcMar>
              <w:top w:w="60" w:type="dxa"/>
              <w:bottom w:w="60" w:type="dxa"/>
              <w:start w:w="80" w:type="dxa"/>
              <w:end w:w="80" w:type="dxa"/>
            </w:tcMar>
          </w:tcPr>
          <w:p>
            <w:r>
              <w:rPr>
                <w:rFonts w:ascii="Cambria" w:hAnsi="Cambria"/>
                <w:color w:val="000000"/>
                <w:sz w:val="19"/>
              </w:rPr>
              <w:t>olaparib</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II</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olaparib + hormone therapy</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II</w:t>
            </w:r>
          </w:p>
        </w:tc>
      </w:tr>
      <w:tr>
        <w:trPr>
          <w:cantSplit w:val="true"/>
        </w:trPr>
        <w:tc>
          <w:tcPr>
            <w:tcW w:type="dxa" w:w="3910"/>
            <w:tcMar>
              <w:top w:w="60" w:type="dxa"/>
              <w:bottom w:w="60" w:type="dxa"/>
              <w:start w:w="80" w:type="dxa"/>
              <w:end w:w="80" w:type="dxa"/>
            </w:tcMar>
          </w:tcPr>
          <w:p>
            <w:r>
              <w:rPr>
                <w:rFonts w:ascii="Cambria" w:hAnsi="Cambria"/>
                <w:color w:val="000000"/>
                <w:sz w:val="19"/>
              </w:rPr>
              <w:t>olaparib, chemotherapy</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II</w:t>
            </w:r>
          </w:p>
        </w:tc>
      </w:tr>
    </w:tbl>
    <w:p>
      <w:pPr>
        <w:spacing w:before="0" w:after="120" w:line="20" w:lineRule="exact"/>
      </w:pPr>
      <w:r>
        <w:rPr>
          <w:sz w:val="2"/>
        </w:rPr>
      </w:r>
    </w:p>
    <w:p>
      <w:pPr>
        <w:spacing w:before="211" w:after="120"/>
        <w:jc w:val="center"/>
      </w:pPr>
      <w:r>
        <w:drawing>
          <wp:inline xmlns:a="http://schemas.openxmlformats.org/drawingml/2006/main" xmlns:pic="http://schemas.openxmlformats.org/drawingml/2006/picture">
            <wp:extent cx="1536700" cy="673100"/>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1" name="Picture 1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2" name="Picture 1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8"/>
          <w:footerReference w:type="default" r:id="rId19"/>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744"/>
        <w:gridCol w:w="1744"/>
        <w:gridCol w:w="1744"/>
        <w:gridCol w:w="1744"/>
        <w:gridCol w:w="1744"/>
        <w:gridCol w:w="1744"/>
      </w:tblGrid>
      <w:tr>
        <w:trPr>
          <w:tblHeader w:val="true"/>
          <w:cantSplit w:val="true"/>
        </w:trPr>
        <w:tc>
          <w:tcPr>
            <w:tcW w:type="dxa" w:w="3400"/>
            <w:shd w:val="clear" w:color="auto" w:fill="1f497d"/>
            <w:tcMar>
              <w:top w:w="60" w:type="dxa"/>
              <w:bottom w:w="60" w:type="dxa"/>
              <w:start w:w="80" w:type="dxa"/>
              <w:end w:w="80" w:type="dxa"/>
            </w:tcMar>
          </w:tcPr>
          <w:p>
            <w:pPr>
              <w:jc w:val="center"/>
            </w:pPr>
            <w:r>
              <w:rPr>
                <w:rFonts w:ascii="Cambria" w:hAnsi="Cambria"/>
                <w:b/>
                <w:color w:val="FFFFFF"/>
                <w:sz w:val="19"/>
              </w:rPr>
              <w:t>Therapy</w:t>
            </w:r>
          </w:p>
        </w:tc>
        <w:tc>
          <w:tcPr>
            <w:tcW w:type="dxa" w:w="1323"/>
            <w:shd w:val="clear" w:color="auto" w:fill="1f497d"/>
            <w:tcMar>
              <w:top w:w="60" w:type="dxa"/>
              <w:bottom w:w="60" w:type="dxa"/>
              <w:start w:w="80" w:type="dxa"/>
              <w:end w:w="80" w:type="dxa"/>
            </w:tcMar>
          </w:tcPr>
          <w:p>
            <w:pPr>
              <w:jc w:val="center"/>
            </w:pPr>
            <w:r>
              <w:rPr>
                <w:rFonts w:ascii="Cambria" w:hAnsi="Cambria"/>
                <w:b/>
                <w:color w:val="FFFFFF"/>
                <w:sz w:val="19"/>
              </w:rPr>
              <w:t>FDA</w:t>
            </w:r>
          </w:p>
        </w:tc>
        <w:tc>
          <w:tcPr>
            <w:tcW w:type="dxa" w:w="1417"/>
            <w:shd w:val="clear" w:color="auto" w:fill="1f497d"/>
            <w:tcMar>
              <w:top w:w="60" w:type="dxa"/>
              <w:bottom w:w="60" w:type="dxa"/>
              <w:start w:w="80" w:type="dxa"/>
              <w:end w:w="80" w:type="dxa"/>
            </w:tcMar>
          </w:tcPr>
          <w:p>
            <w:pPr>
              <w:jc w:val="center"/>
            </w:pPr>
            <w:r>
              <w:rPr>
                <w:rFonts w:ascii="Cambria" w:hAnsi="Cambria"/>
                <w:b/>
                <w:color w:val="FFFFFF"/>
                <w:sz w:val="19"/>
              </w:rPr>
              <w:t>NCCN</w:t>
            </w:r>
          </w:p>
        </w:tc>
        <w:tc>
          <w:tcPr>
            <w:tcW w:type="dxa" w:w="1323"/>
            <w:shd w:val="clear" w:color="auto" w:fill="1f497d"/>
            <w:tcMar>
              <w:top w:w="60" w:type="dxa"/>
              <w:bottom w:w="60" w:type="dxa"/>
              <w:start w:w="80" w:type="dxa"/>
              <w:end w:w="80" w:type="dxa"/>
            </w:tcMar>
          </w:tcPr>
          <w:p>
            <w:pPr>
              <w:jc w:val="center"/>
            </w:pPr>
            <w:r>
              <w:rPr>
                <w:rFonts w:ascii="Cambria" w:hAnsi="Cambria"/>
                <w:b/>
                <w:color w:val="FFFFFF"/>
                <w:sz w:val="19"/>
              </w:rPr>
              <w:t>EMA</w:t>
            </w:r>
          </w:p>
        </w:tc>
        <w:tc>
          <w:tcPr>
            <w:tcW w:type="dxa" w:w="1417"/>
            <w:shd w:val="clear" w:color="auto" w:fill="1f497d"/>
            <w:tcMar>
              <w:top w:w="60" w:type="dxa"/>
              <w:bottom w:w="60" w:type="dxa"/>
              <w:start w:w="80" w:type="dxa"/>
              <w:end w:w="80" w:type="dxa"/>
            </w:tcMar>
          </w:tcPr>
          <w:p>
            <w:pPr>
              <w:jc w:val="center"/>
            </w:pPr>
            <w:r>
              <w:rPr>
                <w:rFonts w:ascii="Cambria" w:hAnsi="Cambria"/>
                <w:b/>
                <w:color w:val="FFFFFF"/>
                <w:sz w:val="19"/>
              </w:rPr>
              <w:t>ESMO</w:t>
            </w:r>
          </w:p>
        </w:tc>
        <w:tc>
          <w:tcPr>
            <w:tcW w:type="dxa" w:w="1587"/>
            <w:shd w:val="clear" w:color="auto" w:fill="1f497d"/>
            <w:tcMar>
              <w:top w:w="60" w:type="dxa"/>
              <w:bottom w:w="60" w:type="dxa"/>
              <w:start w:w="80" w:type="dxa"/>
              <w:end w:w="80" w:type="dxa"/>
            </w:tcMar>
          </w:tcPr>
          <w:p>
            <w:pPr>
              <w:jc w:val="center"/>
            </w:pPr>
            <w:r>
              <w:rPr>
                <w:rFonts w:ascii="Cambria" w:hAnsi="Cambria"/>
                <w:b/>
                <w:color w:val="FFFFFF"/>
                <w:sz w:val="19"/>
              </w:rPr>
              <w:t>Trials</w:t>
            </w:r>
          </w:p>
        </w:tc>
      </w:tr>
      <w:tr>
        <w:trPr>
          <w:cantSplit w:val="true"/>
        </w:trPr>
        <w:tc>
          <w:tcPr>
            <w:tcW w:type="dxa" w:w="3400"/>
            <w:tcMar>
              <w:top w:w="60" w:type="dxa"/>
              <w:bottom w:w="60" w:type="dxa"/>
              <w:start w:w="80" w:type="dxa"/>
              <w:end w:w="80" w:type="dxa"/>
            </w:tcMar>
          </w:tcPr>
          <w:p>
            <w:r>
              <w:rPr>
                <w:rFonts w:ascii="Cambria" w:hAnsi="Cambria"/>
                <w:color w:val="000000"/>
                <w:sz w:val="19"/>
              </w:rPr>
              <w:t>olaparib, durvalumab</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587"/>
            <w:tcMar>
              <w:top w:w="60" w:type="dxa"/>
              <w:bottom w:w="60" w:type="dxa"/>
              <w:start w:w="80" w:type="dxa"/>
              <w:end w:w="80" w:type="dxa"/>
            </w:tcMar>
          </w:tcPr>
          <w:p>
            <w:r>
              <w:rPr>
                <w:rFonts w:ascii="Cambria" w:hAnsi="Cambria"/>
                <w:color w:val="000000"/>
                <w:sz w:val="19"/>
              </w:rPr>
              <w:t>II</w:t>
            </w:r>
          </w:p>
        </w:tc>
      </w:tr>
      <w:tr>
        <w:trPr>
          <w:cantSplit w:val="true"/>
        </w:trPr>
        <w:tc>
          <w:tcPr>
            <w:tcW w:type="dxa" w:w="3400"/>
            <w:shd w:val="clear" w:color="auto" w:fill="f8fafc"/>
            <w:tcMar>
              <w:top w:w="60" w:type="dxa"/>
              <w:bottom w:w="60" w:type="dxa"/>
              <w:start w:w="80" w:type="dxa"/>
              <w:end w:w="80" w:type="dxa"/>
            </w:tcMar>
          </w:tcPr>
          <w:p>
            <w:r>
              <w:rPr>
                <w:rFonts w:ascii="Cambria" w:hAnsi="Cambria"/>
                <w:color w:val="000000"/>
                <w:sz w:val="19"/>
              </w:rPr>
              <w:t>olaparib, pembrolizumab</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587"/>
            <w:shd w:val="clear" w:color="auto" w:fill="f8fafc"/>
            <w:tcMar>
              <w:top w:w="60" w:type="dxa"/>
              <w:bottom w:w="60" w:type="dxa"/>
              <w:start w:w="80" w:type="dxa"/>
              <w:end w:w="80" w:type="dxa"/>
            </w:tcMar>
          </w:tcPr>
          <w:p>
            <w:r>
              <w:rPr>
                <w:rFonts w:ascii="Cambria" w:hAnsi="Cambria"/>
                <w:color w:val="000000"/>
                <w:sz w:val="19"/>
              </w:rPr>
              <w:t>II</w:t>
            </w:r>
          </w:p>
        </w:tc>
      </w:tr>
      <w:tr>
        <w:trPr>
          <w:cantSplit w:val="true"/>
        </w:trPr>
        <w:tc>
          <w:tcPr>
            <w:tcW w:type="dxa" w:w="3400"/>
            <w:tcMar>
              <w:top w:w="60" w:type="dxa"/>
              <w:bottom w:w="60" w:type="dxa"/>
              <w:start w:w="80" w:type="dxa"/>
              <w:end w:w="80" w:type="dxa"/>
            </w:tcMar>
          </w:tcPr>
          <w:p>
            <w:r>
              <w:rPr>
                <w:rFonts w:ascii="Cambria" w:hAnsi="Cambria"/>
                <w:color w:val="000000"/>
                <w:sz w:val="19"/>
              </w:rPr>
              <w:t>sintilimab, chemotherapy</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587"/>
            <w:tcMar>
              <w:top w:w="60" w:type="dxa"/>
              <w:bottom w:w="60" w:type="dxa"/>
              <w:start w:w="80" w:type="dxa"/>
              <w:end w:w="80" w:type="dxa"/>
            </w:tcMar>
          </w:tcPr>
          <w:p>
            <w:r>
              <w:rPr>
                <w:rFonts w:ascii="Cambria" w:hAnsi="Cambria"/>
                <w:color w:val="000000"/>
                <w:sz w:val="19"/>
              </w:rPr>
              <w:t>II</w:t>
            </w:r>
          </w:p>
        </w:tc>
      </w:tr>
      <w:tr>
        <w:trPr>
          <w:cantSplit w:val="true"/>
        </w:trPr>
        <w:tc>
          <w:tcPr>
            <w:tcW w:type="dxa" w:w="3400"/>
            <w:shd w:val="clear" w:color="auto" w:fill="f8fafc"/>
            <w:tcMar>
              <w:top w:w="60" w:type="dxa"/>
              <w:bottom w:w="60" w:type="dxa"/>
              <w:start w:w="80" w:type="dxa"/>
              <w:end w:w="80" w:type="dxa"/>
            </w:tcMar>
          </w:tcPr>
          <w:p>
            <w:r>
              <w:rPr>
                <w:rFonts w:ascii="Cambria" w:hAnsi="Cambria"/>
                <w:color w:val="000000"/>
                <w:sz w:val="19"/>
              </w:rPr>
              <w:t>fluzoparib, camrelizumab, chemotherapy</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587"/>
            <w:shd w:val="clear" w:color="auto" w:fill="f8fafc"/>
            <w:tcMar>
              <w:top w:w="60" w:type="dxa"/>
              <w:bottom w:w="60" w:type="dxa"/>
              <w:start w:w="80" w:type="dxa"/>
              <w:end w:w="80" w:type="dxa"/>
            </w:tcMar>
          </w:tcPr>
          <w:p>
            <w:r>
              <w:rPr>
                <w:rFonts w:ascii="Cambria" w:hAnsi="Cambria"/>
                <w:color w:val="000000"/>
                <w:sz w:val="19"/>
              </w:rPr>
              <w:t>I/II</w:t>
            </w:r>
          </w:p>
        </w:tc>
      </w:tr>
      <w:tr>
        <w:trPr>
          <w:cantSplit w:val="true"/>
        </w:trPr>
        <w:tc>
          <w:tcPr>
            <w:tcW w:type="dxa" w:w="3400"/>
            <w:tcMar>
              <w:top w:w="60" w:type="dxa"/>
              <w:bottom w:w="60" w:type="dxa"/>
              <w:start w:w="80" w:type="dxa"/>
              <w:end w:w="80" w:type="dxa"/>
            </w:tcMar>
          </w:tcPr>
          <w:p>
            <w:r>
              <w:rPr>
                <w:rFonts w:ascii="Cambria" w:hAnsi="Cambria"/>
                <w:color w:val="000000"/>
                <w:sz w:val="19"/>
              </w:rPr>
              <w:t>IMP-1734</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587"/>
            <w:tcMar>
              <w:top w:w="60" w:type="dxa"/>
              <w:bottom w:w="60" w:type="dxa"/>
              <w:start w:w="80" w:type="dxa"/>
              <w:end w:w="80" w:type="dxa"/>
            </w:tcMar>
          </w:tcPr>
          <w:p>
            <w:r>
              <w:rPr>
                <w:rFonts w:ascii="Cambria" w:hAnsi="Cambria"/>
                <w:color w:val="000000"/>
                <w:sz w:val="19"/>
              </w:rPr>
              <w:t>I/II</w:t>
            </w:r>
          </w:p>
        </w:tc>
      </w:tr>
      <w:tr>
        <w:trPr>
          <w:cantSplit w:val="true"/>
        </w:trPr>
        <w:tc>
          <w:tcPr>
            <w:tcW w:type="dxa" w:w="3400"/>
            <w:shd w:val="clear" w:color="auto" w:fill="f8fafc"/>
            <w:tcMar>
              <w:top w:w="60" w:type="dxa"/>
              <w:bottom w:w="60" w:type="dxa"/>
              <w:start w:w="80" w:type="dxa"/>
              <w:end w:w="80" w:type="dxa"/>
            </w:tcMar>
          </w:tcPr>
          <w:p>
            <w:r>
              <w:rPr>
                <w:rFonts w:ascii="Cambria" w:hAnsi="Cambria"/>
                <w:color w:val="000000"/>
                <w:sz w:val="19"/>
              </w:rPr>
              <w:t>tislelizumab, radiation therapy</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587"/>
            <w:shd w:val="clear" w:color="auto" w:fill="f8fafc"/>
            <w:tcMar>
              <w:top w:w="60" w:type="dxa"/>
              <w:bottom w:w="60" w:type="dxa"/>
              <w:start w:w="80" w:type="dxa"/>
              <w:end w:w="80" w:type="dxa"/>
            </w:tcMar>
          </w:tcPr>
          <w:p>
            <w:r>
              <w:rPr>
                <w:rFonts w:ascii="Cambria" w:hAnsi="Cambria"/>
                <w:color w:val="000000"/>
                <w:sz w:val="19"/>
              </w:rPr>
              <w:t>I/II</w:t>
            </w:r>
          </w:p>
        </w:tc>
      </w:tr>
      <w:tr>
        <w:trPr>
          <w:cantSplit w:val="true"/>
        </w:trPr>
        <w:tc>
          <w:tcPr>
            <w:tcW w:type="dxa" w:w="3400"/>
            <w:tcMar>
              <w:top w:w="60" w:type="dxa"/>
              <w:bottom w:w="60" w:type="dxa"/>
              <w:start w:w="80" w:type="dxa"/>
              <w:end w:w="80" w:type="dxa"/>
            </w:tcMar>
          </w:tcPr>
          <w:p>
            <w:r>
              <w:rPr>
                <w:rFonts w:ascii="Cambria" w:hAnsi="Cambria"/>
                <w:color w:val="000000"/>
                <w:sz w:val="19"/>
              </w:rPr>
              <w:t>A2A-252</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587"/>
            <w:tcMar>
              <w:top w:w="60" w:type="dxa"/>
              <w:bottom w:w="60" w:type="dxa"/>
              <w:start w:w="80" w:type="dxa"/>
              <w:end w:w="80" w:type="dxa"/>
            </w:tcMar>
          </w:tcPr>
          <w:p>
            <w:r>
              <w:rPr>
                <w:rFonts w:ascii="Cambria" w:hAnsi="Cambria"/>
                <w:color w:val="000000"/>
                <w:sz w:val="19"/>
              </w:rPr>
              <w:t>I</w:t>
            </w:r>
          </w:p>
        </w:tc>
      </w:tr>
      <w:tr>
        <w:trPr>
          <w:cantSplit w:val="true"/>
        </w:trPr>
        <w:tc>
          <w:tcPr>
            <w:tcW w:type="dxa" w:w="3400"/>
            <w:shd w:val="clear" w:color="auto" w:fill="f8fafc"/>
            <w:tcMar>
              <w:top w:w="60" w:type="dxa"/>
              <w:bottom w:w="60" w:type="dxa"/>
              <w:start w:w="80" w:type="dxa"/>
              <w:end w:w="80" w:type="dxa"/>
            </w:tcMar>
          </w:tcPr>
          <w:p>
            <w:r>
              <w:rPr>
                <w:rFonts w:ascii="Cambria" w:hAnsi="Cambria"/>
                <w:color w:val="000000"/>
                <w:sz w:val="19"/>
              </w:rPr>
              <w:t>GB-3010</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587"/>
            <w:shd w:val="clear" w:color="auto" w:fill="f8fafc"/>
            <w:tcMar>
              <w:top w:w="60" w:type="dxa"/>
              <w:bottom w:w="60" w:type="dxa"/>
              <w:start w:w="80" w:type="dxa"/>
              <w:end w:w="80" w:type="dxa"/>
            </w:tcMar>
          </w:tcPr>
          <w:p>
            <w:r>
              <w:rPr>
                <w:rFonts w:ascii="Cambria" w:hAnsi="Cambria"/>
                <w:color w:val="000000"/>
                <w:sz w:val="19"/>
              </w:rPr>
              <w:t>I</w:t>
            </w:r>
          </w:p>
        </w:tc>
      </w:tr>
      <w:tr>
        <w:trPr>
          <w:cantSplit w:val="true"/>
        </w:trPr>
        <w:tc>
          <w:tcPr>
            <w:tcW w:type="dxa" w:w="3400"/>
            <w:tcMar>
              <w:top w:w="60" w:type="dxa"/>
              <w:bottom w:w="60" w:type="dxa"/>
              <w:start w:w="80" w:type="dxa"/>
              <w:end w:w="80" w:type="dxa"/>
            </w:tcMar>
          </w:tcPr>
          <w:p>
            <w:r>
              <w:rPr>
                <w:rFonts w:ascii="Cambria" w:hAnsi="Cambria"/>
                <w:color w:val="000000"/>
                <w:sz w:val="19"/>
              </w:rPr>
              <w:t>lunresertib, camonsertib, Debio-0123</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587"/>
            <w:tcMar>
              <w:top w:w="60" w:type="dxa"/>
              <w:bottom w:w="60" w:type="dxa"/>
              <w:start w:w="80" w:type="dxa"/>
              <w:end w:w="80" w:type="dxa"/>
            </w:tcMar>
          </w:tcPr>
          <w:p>
            <w:r>
              <w:rPr>
                <w:rFonts w:ascii="Cambria" w:hAnsi="Cambria"/>
                <w:color w:val="000000"/>
                <w:sz w:val="19"/>
              </w:rPr>
              <w:t>I</w:t>
            </w:r>
          </w:p>
        </w:tc>
      </w:tr>
      <w:tr>
        <w:trPr>
          <w:cantSplit w:val="true"/>
        </w:trPr>
        <w:tc>
          <w:tcPr>
            <w:tcW w:type="dxa" w:w="3400"/>
            <w:shd w:val="clear" w:color="auto" w:fill="f8fafc"/>
            <w:tcMar>
              <w:top w:w="60" w:type="dxa"/>
              <w:bottom w:w="60" w:type="dxa"/>
              <w:start w:w="80" w:type="dxa"/>
              <w:end w:w="80" w:type="dxa"/>
            </w:tcMar>
          </w:tcPr>
          <w:p>
            <w:r>
              <w:rPr>
                <w:rFonts w:ascii="Cambria" w:hAnsi="Cambria"/>
                <w:color w:val="000000"/>
                <w:sz w:val="19"/>
              </w:rPr>
              <w:t>SC0245</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587"/>
            <w:shd w:val="clear" w:color="auto" w:fill="f8fafc"/>
            <w:tcMar>
              <w:top w:w="60" w:type="dxa"/>
              <w:bottom w:w="60" w:type="dxa"/>
              <w:start w:w="80" w:type="dxa"/>
              <w:end w:w="80" w:type="dxa"/>
            </w:tcMar>
          </w:tcPr>
          <w:p>
            <w:r>
              <w:rPr>
                <w:rFonts w:ascii="Cambria" w:hAnsi="Cambria"/>
                <w:color w:val="000000"/>
                <w:sz w:val="19"/>
              </w:rPr>
              <w:t>I</w:t>
            </w:r>
          </w:p>
        </w:tc>
      </w:tr>
    </w:tbl>
    <w:p>
      <w:pPr>
        <w:spacing w:before="0" w:after="120"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Note</w:t>
            </w:r>
          </w:p>
        </w:tc>
        <w:tc>
          <w:tcPr>
            <w:tcW w:type="dxa" w:w="3168"/>
            <w:tcMar>
              <w:top w:w="20" w:type="dxa"/>
              <w:bottom w:w="20" w:type="dxa"/>
              <w:start w:w="40" w:type="dxa"/>
              <w:end w:w="40" w:type="dxa"/>
            </w:tcMar>
          </w:tcPr>
          <w:p>
            <w:r>
              <w:rPr>
                <w:rFonts w:ascii="Cambria" w:hAnsi="Cambria"/>
                <w:color w:val="000000"/>
                <w:sz w:val="20"/>
              </w:rPr>
              <w:t>✓ : In this Cancer Type,  ✓ : In Other Cancer Type,  ✓ ✓ : both In this and Other Cancer Type,  X  : No Evidence. ⚠️ :</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keepNext/>
        <w:spacing w:before="258" w:after="60"/>
        <w:jc w:val="left"/>
      </w:pPr>
      <w:r>
        <w:rPr>
          <w:rFonts w:ascii="Cambria" w:hAnsi="Cambria"/>
          <w:b/>
          <w:i w:val="0"/>
          <w:color w:val="008080"/>
          <w:sz w:val="22"/>
        </w:rPr>
        <w:t>Test Description</w:t>
      </w:r>
    </w:p>
    <w:p>
      <w:pPr>
        <w:spacing w:before="90" w:after="80" w:line="276" w:lineRule="auto"/>
        <w:jc w:val="left"/>
      </w:pPr>
      <w:r>
        <w:rPr>
          <w:rFonts w:ascii="Cambria" w:hAnsi="Cambria"/>
          <w:color w:val="000000"/>
          <w:sz w:val="20"/>
        </w:rPr>
        <w:t>Liquidseq Actionable Genomic Profiling Panel is advancing precision oncology research through the analysis of multiple relevant biomarkers in a single next-generation sequencing (NGS) test.</w:t>
      </w:r>
    </w:p>
    <w:p>
      <w:pPr>
        <w:spacing w:before="360" w:after="80" w:line="276" w:lineRule="auto"/>
        <w:jc w:val="left"/>
      </w:pPr>
      <w:r>
        <w:rPr>
          <w:rFonts w:ascii="Cambria" w:hAnsi="Cambria"/>
          <w:color w:val="000000"/>
          <w:sz w:val="20"/>
        </w:rPr>
        <w:t>The Liquidseq Actionable Genomic Profiling assay analyses  34  unique genes ( 28  DNA +  6  Fusions driver genes) for single gene and multiple gene biomarker insights, detects single gene biomarkers from all variant types including  SNVs, indels, CNVs, known and novel fusions, and splice variants.  Analyze complex multi-gene biomarkers for mutational signatures, including microsatellite instability ( MSI ) for immunotherapy research.</w:t>
      </w:r>
    </w:p>
    <w:p>
      <w:pPr>
        <w:spacing w:before="360" w:after="80" w:line="276" w:lineRule="auto"/>
        <w:jc w:val="left"/>
      </w:pPr>
      <w:r>
        <w:rPr>
          <w:rFonts w:ascii="Cambria" w:hAnsi="Cambria"/>
          <w:color w:val="000000"/>
          <w:sz w:val="20"/>
        </w:rPr>
        <w:t>The performance of the panel was verified using both commercially sourced reference controls and cell-free DNA (cfTNA)samples.</w:t>
      </w:r>
    </w:p>
    <w:p>
      <w:pPr>
        <w:spacing w:before="360" w:after="80" w:line="276" w:lineRule="auto"/>
        <w:jc w:val="left"/>
      </w:pPr>
      <w:r>
        <w:rPr>
          <w:rFonts w:ascii="Cambria" w:hAnsi="Cambria"/>
          <w:color w:val="000000"/>
          <w:sz w:val="20"/>
        </w:rPr>
        <w:t>Test Methodology Extraction &amp; Library Preparation: Cell free Total Nucleic acid (cfTNA) extracted from the liquid biopsy sample is used for targeted gene capture using a custom designed hybrid capture panel. In process quality controls were determined for prepared library.</w:t>
      </w:r>
    </w:p>
    <w:p>
      <w:pPr>
        <w:spacing w:before="296" w:after="120"/>
        <w:jc w:val="center"/>
      </w:pPr>
      <w:r>
        <w:drawing>
          <wp:inline xmlns:a="http://schemas.openxmlformats.org/drawingml/2006/main" xmlns:pic="http://schemas.openxmlformats.org/drawingml/2006/picture">
            <wp:extent cx="1536700" cy="6731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4" name="Picture 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5" name="Picture 1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0"/>
          <w:footerReference w:type="default" r:id="rId21"/>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Sequencing</w:t>
            </w:r>
          </w:p>
        </w:tc>
        <w:tc>
          <w:tcPr>
            <w:tcW w:type="dxa" w:w="3168"/>
            <w:tcMar>
              <w:top w:w="20" w:type="dxa"/>
              <w:bottom w:w="20" w:type="dxa"/>
              <w:start w:w="40" w:type="dxa"/>
              <w:end w:w="40" w:type="dxa"/>
            </w:tcMar>
          </w:tcPr>
          <w:p>
            <w:r>
              <w:rPr>
                <w:rFonts w:ascii="Cambria" w:hAnsi="Cambria"/>
                <w:color w:val="000000"/>
                <w:sz w:val="20"/>
              </w:rPr>
              <w:t>The   libraries   were   sequenced   at   mean   depth:   &gt;25,000x   on   Illumina   Novaseq-   next   generation   sequ</w:t>
            </w:r>
          </w:p>
        </w:tc>
        <w:tc>
          <w:tcPr>
            <w:tcW w:type="dxa" w:w="1440"/>
            <w:tcMar>
              <w:top w:w="20" w:type="dxa"/>
              <w:bottom w:w="20" w:type="dxa"/>
              <w:start w:w="40" w:type="dxa"/>
              <w:end w:w="40" w:type="dxa"/>
            </w:tcMar>
          </w:tcPr>
          <w:p>
            <w:r>
              <w:rPr>
                <w:rFonts w:ascii="Cambria" w:hAnsi="Cambria"/>
                <w:b/>
                <w:color w:val="1F497D"/>
                <w:sz w:val="20"/>
              </w:rPr>
              <w:t>Data   Analysis</w:t>
            </w:r>
          </w:p>
        </w:tc>
        <w:tc>
          <w:tcPr>
            <w:tcW w:type="dxa" w:w="3168"/>
            <w:tcMar>
              <w:top w:w="20" w:type="dxa"/>
              <w:bottom w:w="20" w:type="dxa"/>
              <w:start w:w="40" w:type="dxa"/>
              <w:end w:w="40" w:type="dxa"/>
            </w:tcMar>
          </w:tcPr>
          <w:p>
            <w:r>
              <w:rPr>
                <w:rFonts w:ascii="Cambria" w:hAnsi="Cambria"/>
                <w:color w:val="000000"/>
                <w:sz w:val="20"/>
              </w:rPr>
              <w:t>Sequencing   data   analyzed   using   a   customized   and   validated   bioinformatics   pipeline   capable   of   det</w:t>
            </w:r>
          </w:p>
        </w:tc>
      </w:tr>
    </w:tbl>
    <w:p>
      <w:pPr>
        <w:spacing w:before="0" w:after="80" w:line="20" w:lineRule="exact"/>
      </w:pPr>
      <w:r>
        <w:rPr>
          <w:sz w:val="2"/>
        </w:rPr>
      </w:r>
    </w:p>
    <w:p>
      <w:pPr>
        <w:spacing w:before="80" w:after="80" w:line="276" w:lineRule="auto"/>
        <w:jc w:val="left"/>
      </w:pPr>
      <w:r>
        <w:rPr>
          <w:rFonts w:ascii="Cambria" w:hAnsi="Cambria"/>
          <w:color w:val="000000"/>
          <w:sz w:val="20"/>
        </w:rPr>
        <w:t>Limit of Detection (LOD): The LOD for SNVs and Short InDels is 0.1% Variant allele Frequency (VAF) and for Fusions is 05 supporting reads.</w:t>
      </w:r>
    </w:p>
    <w:p>
      <w:pPr>
        <w:keepNext/>
        <w:spacing w:before="360" w:after="60"/>
        <w:jc w:val="left"/>
      </w:pPr>
      <w:r>
        <w:rPr>
          <w:rFonts w:ascii="Cambria" w:hAnsi="Cambria"/>
          <w:b/>
          <w:i w:val="0"/>
          <w:color w:val="008080"/>
          <w:sz w:val="22"/>
        </w:rPr>
        <w:t>Notes</w:t>
      </w:r>
    </w:p>
    <w:p>
      <w:pPr>
        <w:spacing w:before="90" w:after="80" w:line="276" w:lineRule="auto"/>
        <w:jc w:val="left"/>
      </w:pPr>
      <w:r>
        <w:rPr>
          <w:rFonts w:ascii="Cambria" w:hAnsi="Cambria"/>
          <w:color w:val="000000"/>
          <w:sz w:val="20"/>
        </w:rPr>
        <w:t>Treatment decisions should not be based solely on the results of this test. Findings must be interpreted in the context of the patient’s complete clinical profile—including pathological, radiological, and family history—to guide diagnosis, prognosis, and therapeutic decisions.</w:t>
      </w:r>
    </w:p>
    <w:p>
      <w:pPr>
        <w:spacing w:before="360" w:after="80" w:line="276" w:lineRule="auto"/>
        <w:jc w:val="left"/>
      </w:pPr>
      <w:r>
        <w:rPr>
          <w:rFonts w:ascii="Cambria" w:hAnsi="Cambria"/>
          <w:color w:val="000000"/>
          <w:sz w:val="20"/>
        </w:rPr>
        <w:t>Therapy-related information in this report is derived from multiple sources including FDA-approved drug data, NCCN guidelines, peer-reviewed literature, standard clinical databases, and biomarker evidence strength. However, therapy options listed may not be suitable or beneficial for all patients. This report aims to provide a summary of potentially effective treatments, therapies that may pose increased risks, and those that may have limited benefit, based on genomic alterations identified. Prognostic and diagnostic biomarkers relevant to the disease context may also be reported.</w:t>
      </w:r>
    </w:p>
    <w:p>
      <w:pPr>
        <w:spacing w:before="360" w:after="80" w:line="276" w:lineRule="auto"/>
        <w:jc w:val="left"/>
      </w:pPr>
      <w:r>
        <w:rPr>
          <w:rFonts w:ascii="Cambria" w:hAnsi="Cambria"/>
          <w:color w:val="000000"/>
          <w:sz w:val="20"/>
        </w:rPr>
        <w:t>Laboratory does not guarantee completeness, accuracy, or eligibility for trial enrollment. Physicians must verify eligibility criteria for specific trials independently.</w:t>
      </w:r>
    </w:p>
    <w:p>
      <w:pPr>
        <w:spacing w:before="360" w:after="80" w:line="276" w:lineRule="auto"/>
        <w:jc w:val="left"/>
      </w:pPr>
      <w:r>
        <w:rPr>
          <w:rFonts w:ascii="Cambria" w:hAnsi="Cambria"/>
          <w:color w:val="000000"/>
          <w:sz w:val="20"/>
        </w:rPr>
        <w:t>Identification of a genomic alteration does not guarantee therapeutic efficacy or predict ineffectiveness. Final decisions on treatment should rest with the treating physician. The absence of reported therapeutic options does not imply ineffectiveness or lack of safety of any medication selected independently.</w:t>
      </w:r>
    </w:p>
    <w:p>
      <w:pPr>
        <w:spacing w:before="360" w:after="80" w:line="276" w:lineRule="auto"/>
        <w:jc w:val="left"/>
      </w:pPr>
      <w:r>
        <w:rPr>
          <w:rFonts w:ascii="Cambria" w:hAnsi="Cambria"/>
          <w:color w:val="000000"/>
          <w:sz w:val="20"/>
        </w:rPr>
        <w:t>All variant classifications and related clinical information are based on the latest evidence from peer-reviewed publications, public clinical databases, and medical guidelines (e.g., NCCN, ASCO, AMP) available at the time of report generation. However, literature is continuously evolving, and classification may change with emerging evidence.</w:t>
      </w:r>
    </w:p>
    <w:p>
      <w:pPr>
        <w:spacing w:before="360" w:after="80" w:line="276" w:lineRule="auto"/>
        <w:jc w:val="left"/>
      </w:pPr>
      <w:r>
        <w:rPr>
          <w:rFonts w:ascii="Cambria" w:hAnsi="Cambria"/>
          <w:color w:val="000000"/>
          <w:sz w:val="20"/>
        </w:rPr>
        <w:t>The assay is designed and validated for somatic variant detection, it does not differentiate between somatic and germline variants. If indicated, germline testing and genetic counselling are recommended.</w:t>
      </w:r>
    </w:p>
    <w:p>
      <w:pPr>
        <w:spacing w:before="360" w:after="120"/>
        <w:jc w:val="center"/>
      </w:pPr>
      <w:r>
        <w:drawing>
          <wp:inline xmlns:a="http://schemas.openxmlformats.org/drawingml/2006/main" xmlns:pic="http://schemas.openxmlformats.org/drawingml/2006/picture">
            <wp:extent cx="1536700" cy="673100"/>
            <wp:docPr id="16" name="Picture 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7" name="Picture 1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8" name="Picture 1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2"/>
          <w:footerReference w:type="default" r:id="rId23"/>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Poor-quality cfDNA/ Previous or Ongoing therapy may fail QC thresholds at various stages such as cfDNA extraction, library preparation, or bioinformatics, and may result in assay failure or compromised results, such as low gene coverage or shallow variant depth.</w:t>
      </w:r>
    </w:p>
    <w:p>
      <w:pPr>
        <w:spacing w:before="360" w:after="80" w:line="276" w:lineRule="auto"/>
        <w:jc w:val="left"/>
      </w:pPr>
      <w:r>
        <w:rPr>
          <w:rFonts w:ascii="Cambria" w:hAnsi="Cambria"/>
          <w:color w:val="000000"/>
          <w:sz w:val="20"/>
        </w:rPr>
        <w:t>Variants with lower allele frequencies may be reported if they are of strong or potential clinical relevance, or if previously detected in the same patient. False positives or negatives below assay sensitivity cannot be ruled out.</w:t>
      </w:r>
    </w:p>
    <w:p>
      <w:pPr>
        <w:spacing w:before="360" w:after="80" w:line="276" w:lineRule="auto"/>
        <w:jc w:val="left"/>
      </w:pPr>
      <w:r>
        <w:rPr>
          <w:rFonts w:ascii="Cambria" w:hAnsi="Cambria"/>
          <w:color w:val="000000"/>
          <w:sz w:val="20"/>
        </w:rPr>
        <w:t>CNVs/gene amplifications reported, Confirmation using orthogonal methods such as DDPCR is recommended when clinically indicated.</w:t>
      </w:r>
    </w:p>
    <w:p>
      <w:pPr>
        <w:spacing w:before="360" w:after="80" w:line="276" w:lineRule="auto"/>
        <w:jc w:val="left"/>
      </w:pPr>
      <w:r>
        <w:rPr>
          <w:rFonts w:ascii="Cambria" w:hAnsi="Cambria"/>
          <w:color w:val="000000"/>
          <w:sz w:val="20"/>
        </w:rPr>
        <w:t>Variants in non-coding regions or deep intronic sequences are not assessed in this assay.</w:t>
      </w:r>
    </w:p>
    <w:p>
      <w:pPr>
        <w:spacing w:before="80" w:after="80" w:line="276" w:lineRule="auto"/>
        <w:jc w:val="left"/>
      </w:pPr>
      <w:r>
        <w:rPr>
          <w:rFonts w:ascii="Cambria" w:hAnsi="Cambria"/>
          <w:color w:val="000000"/>
          <w:sz w:val="20"/>
        </w:rPr>
        <w:t>This assay is under the scope of NABL as Liquidseq Actionable Panel.</w:t>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093"/>
        <w:gridCol w:w="2093"/>
        <w:gridCol w:w="2093"/>
        <w:gridCol w:w="2093"/>
        <w:gridCol w:w="2093"/>
      </w:tblGrid>
      <w:tr>
        <w:trPr>
          <w:tblHeader w:val="true"/>
          <w:cantSplit w:val="true"/>
        </w:trPr>
        <w:tc>
          <w:tcPr>
            <w:tcW w:type="dxa" w:w="2451"/>
            <w:shd w:val="clear" w:color="auto" w:fill="1f497d"/>
            <w:tcMar>
              <w:top w:w="60" w:type="dxa"/>
              <w:bottom w:w="60" w:type="dxa"/>
              <w:start w:w="80" w:type="dxa"/>
              <w:end w:w="80" w:type="dxa"/>
            </w:tcMar>
          </w:tcPr>
          <w:p>
            <w:pPr>
              <w:jc w:val="center"/>
            </w:pPr>
            <w:r>
              <w:rPr>
                <w:rFonts w:ascii="Cambria" w:hAnsi="Cambria"/>
                <w:b/>
                <w:color w:val="FFFFFF"/>
                <w:sz w:val="19"/>
              </w:rPr>
              <w:t>DNA Gene List</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2</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3</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4</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5</w:t>
            </w:r>
          </w:p>
        </w:tc>
      </w:tr>
      <w:tr>
        <w:trPr>
          <w:cantSplit w:val="true"/>
        </w:trPr>
        <w:tc>
          <w:tcPr>
            <w:tcW w:type="dxa" w:w="2451"/>
            <w:tcMar>
              <w:top w:w="60" w:type="dxa"/>
              <w:bottom w:w="60" w:type="dxa"/>
              <w:start w:w="80" w:type="dxa"/>
              <w:end w:w="80" w:type="dxa"/>
            </w:tcMar>
          </w:tcPr>
          <w:p>
            <w:r>
              <w:rPr>
                <w:rFonts w:ascii="Cambria" w:hAnsi="Cambria"/>
                <w:color w:val="000000"/>
                <w:sz w:val="19"/>
              </w:rPr>
              <w:t>AKT1</w:t>
            </w:r>
          </w:p>
        </w:tc>
        <w:tc>
          <w:tcPr>
            <w:tcW w:type="dxa" w:w="2004"/>
            <w:tcMar>
              <w:top w:w="60" w:type="dxa"/>
              <w:bottom w:w="60" w:type="dxa"/>
              <w:start w:w="80" w:type="dxa"/>
              <w:end w:w="80" w:type="dxa"/>
            </w:tcMar>
          </w:tcPr>
          <w:p>
            <w:r>
              <w:rPr>
                <w:rFonts w:ascii="Cambria" w:hAnsi="Cambria"/>
                <w:color w:val="000000"/>
                <w:sz w:val="19"/>
              </w:rPr>
              <w:t>ALK</w:t>
            </w:r>
          </w:p>
        </w:tc>
        <w:tc>
          <w:tcPr>
            <w:tcW w:type="dxa" w:w="2004"/>
            <w:tcMar>
              <w:top w:w="60" w:type="dxa"/>
              <w:bottom w:w="60" w:type="dxa"/>
              <w:start w:w="80" w:type="dxa"/>
              <w:end w:w="80" w:type="dxa"/>
            </w:tcMar>
          </w:tcPr>
          <w:p>
            <w:r>
              <w:rPr>
                <w:rFonts w:ascii="Cambria" w:hAnsi="Cambria"/>
                <w:color w:val="000000"/>
                <w:sz w:val="19"/>
              </w:rPr>
              <w:t>APC</w:t>
            </w:r>
          </w:p>
        </w:tc>
        <w:tc>
          <w:tcPr>
            <w:tcW w:type="dxa" w:w="2004"/>
            <w:tcMar>
              <w:top w:w="60" w:type="dxa"/>
              <w:bottom w:w="60" w:type="dxa"/>
              <w:start w:w="80" w:type="dxa"/>
              <w:end w:w="80" w:type="dxa"/>
            </w:tcMar>
          </w:tcPr>
          <w:p>
            <w:r>
              <w:rPr>
                <w:rFonts w:ascii="Cambria" w:hAnsi="Cambria"/>
                <w:color w:val="000000"/>
                <w:sz w:val="19"/>
              </w:rPr>
              <w:t>ATM</w:t>
            </w:r>
          </w:p>
        </w:tc>
        <w:tc>
          <w:tcPr>
            <w:tcW w:type="dxa" w:w="2004"/>
            <w:tcMar>
              <w:top w:w="60" w:type="dxa"/>
              <w:bottom w:w="60" w:type="dxa"/>
              <w:start w:w="80" w:type="dxa"/>
              <w:end w:w="80" w:type="dxa"/>
            </w:tcMar>
          </w:tcPr>
          <w:p>
            <w:r>
              <w:rPr>
                <w:rFonts w:ascii="Cambria" w:hAnsi="Cambria"/>
                <w:color w:val="000000"/>
                <w:sz w:val="19"/>
              </w:rPr>
              <w:t>BRAF</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BRCA1</w:t>
            </w:r>
          </w:p>
        </w:tc>
        <w:tc>
          <w:tcPr>
            <w:tcW w:type="dxa" w:w="2004"/>
            <w:shd w:val="clear" w:color="auto" w:fill="f8fafc"/>
            <w:tcMar>
              <w:top w:w="60" w:type="dxa"/>
              <w:bottom w:w="60" w:type="dxa"/>
              <w:start w:w="80" w:type="dxa"/>
              <w:end w:w="80" w:type="dxa"/>
            </w:tcMar>
          </w:tcPr>
          <w:p>
            <w:r>
              <w:rPr>
                <w:rFonts w:ascii="Cambria" w:hAnsi="Cambria"/>
                <w:color w:val="000000"/>
                <w:sz w:val="19"/>
              </w:rPr>
              <w:t>BRCA2</w:t>
            </w:r>
          </w:p>
        </w:tc>
        <w:tc>
          <w:tcPr>
            <w:tcW w:type="dxa" w:w="2004"/>
            <w:shd w:val="clear" w:color="auto" w:fill="f8fafc"/>
            <w:tcMar>
              <w:top w:w="60" w:type="dxa"/>
              <w:bottom w:w="60" w:type="dxa"/>
              <w:start w:w="80" w:type="dxa"/>
              <w:end w:w="80" w:type="dxa"/>
            </w:tcMar>
          </w:tcPr>
          <w:p>
            <w:r>
              <w:rPr>
                <w:rFonts w:ascii="Cambria" w:hAnsi="Cambria"/>
                <w:color w:val="000000"/>
                <w:sz w:val="19"/>
              </w:rPr>
              <w:t>CTNNB1</w:t>
            </w:r>
          </w:p>
        </w:tc>
        <w:tc>
          <w:tcPr>
            <w:tcW w:type="dxa" w:w="2004"/>
            <w:shd w:val="clear" w:color="auto" w:fill="f8fafc"/>
            <w:tcMar>
              <w:top w:w="60" w:type="dxa"/>
              <w:bottom w:w="60" w:type="dxa"/>
              <w:start w:w="80" w:type="dxa"/>
              <w:end w:w="80" w:type="dxa"/>
            </w:tcMar>
          </w:tcPr>
          <w:p>
            <w:r>
              <w:rPr>
                <w:rFonts w:ascii="Cambria" w:hAnsi="Cambria"/>
                <w:color w:val="000000"/>
                <w:sz w:val="19"/>
              </w:rPr>
              <w:t>EGFR</w:t>
            </w:r>
          </w:p>
        </w:tc>
        <w:tc>
          <w:tcPr>
            <w:tcW w:type="dxa" w:w="2004"/>
            <w:shd w:val="clear" w:color="auto" w:fill="f8fafc"/>
            <w:tcMar>
              <w:top w:w="60" w:type="dxa"/>
              <w:bottom w:w="60" w:type="dxa"/>
              <w:start w:w="80" w:type="dxa"/>
              <w:end w:w="80" w:type="dxa"/>
            </w:tcMar>
          </w:tcPr>
          <w:p>
            <w:r>
              <w:rPr>
                <w:rFonts w:ascii="Cambria" w:hAnsi="Cambria"/>
                <w:color w:val="000000"/>
                <w:sz w:val="19"/>
              </w:rPr>
              <w:t>ERBB2</w:t>
            </w:r>
          </w:p>
        </w:tc>
      </w:tr>
      <w:tr>
        <w:trPr>
          <w:cantSplit w:val="true"/>
        </w:trPr>
        <w:tc>
          <w:tcPr>
            <w:tcW w:type="dxa" w:w="2451"/>
            <w:tcMar>
              <w:top w:w="60" w:type="dxa"/>
              <w:bottom w:w="60" w:type="dxa"/>
              <w:start w:w="80" w:type="dxa"/>
              <w:end w:w="80" w:type="dxa"/>
            </w:tcMar>
          </w:tcPr>
          <w:p>
            <w:r>
              <w:rPr>
                <w:rFonts w:ascii="Cambria" w:hAnsi="Cambria"/>
                <w:color w:val="000000"/>
                <w:sz w:val="19"/>
              </w:rPr>
              <w:t>ERBB3</w:t>
            </w:r>
          </w:p>
        </w:tc>
        <w:tc>
          <w:tcPr>
            <w:tcW w:type="dxa" w:w="2004"/>
            <w:tcMar>
              <w:top w:w="60" w:type="dxa"/>
              <w:bottom w:w="60" w:type="dxa"/>
              <w:start w:w="80" w:type="dxa"/>
              <w:end w:w="80" w:type="dxa"/>
            </w:tcMar>
          </w:tcPr>
          <w:p>
            <w:r>
              <w:rPr>
                <w:rFonts w:ascii="Cambria" w:hAnsi="Cambria"/>
                <w:color w:val="000000"/>
                <w:sz w:val="19"/>
              </w:rPr>
              <w:t>ESR1</w:t>
            </w:r>
          </w:p>
        </w:tc>
        <w:tc>
          <w:tcPr>
            <w:tcW w:type="dxa" w:w="2004"/>
            <w:tcMar>
              <w:top w:w="60" w:type="dxa"/>
              <w:bottom w:w="60" w:type="dxa"/>
              <w:start w:w="80" w:type="dxa"/>
              <w:end w:w="80" w:type="dxa"/>
            </w:tcMar>
          </w:tcPr>
          <w:p>
            <w:r>
              <w:rPr>
                <w:rFonts w:ascii="Cambria" w:hAnsi="Cambria"/>
                <w:color w:val="000000"/>
                <w:sz w:val="19"/>
              </w:rPr>
              <w:t>FOXL2</w:t>
            </w:r>
          </w:p>
        </w:tc>
        <w:tc>
          <w:tcPr>
            <w:tcW w:type="dxa" w:w="2004"/>
            <w:tcMar>
              <w:top w:w="60" w:type="dxa"/>
              <w:bottom w:w="60" w:type="dxa"/>
              <w:start w:w="80" w:type="dxa"/>
              <w:end w:w="80" w:type="dxa"/>
            </w:tcMar>
          </w:tcPr>
          <w:p>
            <w:r>
              <w:rPr>
                <w:rFonts w:ascii="Cambria" w:hAnsi="Cambria"/>
                <w:color w:val="000000"/>
                <w:sz w:val="19"/>
              </w:rPr>
              <w:t>GNA11</w:t>
            </w:r>
          </w:p>
        </w:tc>
        <w:tc>
          <w:tcPr>
            <w:tcW w:type="dxa" w:w="2004"/>
            <w:tcMar>
              <w:top w:w="60" w:type="dxa"/>
              <w:bottom w:w="60" w:type="dxa"/>
              <w:start w:w="80" w:type="dxa"/>
              <w:end w:w="80" w:type="dxa"/>
            </w:tcMar>
          </w:tcPr>
          <w:p>
            <w:r>
              <w:rPr>
                <w:rFonts w:ascii="Cambria" w:hAnsi="Cambria"/>
                <w:color w:val="000000"/>
                <w:sz w:val="19"/>
              </w:rPr>
              <w:t>GNAQ</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HRAS</w:t>
            </w:r>
          </w:p>
        </w:tc>
        <w:tc>
          <w:tcPr>
            <w:tcW w:type="dxa" w:w="2004"/>
            <w:shd w:val="clear" w:color="auto" w:fill="f8fafc"/>
            <w:tcMar>
              <w:top w:w="60" w:type="dxa"/>
              <w:bottom w:w="60" w:type="dxa"/>
              <w:start w:w="80" w:type="dxa"/>
              <w:end w:w="80" w:type="dxa"/>
            </w:tcMar>
          </w:tcPr>
          <w:p>
            <w:r>
              <w:rPr>
                <w:rFonts w:ascii="Cambria" w:hAnsi="Cambria"/>
                <w:color w:val="000000"/>
                <w:sz w:val="19"/>
              </w:rPr>
              <w:t>IDH1</w:t>
            </w:r>
          </w:p>
        </w:tc>
        <w:tc>
          <w:tcPr>
            <w:tcW w:type="dxa" w:w="2004"/>
            <w:shd w:val="clear" w:color="auto" w:fill="f8fafc"/>
            <w:tcMar>
              <w:top w:w="60" w:type="dxa"/>
              <w:bottom w:w="60" w:type="dxa"/>
              <w:start w:w="80" w:type="dxa"/>
              <w:end w:w="80" w:type="dxa"/>
            </w:tcMar>
          </w:tcPr>
          <w:p>
            <w:r>
              <w:rPr>
                <w:rFonts w:ascii="Cambria" w:hAnsi="Cambria"/>
                <w:color w:val="000000"/>
                <w:sz w:val="19"/>
              </w:rPr>
              <w:t>IDH2</w:t>
            </w:r>
          </w:p>
        </w:tc>
        <w:tc>
          <w:tcPr>
            <w:tcW w:type="dxa" w:w="2004"/>
            <w:shd w:val="clear" w:color="auto" w:fill="f8fafc"/>
            <w:tcMar>
              <w:top w:w="60" w:type="dxa"/>
              <w:bottom w:w="60" w:type="dxa"/>
              <w:start w:w="80" w:type="dxa"/>
              <w:end w:w="80" w:type="dxa"/>
            </w:tcMar>
          </w:tcPr>
          <w:p>
            <w:r>
              <w:rPr>
                <w:rFonts w:ascii="Cambria" w:hAnsi="Cambria"/>
                <w:color w:val="000000"/>
                <w:sz w:val="19"/>
              </w:rPr>
              <w:t>KIT</w:t>
            </w:r>
          </w:p>
        </w:tc>
        <w:tc>
          <w:tcPr>
            <w:tcW w:type="dxa" w:w="2004"/>
            <w:shd w:val="clear" w:color="auto" w:fill="f8fafc"/>
            <w:tcMar>
              <w:top w:w="60" w:type="dxa"/>
              <w:bottom w:w="60" w:type="dxa"/>
              <w:start w:w="80" w:type="dxa"/>
              <w:end w:w="80" w:type="dxa"/>
            </w:tcMar>
          </w:tcPr>
          <w:p>
            <w:r>
              <w:rPr>
                <w:rFonts w:ascii="Cambria" w:hAnsi="Cambria"/>
                <w:color w:val="000000"/>
                <w:sz w:val="19"/>
              </w:rPr>
              <w:t>KRAS</w:t>
            </w:r>
          </w:p>
        </w:tc>
      </w:tr>
      <w:tr>
        <w:trPr>
          <w:cantSplit w:val="true"/>
        </w:trPr>
        <w:tc>
          <w:tcPr>
            <w:tcW w:type="dxa" w:w="2451"/>
            <w:tcMar>
              <w:top w:w="60" w:type="dxa"/>
              <w:bottom w:w="60" w:type="dxa"/>
              <w:start w:w="80" w:type="dxa"/>
              <w:end w:w="80" w:type="dxa"/>
            </w:tcMar>
          </w:tcPr>
          <w:p>
            <w:r>
              <w:rPr>
                <w:rFonts w:ascii="Cambria" w:hAnsi="Cambria"/>
                <w:color w:val="000000"/>
                <w:sz w:val="19"/>
              </w:rPr>
              <w:t>MET</w:t>
            </w:r>
          </w:p>
        </w:tc>
        <w:tc>
          <w:tcPr>
            <w:tcW w:type="dxa" w:w="2004"/>
            <w:tcMar>
              <w:top w:w="60" w:type="dxa"/>
              <w:bottom w:w="60" w:type="dxa"/>
              <w:start w:w="80" w:type="dxa"/>
              <w:end w:w="80" w:type="dxa"/>
            </w:tcMar>
          </w:tcPr>
          <w:p>
            <w:r>
              <w:rPr>
                <w:rFonts w:ascii="Cambria" w:hAnsi="Cambria"/>
                <w:color w:val="000000"/>
                <w:sz w:val="19"/>
              </w:rPr>
              <w:t>NRAS</w:t>
            </w:r>
          </w:p>
        </w:tc>
        <w:tc>
          <w:tcPr>
            <w:tcW w:type="dxa" w:w="2004"/>
            <w:tcMar>
              <w:top w:w="60" w:type="dxa"/>
              <w:bottom w:w="60" w:type="dxa"/>
              <w:start w:w="80" w:type="dxa"/>
              <w:end w:w="80" w:type="dxa"/>
            </w:tcMar>
          </w:tcPr>
          <w:p>
            <w:r>
              <w:rPr>
                <w:rFonts w:ascii="Cambria" w:hAnsi="Cambria"/>
                <w:color w:val="000000"/>
                <w:sz w:val="19"/>
              </w:rPr>
              <w:t>PDGFRA</w:t>
            </w:r>
          </w:p>
        </w:tc>
        <w:tc>
          <w:tcPr>
            <w:tcW w:type="dxa" w:w="2004"/>
            <w:tcMar>
              <w:top w:w="60" w:type="dxa"/>
              <w:bottom w:w="60" w:type="dxa"/>
              <w:start w:w="80" w:type="dxa"/>
              <w:end w:w="80" w:type="dxa"/>
            </w:tcMar>
          </w:tcPr>
          <w:p>
            <w:r>
              <w:rPr>
                <w:rFonts w:ascii="Cambria" w:hAnsi="Cambria"/>
                <w:color w:val="000000"/>
                <w:sz w:val="19"/>
              </w:rPr>
              <w:t>PIK3CA</w:t>
            </w:r>
          </w:p>
        </w:tc>
        <w:tc>
          <w:tcPr>
            <w:tcW w:type="dxa" w:w="2004"/>
            <w:tcMar>
              <w:top w:w="60" w:type="dxa"/>
              <w:bottom w:w="60" w:type="dxa"/>
              <w:start w:w="80" w:type="dxa"/>
              <w:end w:w="80" w:type="dxa"/>
            </w:tcMar>
          </w:tcPr>
          <w:p>
            <w:r>
              <w:rPr>
                <w:rFonts w:ascii="Cambria" w:hAnsi="Cambria"/>
                <w:color w:val="000000"/>
                <w:sz w:val="19"/>
              </w:rPr>
              <w:t>POLE</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RAF1</w:t>
            </w:r>
          </w:p>
        </w:tc>
        <w:tc>
          <w:tcPr>
            <w:tcW w:type="dxa" w:w="2004"/>
            <w:shd w:val="clear" w:color="auto" w:fill="f8fafc"/>
            <w:tcMar>
              <w:top w:w="60" w:type="dxa"/>
              <w:bottom w:w="60" w:type="dxa"/>
              <w:start w:w="80" w:type="dxa"/>
              <w:end w:w="80" w:type="dxa"/>
            </w:tcMar>
          </w:tcPr>
          <w:p>
            <w:r>
              <w:rPr>
                <w:rFonts w:ascii="Cambria" w:hAnsi="Cambria"/>
                <w:color w:val="000000"/>
                <w:sz w:val="19"/>
              </w:rPr>
              <w:t>RET</w:t>
            </w:r>
          </w:p>
        </w:tc>
        <w:tc>
          <w:tcPr>
            <w:tcW w:type="dxa" w:w="2004"/>
            <w:shd w:val="clear" w:color="auto" w:fill="f8fafc"/>
            <w:tcMar>
              <w:top w:w="60" w:type="dxa"/>
              <w:bottom w:w="60" w:type="dxa"/>
              <w:start w:w="80" w:type="dxa"/>
              <w:end w:w="80" w:type="dxa"/>
            </w:tcMar>
          </w:tcPr>
          <w:p>
            <w:r>
              <w:rPr>
                <w:rFonts w:ascii="Cambria" w:hAnsi="Cambria"/>
                <w:color w:val="000000"/>
                <w:sz w:val="19"/>
              </w:rPr>
              <w:t>TP53</w:t>
            </w:r>
          </w:p>
        </w:tc>
        <w:tc>
          <w:tcPr>
            <w:tcW w:type="dxa" w:w="2004"/>
            <w:shd w:val="clear" w:color="auto" w:fill="f8fafc"/>
            <w:tcMar>
              <w:top w:w="60" w:type="dxa"/>
              <w:bottom w:w="60" w:type="dxa"/>
              <w:start w:w="80" w:type="dxa"/>
              <w:end w:w="80" w:type="dxa"/>
            </w:tcMar>
          </w:tcPr>
          <w:p>
            <w:r>
              <w:rPr>
                <w:rFonts w:ascii="Cambria" w:hAnsi="Cambria"/>
                <w:color w:val="000000"/>
                <w:sz w:val="19"/>
              </w:rPr>
            </w:r>
          </w:p>
        </w:tc>
        <w:tc>
          <w:tcPr>
            <w:tcW w:type="dxa" w:w="2004"/>
            <w:shd w:val="clear" w:color="auto" w:fill="f8fafc"/>
            <w:tcMar>
              <w:top w:w="60" w:type="dxa"/>
              <w:bottom w:w="60" w:type="dxa"/>
              <w:start w:w="80" w:type="dxa"/>
              <w:end w:w="80" w:type="dxa"/>
            </w:tcMar>
          </w:tcPr>
          <w:p>
            <w:r>
              <w:rPr>
                <w:rFonts w:ascii="Cambria" w:hAnsi="Cambria"/>
                <w:color w:val="000000"/>
                <w:sz w:val="19"/>
              </w:rPr>
            </w:r>
          </w:p>
        </w:tc>
      </w:tr>
    </w:tbl>
    <w:p>
      <w:pPr>
        <w:spacing w:before="0" w:after="120" w:line="20" w:lineRule="exact"/>
      </w:pPr>
      <w:r>
        <w:rPr>
          <w:sz w:val="2"/>
        </w:rPr>
      </w:r>
    </w:p>
    <w:p>
      <w:pPr>
        <w:spacing w:before="0" w:after="279"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093"/>
        <w:gridCol w:w="2093"/>
        <w:gridCol w:w="2093"/>
        <w:gridCol w:w="2093"/>
        <w:gridCol w:w="2093"/>
      </w:tblGrid>
      <w:tr>
        <w:trPr>
          <w:tblHeader w:val="true"/>
          <w:cantSplit w:val="true"/>
        </w:trPr>
        <w:tc>
          <w:tcPr>
            <w:tcW w:type="dxa" w:w="2451"/>
            <w:shd w:val="clear" w:color="auto" w:fill="1f497d"/>
            <w:tcMar>
              <w:top w:w="60" w:type="dxa"/>
              <w:bottom w:w="60" w:type="dxa"/>
              <w:start w:w="80" w:type="dxa"/>
              <w:end w:w="80" w:type="dxa"/>
            </w:tcMar>
          </w:tcPr>
          <w:p>
            <w:pPr>
              <w:jc w:val="center"/>
            </w:pPr>
            <w:r>
              <w:rPr>
                <w:rFonts w:ascii="Cambria" w:hAnsi="Cambria"/>
                <w:b/>
                <w:color w:val="FFFFFF"/>
                <w:sz w:val="19"/>
              </w:rPr>
              <w:t>RNA Gene List</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2</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3</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4</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5</w:t>
            </w:r>
          </w:p>
        </w:tc>
      </w:tr>
      <w:tr>
        <w:trPr>
          <w:cantSplit w:val="true"/>
        </w:trPr>
        <w:tc>
          <w:tcPr>
            <w:tcW w:type="dxa" w:w="2451"/>
            <w:tcMar>
              <w:top w:w="60" w:type="dxa"/>
              <w:bottom w:w="60" w:type="dxa"/>
              <w:start w:w="80" w:type="dxa"/>
              <w:end w:w="80" w:type="dxa"/>
            </w:tcMar>
          </w:tcPr>
          <w:p>
            <w:r>
              <w:rPr>
                <w:rFonts w:ascii="Cambria" w:hAnsi="Cambria"/>
                <w:color w:val="000000"/>
                <w:sz w:val="19"/>
              </w:rPr>
              <w:t>ALK</w:t>
            </w:r>
          </w:p>
        </w:tc>
        <w:tc>
          <w:tcPr>
            <w:tcW w:type="dxa" w:w="2004"/>
            <w:tcMar>
              <w:top w:w="60" w:type="dxa"/>
              <w:bottom w:w="60" w:type="dxa"/>
              <w:start w:w="80" w:type="dxa"/>
              <w:end w:w="80" w:type="dxa"/>
            </w:tcMar>
          </w:tcPr>
          <w:p>
            <w:r>
              <w:rPr>
                <w:rFonts w:ascii="Cambria" w:hAnsi="Cambria"/>
                <w:color w:val="000000"/>
                <w:sz w:val="19"/>
              </w:rPr>
              <w:t>MET</w:t>
            </w:r>
          </w:p>
        </w:tc>
        <w:tc>
          <w:tcPr>
            <w:tcW w:type="dxa" w:w="2004"/>
            <w:tcMar>
              <w:top w:w="60" w:type="dxa"/>
              <w:bottom w:w="60" w:type="dxa"/>
              <w:start w:w="80" w:type="dxa"/>
              <w:end w:w="80" w:type="dxa"/>
            </w:tcMar>
          </w:tcPr>
          <w:p>
            <w:r>
              <w:rPr>
                <w:rFonts w:ascii="Cambria" w:hAnsi="Cambria"/>
                <w:color w:val="000000"/>
                <w:sz w:val="19"/>
              </w:rPr>
              <w:t>NTRK1</w:t>
            </w:r>
          </w:p>
        </w:tc>
        <w:tc>
          <w:tcPr>
            <w:tcW w:type="dxa" w:w="2004"/>
            <w:tcMar>
              <w:top w:w="60" w:type="dxa"/>
              <w:bottom w:w="60" w:type="dxa"/>
              <w:start w:w="80" w:type="dxa"/>
              <w:end w:w="80" w:type="dxa"/>
            </w:tcMar>
          </w:tcPr>
          <w:p>
            <w:r>
              <w:rPr>
                <w:rFonts w:ascii="Cambria" w:hAnsi="Cambria"/>
                <w:color w:val="000000"/>
                <w:sz w:val="19"/>
              </w:rPr>
              <w:t>NTRK2</w:t>
            </w:r>
          </w:p>
        </w:tc>
        <w:tc>
          <w:tcPr>
            <w:tcW w:type="dxa" w:w="2004"/>
            <w:tcMar>
              <w:top w:w="60" w:type="dxa"/>
              <w:bottom w:w="60" w:type="dxa"/>
              <w:start w:w="80" w:type="dxa"/>
              <w:end w:w="80" w:type="dxa"/>
            </w:tcMar>
          </w:tcPr>
          <w:p>
            <w:r>
              <w:rPr>
                <w:rFonts w:ascii="Cambria" w:hAnsi="Cambria"/>
                <w:color w:val="000000"/>
                <w:sz w:val="19"/>
              </w:rPr>
              <w:t>NTRK3</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ROS1</w:t>
            </w:r>
          </w:p>
        </w:tc>
        <w:tc>
          <w:tcPr>
            <w:tcW w:type="dxa" w:w="2004"/>
            <w:shd w:val="clear" w:color="auto" w:fill="f8fafc"/>
            <w:tcMar>
              <w:top w:w="60" w:type="dxa"/>
              <w:bottom w:w="60" w:type="dxa"/>
              <w:start w:w="80" w:type="dxa"/>
              <w:end w:w="80" w:type="dxa"/>
            </w:tcMar>
          </w:tcPr>
          <w:p>
            <w:r>
              <w:rPr>
                <w:rFonts w:ascii="Cambria" w:hAnsi="Cambria"/>
                <w:color w:val="000000"/>
                <w:sz w:val="19"/>
              </w:rPr>
            </w:r>
          </w:p>
        </w:tc>
        <w:tc>
          <w:tcPr>
            <w:tcW w:type="dxa" w:w="2004"/>
            <w:shd w:val="clear" w:color="auto" w:fill="f8fafc"/>
            <w:tcMar>
              <w:top w:w="60" w:type="dxa"/>
              <w:bottom w:w="60" w:type="dxa"/>
              <w:start w:w="80" w:type="dxa"/>
              <w:end w:w="80" w:type="dxa"/>
            </w:tcMar>
          </w:tcPr>
          <w:p>
            <w:r>
              <w:rPr>
                <w:rFonts w:ascii="Cambria" w:hAnsi="Cambria"/>
                <w:color w:val="000000"/>
                <w:sz w:val="19"/>
              </w:rPr>
            </w:r>
          </w:p>
        </w:tc>
        <w:tc>
          <w:tcPr>
            <w:tcW w:type="dxa" w:w="2004"/>
            <w:shd w:val="clear" w:color="auto" w:fill="f8fafc"/>
            <w:tcMar>
              <w:top w:w="60" w:type="dxa"/>
              <w:bottom w:w="60" w:type="dxa"/>
              <w:start w:w="80" w:type="dxa"/>
              <w:end w:w="80" w:type="dxa"/>
            </w:tcMar>
          </w:tcPr>
          <w:p>
            <w:r>
              <w:rPr>
                <w:rFonts w:ascii="Cambria" w:hAnsi="Cambria"/>
                <w:color w:val="000000"/>
                <w:sz w:val="19"/>
              </w:rPr>
            </w:r>
          </w:p>
        </w:tc>
        <w:tc>
          <w:tcPr>
            <w:tcW w:type="dxa" w:w="2004"/>
            <w:shd w:val="clear" w:color="auto" w:fill="f8fafc"/>
            <w:tcMar>
              <w:top w:w="60" w:type="dxa"/>
              <w:bottom w:w="60" w:type="dxa"/>
              <w:start w:w="80" w:type="dxa"/>
              <w:end w:w="80" w:type="dxa"/>
            </w:tcMar>
          </w:tcPr>
          <w:p>
            <w:r>
              <w:rPr>
                <w:rFonts w:ascii="Cambria" w:hAnsi="Cambria"/>
                <w:color w:val="000000"/>
                <w:sz w:val="19"/>
              </w:rPr>
            </w:r>
          </w:p>
        </w:tc>
      </w:tr>
    </w:tbl>
    <w:p>
      <w:pPr>
        <w:spacing w:before="0" w:after="120" w:line="20" w:lineRule="exact"/>
      </w:pPr>
      <w:r>
        <w:rPr>
          <w:sz w:val="2"/>
        </w:rPr>
      </w:r>
    </w:p>
    <w:p>
      <w:pPr>
        <w:spacing w:before="0" w:after="28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5668"/>
            <w:shd w:val="clear" w:color="auto" w:fill="1f497d"/>
            <w:tcMar>
              <w:top w:w="60" w:type="dxa"/>
              <w:bottom w:w="60" w:type="dxa"/>
              <w:start w:w="80" w:type="dxa"/>
              <w:end w:w="80" w:type="dxa"/>
            </w:tcMar>
          </w:tcPr>
          <w:p>
            <w:pPr>
              <w:jc w:val="center"/>
            </w:pPr>
            <w:r>
              <w:rPr>
                <w:rFonts w:ascii="Cambria" w:hAnsi="Cambria"/>
                <w:b/>
                <w:color w:val="FFFFFF"/>
                <w:sz w:val="19"/>
              </w:rPr>
              <w:t>MSI</w:t>
            </w:r>
          </w:p>
        </w:tc>
        <w:tc>
          <w:tcPr>
            <w:tcW w:type="dxa" w:w="4798"/>
            <w:shd w:val="clear" w:color="auto" w:fill="1f497d"/>
            <w:tcMar>
              <w:top w:w="60" w:type="dxa"/>
              <w:bottom w:w="60" w:type="dxa"/>
              <w:start w:w="80" w:type="dxa"/>
              <w:end w:w="80" w:type="dxa"/>
            </w:tcMar>
          </w:tcPr>
          <w:p>
            <w:pPr>
              <w:jc w:val="center"/>
            </w:pPr>
            <w:r>
              <w:rPr>
                <w:rFonts w:ascii="Cambria" w:hAnsi="Cambria"/>
                <w:b/>
                <w:color w:val="FFFFFF"/>
                <w:sz w:val="19"/>
              </w:rPr>
              <w:t>% of Unstable Loci</w:t>
            </w:r>
          </w:p>
        </w:tc>
      </w:tr>
      <w:tr>
        <w:trPr>
          <w:cantSplit w:val="true"/>
        </w:trPr>
        <w:tc>
          <w:tcPr>
            <w:tcW w:type="dxa" w:w="5668"/>
            <w:tcMar>
              <w:top w:w="60" w:type="dxa"/>
              <w:bottom w:w="60" w:type="dxa"/>
              <w:start w:w="80" w:type="dxa"/>
              <w:end w:w="80" w:type="dxa"/>
            </w:tcMar>
          </w:tcPr>
          <w:p>
            <w:r>
              <w:rPr>
                <w:rFonts w:ascii="Cambria" w:hAnsi="Cambria"/>
                <w:b/>
                <w:color w:val="008000"/>
                <w:sz w:val="19"/>
              </w:rPr>
              <w:t>MSI - Stable</w:t>
            </w:r>
          </w:p>
        </w:tc>
        <w:tc>
          <w:tcPr>
            <w:tcW w:type="dxa" w:w="4798"/>
            <w:tcMar>
              <w:top w:w="60" w:type="dxa"/>
              <w:bottom w:w="60" w:type="dxa"/>
              <w:start w:w="80" w:type="dxa"/>
              <w:end w:w="80" w:type="dxa"/>
            </w:tcMar>
          </w:tcPr>
          <w:p>
            <w:r>
              <w:rPr>
                <w:rFonts w:ascii="Cambria" w:hAnsi="Cambria"/>
                <w:color w:val="000000"/>
                <w:sz w:val="19"/>
              </w:rPr>
              <w:t>0-19%</w:t>
            </w:r>
          </w:p>
        </w:tc>
      </w:tr>
      <w:tr>
        <w:trPr>
          <w:cantSplit w:val="true"/>
        </w:trPr>
        <w:tc>
          <w:tcPr>
            <w:tcW w:type="dxa" w:w="5668"/>
            <w:shd w:val="clear" w:color="auto" w:fill="f8fafc"/>
            <w:tcMar>
              <w:top w:w="60" w:type="dxa"/>
              <w:bottom w:w="60" w:type="dxa"/>
              <w:start w:w="80" w:type="dxa"/>
              <w:end w:w="80" w:type="dxa"/>
            </w:tcMar>
          </w:tcPr>
          <w:p>
            <w:r>
              <w:rPr>
                <w:rFonts w:ascii="Cambria" w:hAnsi="Cambria"/>
                <w:color w:val="000000"/>
                <w:sz w:val="19"/>
              </w:rPr>
              <w:t>MSI - Low / Intermediate</w:t>
            </w:r>
          </w:p>
        </w:tc>
        <w:tc>
          <w:tcPr>
            <w:tcW w:type="dxa" w:w="4798"/>
            <w:shd w:val="clear" w:color="auto" w:fill="f8fafc"/>
            <w:tcMar>
              <w:top w:w="60" w:type="dxa"/>
              <w:bottom w:w="60" w:type="dxa"/>
              <w:start w:w="80" w:type="dxa"/>
              <w:end w:w="80" w:type="dxa"/>
            </w:tcMar>
          </w:tcPr>
          <w:p>
            <w:r>
              <w:rPr>
                <w:rFonts w:ascii="Cambria" w:hAnsi="Cambria"/>
                <w:color w:val="000000"/>
                <w:sz w:val="19"/>
              </w:rPr>
              <w:t>20-30%</w:t>
            </w:r>
          </w:p>
        </w:tc>
      </w:tr>
      <w:tr>
        <w:trPr>
          <w:cantSplit w:val="true"/>
        </w:trPr>
        <w:tc>
          <w:tcPr>
            <w:tcW w:type="dxa" w:w="5668"/>
            <w:tcMar>
              <w:top w:w="60" w:type="dxa"/>
              <w:bottom w:w="60" w:type="dxa"/>
              <w:start w:w="80" w:type="dxa"/>
              <w:end w:w="80" w:type="dxa"/>
            </w:tcMar>
          </w:tcPr>
          <w:p>
            <w:r>
              <w:rPr>
                <w:rFonts w:ascii="Cambria" w:hAnsi="Cambria"/>
                <w:b/>
                <w:color w:val="C00000"/>
                <w:sz w:val="19"/>
              </w:rPr>
              <w:t>MSI - High</w:t>
            </w:r>
          </w:p>
        </w:tc>
        <w:tc>
          <w:tcPr>
            <w:tcW w:type="dxa" w:w="4798"/>
            <w:tcMar>
              <w:top w:w="60" w:type="dxa"/>
              <w:bottom w:w="60" w:type="dxa"/>
              <w:start w:w="80" w:type="dxa"/>
              <w:end w:w="80" w:type="dxa"/>
            </w:tcMar>
          </w:tcPr>
          <w:p>
            <w:r>
              <w:rPr>
                <w:rFonts w:ascii="Cambria" w:hAnsi="Cambria"/>
                <w:color w:val="000000"/>
                <w:sz w:val="19"/>
              </w:rPr>
              <w:t>&gt;30%</w:t>
            </w:r>
          </w:p>
        </w:tc>
      </w:tr>
    </w:tbl>
    <w:p>
      <w:pPr>
        <w:spacing w:before="0" w:after="120" w:line="20" w:lineRule="exact"/>
      </w:pPr>
      <w:r>
        <w:rPr>
          <w:sz w:val="2"/>
        </w:rPr>
      </w:r>
    </w:p>
    <w:p>
      <w:pPr>
        <w:spacing w:before="0" w:after="282"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1505"/>
            <w:shd w:val="clear" w:color="auto" w:fill="1f497d"/>
            <w:tcMar>
              <w:top w:w="60" w:type="dxa"/>
              <w:bottom w:w="60" w:type="dxa"/>
              <w:start w:w="80" w:type="dxa"/>
              <w:end w:w="80" w:type="dxa"/>
            </w:tcMar>
          </w:tcPr>
          <w:p>
            <w:pPr>
              <w:jc w:val="center"/>
            </w:pPr>
            <w:r>
              <w:rPr>
                <w:rFonts w:ascii="Cambria" w:hAnsi="Cambria"/>
                <w:b/>
                <w:color w:val="FFFFFF"/>
                <w:sz w:val="19"/>
              </w:rPr>
              <w:t>Tier</w:t>
            </w:r>
          </w:p>
        </w:tc>
        <w:tc>
          <w:tcPr>
            <w:tcW w:type="dxa" w:w="8961"/>
            <w:shd w:val="clear" w:color="auto" w:fill="1f497d"/>
            <w:tcMar>
              <w:top w:w="60" w:type="dxa"/>
              <w:bottom w:w="60" w:type="dxa"/>
              <w:start w:w="80" w:type="dxa"/>
              <w:end w:w="80" w:type="dxa"/>
            </w:tcMar>
          </w:tcPr>
          <w:p>
            <w:pPr>
              <w:jc w:val="center"/>
            </w:pPr>
            <w:r>
              <w:rPr>
                <w:rFonts w:ascii="Cambria" w:hAnsi="Cambria"/>
                <w:b/>
                <w:color w:val="FFFFFF"/>
                <w:sz w:val="19"/>
              </w:rPr>
              <w:t>Interpretation</w:t>
            </w:r>
          </w:p>
        </w:tc>
      </w:tr>
      <w:tr>
        <w:trPr>
          <w:cantSplit w:val="true"/>
        </w:trPr>
        <w:tc>
          <w:tcPr>
            <w:tcW w:type="dxa" w:w="1505"/>
            <w:tcMar>
              <w:top w:w="60" w:type="dxa"/>
              <w:bottom w:w="60" w:type="dxa"/>
              <w:start w:w="80" w:type="dxa"/>
              <w:end w:w="80" w:type="dxa"/>
            </w:tcMar>
          </w:tcPr>
          <w:p>
            <w:r>
              <w:rPr>
                <w:rFonts w:ascii="Cambria" w:hAnsi="Cambria"/>
                <w:color w:val="000000"/>
                <w:sz w:val="19"/>
              </w:rPr>
              <w:t>Tier IA</w:t>
            </w:r>
          </w:p>
        </w:tc>
        <w:tc>
          <w:tcPr>
            <w:tcW w:type="dxa" w:w="8961"/>
            <w:tcMar>
              <w:top w:w="60" w:type="dxa"/>
              <w:bottom w:w="60" w:type="dxa"/>
              <w:start w:w="80" w:type="dxa"/>
              <w:end w:w="80" w:type="dxa"/>
            </w:tcMar>
          </w:tcPr>
          <w:p>
            <w:r>
              <w:rPr>
                <w:rFonts w:ascii="Cambria" w:hAnsi="Cambria"/>
                <w:color w:val="000000"/>
                <w:sz w:val="19"/>
              </w:rPr>
              <w:t>Variants of Strong Clinical Significance: Biomarkers that predict response or resistance to US FDA-</w:t>
              <w:br/>
              <w:t>approved therapies for a specific type of tumor or have been included in professional guidelines as</w:t>
              <w:br/>
              <w:t>therapeutic, diagnostic, and/or prognostic biomarkers for specific types of tumors.</w:t>
            </w:r>
          </w:p>
        </w:tc>
      </w:tr>
      <w:tr>
        <w:trPr>
          <w:cantSplit w:val="true"/>
        </w:trPr>
        <w:tc>
          <w:tcPr>
            <w:tcW w:type="dxa" w:w="1505"/>
            <w:shd w:val="clear" w:color="auto" w:fill="f8fafc"/>
            <w:tcMar>
              <w:top w:w="60" w:type="dxa"/>
              <w:bottom w:w="60" w:type="dxa"/>
              <w:start w:w="80" w:type="dxa"/>
              <w:end w:w="80" w:type="dxa"/>
            </w:tcMar>
          </w:tcPr>
          <w:p>
            <w:r>
              <w:rPr>
                <w:rFonts w:ascii="Cambria" w:hAnsi="Cambria"/>
                <w:color w:val="000000"/>
                <w:sz w:val="19"/>
              </w:rPr>
              <w:t>Tier IB</w:t>
            </w:r>
          </w:p>
        </w:tc>
        <w:tc>
          <w:tcPr>
            <w:tcW w:type="dxa" w:w="8961"/>
            <w:shd w:val="clear" w:color="auto" w:fill="f8fafc"/>
            <w:tcMar>
              <w:top w:w="60" w:type="dxa"/>
              <w:bottom w:w="60" w:type="dxa"/>
              <w:start w:w="80" w:type="dxa"/>
              <w:end w:w="80" w:type="dxa"/>
            </w:tcMar>
          </w:tcPr>
          <w:p>
            <w:r>
              <w:rPr>
                <w:rFonts w:ascii="Cambria" w:hAnsi="Cambria"/>
                <w:color w:val="000000"/>
                <w:sz w:val="19"/>
              </w:rPr>
              <w:t>Variants of Strong Clinical Significance: Biomarkers that predict response or resistance to a therapy</w:t>
              <w:br/>
              <w:t>based on well-powered studies with consensus from experts in the field, or have diagnostic and/or</w:t>
            </w:r>
          </w:p>
        </w:tc>
      </w:tr>
    </w:tbl>
    <w:p>
      <w:pPr>
        <w:spacing w:before="0" w:after="120" w:line="20" w:lineRule="exact"/>
      </w:pPr>
      <w:r>
        <w:rPr>
          <w:sz w:val="2"/>
        </w:rPr>
      </w:r>
    </w:p>
    <w:p>
      <w:pPr>
        <w:spacing w:before="117" w:after="120"/>
        <w:jc w:val="center"/>
      </w:pPr>
      <w:r>
        <w:drawing>
          <wp:inline xmlns:a="http://schemas.openxmlformats.org/drawingml/2006/main" xmlns:pic="http://schemas.openxmlformats.org/drawingml/2006/picture">
            <wp:extent cx="1536700" cy="673100"/>
            <wp:docPr id="19" name="Picture 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0" name="Picture 2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1" name="Picture 2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4"/>
          <w:footerReference w:type="default" r:id="rId25"/>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3"/>
        <w:gridCol w:w="5233"/>
      </w:tblGrid>
      <w:tr>
        <w:trPr>
          <w:tblHeader w:val="true"/>
          <w:cantSplit w:val="true"/>
        </w:trPr>
        <w:tc>
          <w:tcPr>
            <w:tcW w:type="dxa" w:w="1471"/>
            <w:shd w:val="clear" w:color="auto" w:fill="1f497d"/>
            <w:tcMar>
              <w:top w:w="60" w:type="dxa"/>
              <w:bottom w:w="60" w:type="dxa"/>
              <w:start w:w="80" w:type="dxa"/>
              <w:end w:w="80" w:type="dxa"/>
            </w:tcMar>
          </w:tcPr>
          <w:p>
            <w:pPr>
              <w:jc w:val="center"/>
            </w:pPr>
            <w:r>
              <w:rPr>
                <w:rFonts w:ascii="Cambria" w:hAnsi="Cambria"/>
                <w:b/>
                <w:color w:val="FFFFFF"/>
                <w:sz w:val="19"/>
              </w:rPr>
              <w:t>Tier</w:t>
            </w:r>
          </w:p>
        </w:tc>
        <w:tc>
          <w:tcPr>
            <w:tcW w:type="dxa" w:w="8994"/>
            <w:shd w:val="clear" w:color="auto" w:fill="1f497d"/>
            <w:tcMar>
              <w:top w:w="60" w:type="dxa"/>
              <w:bottom w:w="60" w:type="dxa"/>
              <w:start w:w="80" w:type="dxa"/>
              <w:end w:w="80" w:type="dxa"/>
            </w:tcMar>
          </w:tcPr>
          <w:p>
            <w:pPr>
              <w:jc w:val="center"/>
            </w:pPr>
            <w:r>
              <w:rPr>
                <w:rFonts w:ascii="Cambria" w:hAnsi="Cambria"/>
                <w:b/>
                <w:color w:val="FFFFFF"/>
                <w:sz w:val="19"/>
              </w:rPr>
              <w:t>Interpretation</w:t>
            </w:r>
          </w:p>
        </w:tc>
      </w:tr>
      <w:tr>
        <w:trPr>
          <w:cantSplit w:val="true"/>
        </w:trPr>
        <w:tc>
          <w:tcPr>
            <w:tcW w:type="dxa" w:w="1471"/>
            <w:tcMar>
              <w:top w:w="60" w:type="dxa"/>
              <w:bottom w:w="60" w:type="dxa"/>
              <w:start w:w="80" w:type="dxa"/>
              <w:end w:w="80" w:type="dxa"/>
            </w:tcMar>
          </w:tcPr>
          <w:p>
            <w:r>
              <w:rPr>
                <w:rFonts w:ascii="Cambria" w:hAnsi="Cambria"/>
                <w:color w:val="000000"/>
                <w:sz w:val="19"/>
              </w:rPr>
            </w:r>
          </w:p>
        </w:tc>
        <w:tc>
          <w:tcPr>
            <w:tcW w:type="dxa" w:w="8994"/>
            <w:tcMar>
              <w:top w:w="60" w:type="dxa"/>
              <w:bottom w:w="60" w:type="dxa"/>
              <w:start w:w="80" w:type="dxa"/>
              <w:end w:w="80" w:type="dxa"/>
            </w:tcMar>
          </w:tcPr>
          <w:p>
            <w:r>
              <w:rPr>
                <w:rFonts w:ascii="Cambria" w:hAnsi="Cambria"/>
                <w:color w:val="000000"/>
                <w:sz w:val="19"/>
              </w:rPr>
              <w:t>prognostic significance of certain diseases based on well-powered studies with expert consensus.</w:t>
            </w:r>
          </w:p>
        </w:tc>
      </w:tr>
      <w:tr>
        <w:trPr>
          <w:cantSplit w:val="true"/>
        </w:trPr>
        <w:tc>
          <w:tcPr>
            <w:tcW w:type="dxa" w:w="1471"/>
            <w:shd w:val="clear" w:color="auto" w:fill="f8fafc"/>
            <w:tcMar>
              <w:top w:w="60" w:type="dxa"/>
              <w:bottom w:w="60" w:type="dxa"/>
              <w:start w:w="80" w:type="dxa"/>
              <w:end w:w="80" w:type="dxa"/>
            </w:tcMar>
          </w:tcPr>
          <w:p>
            <w:r>
              <w:rPr>
                <w:rFonts w:ascii="Cambria" w:hAnsi="Cambria"/>
                <w:color w:val="000000"/>
                <w:sz w:val="19"/>
              </w:rPr>
              <w:t>Tier IIC</w:t>
            </w:r>
          </w:p>
        </w:tc>
        <w:tc>
          <w:tcPr>
            <w:tcW w:type="dxa" w:w="8994"/>
            <w:shd w:val="clear" w:color="auto" w:fill="f8fafc"/>
            <w:tcMar>
              <w:top w:w="60" w:type="dxa"/>
              <w:bottom w:w="60" w:type="dxa"/>
              <w:start w:w="80" w:type="dxa"/>
              <w:end w:w="80" w:type="dxa"/>
            </w:tcMar>
          </w:tcPr>
          <w:p>
            <w:r>
              <w:rPr>
                <w:rFonts w:ascii="Cambria" w:hAnsi="Cambria"/>
                <w:color w:val="000000"/>
                <w:sz w:val="19"/>
              </w:rPr>
              <w:t>Variants of Potential Clinical Significance: biomarkers that predict response or resistance to</w:t>
              <w:br/>
              <w:t>therapies approved by FDA or professional societies for a different tumor type (i.e., off-label use of a</w:t>
              <w:br/>
              <w:t>drug), serve as inclusion criteria for clinical trials, or have diagnostic and/or prognostic significance</w:t>
              <w:br/>
              <w:t>based on the results of multiple small studies.</w:t>
            </w:r>
          </w:p>
        </w:tc>
      </w:tr>
      <w:tr>
        <w:trPr>
          <w:cantSplit w:val="true"/>
        </w:trPr>
        <w:tc>
          <w:tcPr>
            <w:tcW w:type="dxa" w:w="1471"/>
            <w:tcMar>
              <w:top w:w="60" w:type="dxa"/>
              <w:bottom w:w="60" w:type="dxa"/>
              <w:start w:w="80" w:type="dxa"/>
              <w:end w:w="80" w:type="dxa"/>
            </w:tcMar>
          </w:tcPr>
          <w:p>
            <w:r>
              <w:rPr>
                <w:rFonts w:ascii="Cambria" w:hAnsi="Cambria"/>
                <w:color w:val="000000"/>
                <w:sz w:val="19"/>
              </w:rPr>
              <w:t>Tier IID</w:t>
            </w:r>
          </w:p>
        </w:tc>
        <w:tc>
          <w:tcPr>
            <w:tcW w:type="dxa" w:w="8994"/>
            <w:tcMar>
              <w:top w:w="60" w:type="dxa"/>
              <w:bottom w:w="60" w:type="dxa"/>
              <w:start w:w="80" w:type="dxa"/>
              <w:end w:w="80" w:type="dxa"/>
            </w:tcMar>
          </w:tcPr>
          <w:p>
            <w:r>
              <w:rPr>
                <w:rFonts w:ascii="Cambria" w:hAnsi="Cambria"/>
                <w:color w:val="000000"/>
                <w:sz w:val="19"/>
              </w:rPr>
              <w:t>Variants of Potential Clinical Significance: Biomarkers that show plausible therapeutic significance</w:t>
              <w:br/>
              <w:t>based on preclinical studies or may assist disease diagnosis and/or prognosis themselves or along</w:t>
              <w:br/>
              <w:t>with other biomarkers based on small studies or multiple case reports with no consensus.</w:t>
            </w:r>
          </w:p>
        </w:tc>
      </w:tr>
      <w:tr>
        <w:trPr>
          <w:cantSplit w:val="true"/>
        </w:trPr>
        <w:tc>
          <w:tcPr>
            <w:tcW w:type="dxa" w:w="1471"/>
            <w:shd w:val="clear" w:color="auto" w:fill="f8fafc"/>
            <w:tcMar>
              <w:top w:w="60" w:type="dxa"/>
              <w:bottom w:w="60" w:type="dxa"/>
              <w:start w:w="80" w:type="dxa"/>
              <w:end w:w="80" w:type="dxa"/>
            </w:tcMar>
          </w:tcPr>
          <w:p>
            <w:r>
              <w:rPr>
                <w:rFonts w:ascii="Cambria" w:hAnsi="Cambria"/>
                <w:color w:val="000000"/>
                <w:sz w:val="19"/>
              </w:rPr>
              <w:t>Tier III</w:t>
            </w:r>
          </w:p>
        </w:tc>
        <w:tc>
          <w:tcPr>
            <w:tcW w:type="dxa" w:w="8994"/>
            <w:shd w:val="clear" w:color="auto" w:fill="f8fafc"/>
            <w:tcMar>
              <w:top w:w="60" w:type="dxa"/>
              <w:bottom w:w="60" w:type="dxa"/>
              <w:start w:w="80" w:type="dxa"/>
              <w:end w:w="80" w:type="dxa"/>
            </w:tcMar>
          </w:tcPr>
          <w:p>
            <w:r>
              <w:rPr>
                <w:rFonts w:ascii="Cambria" w:hAnsi="Cambria"/>
                <w:color w:val="000000"/>
                <w:sz w:val="19"/>
              </w:rPr>
              <w:t>Variants of Unknown clinical significance (VUS): Not observed at a significant allele frequency in the</w:t>
              <w:br/>
              <w:t>general or specific subpopulation or pancancer or tumor specific variant databases. No convincing</w:t>
              <w:br/>
              <w:t>published evidence of cancer Association</w:t>
            </w:r>
          </w:p>
        </w:tc>
      </w:tr>
    </w:tbl>
    <w:p>
      <w:pPr>
        <w:spacing w:before="0" w:after="120" w:line="20" w:lineRule="exact"/>
      </w:pPr>
      <w:r>
        <w:rPr>
          <w:sz w:val="2"/>
        </w:rPr>
      </w:r>
    </w:p>
    <w:p>
      <w:pPr>
        <w:keepNext/>
        <w:spacing w:before="240" w:after="60"/>
        <w:jc w:val="left"/>
      </w:pPr>
      <w:r>
        <w:rPr>
          <w:rFonts w:ascii="Cambria" w:hAnsi="Cambria"/>
          <w:b/>
          <w:i w:val="0"/>
          <w:color w:val="008080"/>
          <w:sz w:val="22"/>
        </w:rPr>
        <w:t>References:</w:t>
      </w:r>
    </w:p>
    <w:p>
      <w:pPr>
        <w:spacing w:before="120" w:after="80" w:line="276" w:lineRule="auto"/>
        <w:jc w:val="left"/>
      </w:pPr>
      <w:r>
        <w:rPr>
          <w:rFonts w:ascii="Cambria" w:hAnsi="Cambria"/>
          <w:color w:val="000000"/>
          <w:sz w:val="20"/>
        </w:rPr>
        <w:t>1. O&amp;#x27;Leary et al. Reference sequence (RefSeq) database at NCBI: current status, taxonomic expansion, and functional annotation. Nucleic Acids Res. 2016 Jan 4;44(D1):D733-45. PMID: 26553804</w:t>
      </w:r>
    </w:p>
    <w:p>
      <w:pPr>
        <w:spacing w:before="115" w:after="80" w:line="276" w:lineRule="auto"/>
        <w:jc w:val="left"/>
      </w:pPr>
      <w:r>
        <w:rPr>
          <w:rFonts w:ascii="Cambria" w:hAnsi="Cambria"/>
          <w:color w:val="000000"/>
          <w:sz w:val="20"/>
        </w:rPr>
        <w:t>Nag et al. The MDM2-p53 pathway revisited. J Biomed Res. 2013 Jul;27(4):254-71. PMID: 23885265</w:t>
      </w:r>
    </w:p>
    <w:p>
      <w:pPr>
        <w:spacing w:before="115" w:after="80" w:line="276" w:lineRule="auto"/>
        <w:jc w:val="left"/>
      </w:pPr>
      <w:r>
        <w:rPr>
          <w:rFonts w:ascii="Cambria" w:hAnsi="Cambria"/>
          <w:color w:val="000000"/>
          <w:sz w:val="20"/>
        </w:rPr>
        <w:t>Muller et al. Mutant p53 in cancer: new functions and therapeutic opportunities. Cancer Cell. 2014 Mar 17;25(3):304-17.</w:t>
      </w:r>
    </w:p>
    <w:p>
      <w:pPr>
        <w:spacing w:before="0" w:after="80" w:line="276" w:lineRule="auto"/>
        <w:jc w:val="left"/>
      </w:pPr>
      <w:r>
        <w:rPr>
          <w:rFonts w:ascii="Cambria" w:hAnsi="Cambria"/>
          <w:color w:val="000000"/>
          <w:sz w:val="20"/>
        </w:rPr>
        <w:t>PMID: 24651012</w:t>
      </w:r>
    </w:p>
    <w:p>
      <w:pPr>
        <w:spacing w:before="115" w:after="80" w:line="276" w:lineRule="auto"/>
        <w:jc w:val="left"/>
      </w:pPr>
      <w:r>
        <w:rPr>
          <w:rFonts w:ascii="Cambria" w:hAnsi="Cambria"/>
          <w:color w:val="000000"/>
          <w:sz w:val="20"/>
        </w:rPr>
        <w:t>Olivier et al. TP53 mutations in human cancers: origins, consequences, and clinical use. Cold Spring Harb Perspect Biol. 2010</w:t>
      </w:r>
    </w:p>
    <w:p>
      <w:pPr>
        <w:spacing w:before="0" w:after="80" w:line="276" w:lineRule="auto"/>
        <w:jc w:val="left"/>
      </w:pPr>
      <w:r>
        <w:rPr>
          <w:rFonts w:ascii="Cambria" w:hAnsi="Cambria"/>
          <w:color w:val="000000"/>
          <w:sz w:val="20"/>
        </w:rPr>
        <w:t>Jan;2(1):a001008. PMID: 20182602</w:t>
      </w:r>
    </w:p>
    <w:p>
      <w:pPr>
        <w:spacing w:before="115" w:after="80" w:line="276" w:lineRule="auto"/>
        <w:jc w:val="left"/>
      </w:pPr>
      <w:r>
        <w:rPr>
          <w:rFonts w:ascii="Cambria" w:hAnsi="Cambria"/>
          <w:color w:val="000000"/>
          <w:sz w:val="20"/>
        </w:rPr>
        <w:t>Guha et al. Inherited TP53 Mutations and the Li-Fraumeni Syndrome. Cold Spring Harb Perspect Med. 2017 Apr 3;7(4). PMID:</w:t>
      </w:r>
    </w:p>
    <w:p>
      <w:pPr>
        <w:keepNext/>
        <w:spacing w:before="0" w:after="60"/>
        <w:jc w:val="left"/>
      </w:pPr>
      <w:r>
        <w:rPr>
          <w:rFonts w:ascii="Cambria" w:hAnsi="Cambria"/>
          <w:b/>
          <w:i w:val="0"/>
          <w:color w:val="008080"/>
          <w:sz w:val="22"/>
        </w:rPr>
        <w:t>28270529</w:t>
      </w:r>
    </w:p>
    <w:p>
      <w:pPr>
        <w:spacing w:before="115" w:after="80" w:line="276" w:lineRule="auto"/>
        <w:jc w:val="left"/>
      </w:pPr>
      <w:r>
        <w:rPr>
          <w:rFonts w:ascii="Cambria" w:hAnsi="Cambria"/>
          <w:color w:val="000000"/>
          <w:sz w:val="20"/>
        </w:rPr>
        <w:t>Cerami et al. The cBio cancer genomics portal: an open platform for exploring multidimensional cancer genomics data. Cancer</w:t>
      </w:r>
    </w:p>
    <w:p>
      <w:pPr>
        <w:spacing w:before="0" w:after="80" w:line="276" w:lineRule="auto"/>
        <w:jc w:val="left"/>
      </w:pPr>
      <w:r>
        <w:rPr>
          <w:rFonts w:ascii="Cambria" w:hAnsi="Cambria"/>
          <w:color w:val="000000"/>
          <w:sz w:val="20"/>
        </w:rPr>
        <w:t>Discov. 2012 May;2(5):401-4. PMID: 22588877</w:t>
      </w:r>
    </w:p>
    <w:p>
      <w:pPr>
        <w:spacing w:before="115" w:after="80" w:line="276" w:lineRule="auto"/>
        <w:jc w:val="left"/>
      </w:pPr>
      <w:r>
        <w:rPr>
          <w:rFonts w:ascii="Cambria" w:hAnsi="Cambria"/>
          <w:color w:val="000000"/>
          <w:sz w:val="20"/>
        </w:rPr>
        <w:t>Weinstein et al. The Cancer Genome Atlas Pan-Cancer analysis project. Nat. Genet. 2013 Oct;45(10):1113-20. PMID: 24071849</w:t>
      </w:r>
    </w:p>
    <w:p>
      <w:pPr>
        <w:spacing w:before="115" w:after="80" w:line="276" w:lineRule="auto"/>
        <w:jc w:val="left"/>
      </w:pPr>
      <w:r>
        <w:rPr>
          <w:rFonts w:ascii="Cambria" w:hAnsi="Cambria"/>
          <w:color w:val="000000"/>
          <w:sz w:val="20"/>
        </w:rPr>
        <w:t>Peter et al. Comprehensive genomic characterization of squamous cell lung cancers. Nature. 2012 Sep 27;489(7417):519-25.</w:t>
      </w:r>
    </w:p>
    <w:p>
      <w:pPr>
        <w:spacing w:before="0" w:after="80" w:line="276" w:lineRule="auto"/>
        <w:jc w:val="left"/>
      </w:pPr>
      <w:r>
        <w:rPr>
          <w:rFonts w:ascii="Cambria" w:hAnsi="Cambria"/>
          <w:color w:val="000000"/>
          <w:sz w:val="20"/>
        </w:rPr>
        <w:t>PMID: 22960745</w:t>
      </w:r>
    </w:p>
    <w:p>
      <w:pPr>
        <w:spacing w:before="115" w:after="80" w:line="276" w:lineRule="auto"/>
        <w:jc w:val="left"/>
      </w:pPr>
      <w:r>
        <w:rPr>
          <w:rFonts w:ascii="Cambria" w:hAnsi="Cambria"/>
          <w:color w:val="000000"/>
          <w:sz w:val="20"/>
        </w:rPr>
        <w:t>Cancer Genome Atlas Network. Comprehensive genomic characterization of head and neck squamous cell carcinomas. Nature.</w:t>
      </w:r>
    </w:p>
    <w:p>
      <w:pPr>
        <w:spacing w:before="0" w:after="80" w:line="276" w:lineRule="auto"/>
        <w:jc w:val="left"/>
      </w:pPr>
      <w:r>
        <w:rPr>
          <w:rFonts w:ascii="Cambria" w:hAnsi="Cambria"/>
          <w:color w:val="000000"/>
          <w:sz w:val="20"/>
        </w:rPr>
        <w:t>2015 Jan 29;517(7536):576-82. PMID: 25631445</w:t>
      </w:r>
    </w:p>
    <w:p>
      <w:pPr>
        <w:spacing w:before="115" w:after="80" w:line="276" w:lineRule="auto"/>
        <w:jc w:val="left"/>
      </w:pPr>
      <w:r>
        <w:rPr>
          <w:rFonts w:ascii="Cambria" w:hAnsi="Cambria"/>
          <w:color w:val="000000"/>
          <w:sz w:val="20"/>
        </w:rPr>
        <w:t>Campbell et al. Distinct patterns of somatic genome alterations in lung adenocarcinomas and squamous cell carcinomas. Nat.</w:t>
      </w:r>
    </w:p>
    <w:p>
      <w:pPr>
        <w:spacing w:before="0" w:after="80" w:line="276" w:lineRule="auto"/>
        <w:jc w:val="left"/>
      </w:pPr>
      <w:r>
        <w:rPr>
          <w:rFonts w:ascii="Cambria" w:hAnsi="Cambria"/>
          <w:color w:val="000000"/>
          <w:sz w:val="20"/>
        </w:rPr>
        <w:t>Genet. 2016 Jun;48(6):607-16. PMID: 27158780</w:t>
      </w:r>
    </w:p>
    <w:p>
      <w:pPr>
        <w:spacing w:before="360" w:after="120"/>
        <w:jc w:val="center"/>
      </w:pPr>
      <w:r>
        <w:drawing>
          <wp:inline xmlns:a="http://schemas.openxmlformats.org/drawingml/2006/main" xmlns:pic="http://schemas.openxmlformats.org/drawingml/2006/picture">
            <wp:extent cx="1536700" cy="673100"/>
            <wp:docPr id="22" name="Picture 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3" name="Picture 2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4" name="Picture 2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6"/>
          <w:footerReference w:type="default" r:id="rId27"/>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Cancer Genome Atlas Research Network. Integrated genomic characterization of oesophageal carcinoma. Nature. 2017 Jan</w:t>
      </w:r>
    </w:p>
    <w:p>
      <w:pPr>
        <w:spacing w:before="0" w:after="80" w:line="276" w:lineRule="auto"/>
        <w:jc w:val="left"/>
      </w:pPr>
      <w:r>
        <w:rPr>
          <w:rFonts w:ascii="Cambria" w:hAnsi="Cambria"/>
          <w:color w:val="000000"/>
          <w:sz w:val="20"/>
        </w:rPr>
        <w:t>12;541(7636):169-175. doi: 10.1038/nature20805. Epub 2017 Jan 4. PMID: 28052061</w:t>
      </w:r>
    </w:p>
    <w:p>
      <w:pPr>
        <w:spacing w:before="115" w:after="80" w:line="276" w:lineRule="auto"/>
        <w:jc w:val="left"/>
      </w:pPr>
      <w:r>
        <w:rPr>
          <w:rFonts w:ascii="Cambria" w:hAnsi="Cambria"/>
          <w:color w:val="000000"/>
          <w:sz w:val="20"/>
        </w:rPr>
        <w:t>Olivier et al. The IARC TP53 database: new online mutation analysis and recommendations to users. Hum. Mutat. 2002</w:t>
      </w:r>
    </w:p>
    <w:p>
      <w:pPr>
        <w:spacing w:before="0" w:after="80" w:line="276" w:lineRule="auto"/>
        <w:jc w:val="left"/>
      </w:pPr>
      <w:r>
        <w:rPr>
          <w:rFonts w:ascii="Cambria" w:hAnsi="Cambria"/>
          <w:color w:val="000000"/>
          <w:sz w:val="20"/>
        </w:rPr>
        <w:t>Jun;19(6):607-14. PMID: 12007217</w:t>
      </w:r>
    </w:p>
    <w:p>
      <w:pPr>
        <w:spacing w:before="115" w:after="80" w:line="276" w:lineRule="auto"/>
        <w:jc w:val="left"/>
      </w:pPr>
      <w:r>
        <w:rPr>
          <w:rFonts w:ascii="Cambria" w:hAnsi="Cambria"/>
          <w:color w:val="000000"/>
          <w:sz w:val="20"/>
        </w:rPr>
        <w:t>Rivlin et al. Mutations in the p53 Tumor Suppressor Gene: Important Milestones at the Various Steps of Tumorigenesis. Genes</w:t>
      </w:r>
    </w:p>
    <w:p>
      <w:pPr>
        <w:spacing w:before="0" w:after="80" w:line="276" w:lineRule="auto"/>
        <w:jc w:val="left"/>
      </w:pPr>
      <w:r>
        <w:rPr>
          <w:rFonts w:ascii="Cambria" w:hAnsi="Cambria"/>
          <w:color w:val="000000"/>
          <w:sz w:val="20"/>
        </w:rPr>
        <w:t>Cancer. 2011 Apr;2(4):466-74. PMID: 21779514</w:t>
      </w:r>
    </w:p>
    <w:p>
      <w:pPr>
        <w:spacing w:before="115" w:after="80" w:line="276" w:lineRule="auto"/>
        <w:jc w:val="left"/>
      </w:pPr>
      <w:r>
        <w:rPr>
          <w:rFonts w:ascii="Cambria" w:hAnsi="Cambria"/>
          <w:color w:val="000000"/>
          <w:sz w:val="20"/>
        </w:rPr>
        <w:t>Petitjean et al. TP53 mutations in human cancers: functional selection and impact on cancer prognosis and outcomes.</w:t>
      </w:r>
    </w:p>
    <w:p>
      <w:pPr>
        <w:spacing w:before="0" w:after="80" w:line="276" w:lineRule="auto"/>
        <w:jc w:val="left"/>
      </w:pPr>
      <w:r>
        <w:rPr>
          <w:rFonts w:ascii="Cambria" w:hAnsi="Cambria"/>
          <w:color w:val="000000"/>
          <w:sz w:val="20"/>
        </w:rPr>
        <w:t>Oncogene. 2007 Apr 2;26(15):2157-65. PMID: 17401424</w:t>
      </w:r>
    </w:p>
    <w:p>
      <w:pPr>
        <w:spacing w:before="115" w:after="80" w:line="276" w:lineRule="auto"/>
        <w:jc w:val="left"/>
      </w:pPr>
      <w:r>
        <w:rPr>
          <w:rFonts w:ascii="Cambria" w:hAnsi="Cambria"/>
          <w:color w:val="000000"/>
          <w:sz w:val="20"/>
        </w:rPr>
        <w:t>Soussi et al. Recommendations for analyzing and reporting TP53 gene variants in the high-throughput sequencing era. Hum.</w:t>
      </w:r>
    </w:p>
    <w:p>
      <w:pPr>
        <w:spacing w:before="0" w:after="80" w:line="276" w:lineRule="auto"/>
        <w:jc w:val="left"/>
      </w:pPr>
      <w:r>
        <w:rPr>
          <w:rFonts w:ascii="Cambria" w:hAnsi="Cambria"/>
          <w:color w:val="000000"/>
          <w:sz w:val="20"/>
        </w:rPr>
        <w:t>Mutat. 2014 Jun;35(6):766-78. PMID: 24729566</w:t>
      </w:r>
    </w:p>
    <w:p>
      <w:pPr>
        <w:spacing w:before="115" w:after="80" w:line="276" w:lineRule="auto"/>
        <w:jc w:val="left"/>
      </w:pPr>
      <w:r>
        <w:rPr>
          <w:rFonts w:ascii="Cambria" w:hAnsi="Cambria"/>
          <w:color w:val="000000"/>
          <w:sz w:val="20"/>
        </w:rPr>
        <w:t>https://www.globenewswire.com/news-release/2020/10/13/2107498/0/en/PMV-Pharma-Granted-FDA-Fast-Track-</w:t>
      </w:r>
    </w:p>
    <w:p>
      <w:pPr>
        <w:spacing w:before="0" w:after="80" w:line="276" w:lineRule="auto"/>
        <w:jc w:val="left"/>
      </w:pPr>
      <w:r>
        <w:rPr>
          <w:rFonts w:ascii="Cambria" w:hAnsi="Cambria"/>
          <w:color w:val="000000"/>
          <w:sz w:val="20"/>
        </w:rPr>
        <w:t>Designation-of-PC14586-for-the-Treatment-of-Advanced-Cancer-Patients-that-have-Tumors-with-a-p53-Y220C- Mutation.html</w:t>
      </w:r>
    </w:p>
    <w:p>
      <w:pPr>
        <w:spacing w:before="115" w:after="80" w:line="276" w:lineRule="auto"/>
        <w:jc w:val="left"/>
      </w:pPr>
      <w:r>
        <w:rPr>
          <w:rFonts w:ascii="Cambria" w:hAnsi="Cambria"/>
          <w:color w:val="000000"/>
          <w:sz w:val="20"/>
        </w:rPr>
        <w:t>https://ir.aprea.com//news-releases/news-release-details/aprea-therapeutics-receives-fda-fast-track-designation</w:t>
      </w:r>
    </w:p>
    <w:p>
      <w:pPr>
        <w:spacing w:before="115" w:after="80" w:line="276" w:lineRule="auto"/>
        <w:jc w:val="left"/>
      </w:pPr>
      <w:r>
        <w:rPr>
          <w:rFonts w:ascii="Cambria" w:hAnsi="Cambria"/>
          <w:color w:val="000000"/>
          <w:sz w:val="20"/>
        </w:rPr>
        <w:t>http://vp280.alertir.com/en/pressreleases/karolinska-development%27s-portfolio-company-aprea-therapeutics-receives-</w:t>
      </w:r>
    </w:p>
    <w:p>
      <w:pPr>
        <w:keepNext/>
        <w:spacing w:before="0" w:after="60"/>
        <w:jc w:val="left"/>
      </w:pPr>
      <w:r>
        <w:rPr>
          <w:rFonts w:ascii="Cambria" w:hAnsi="Cambria"/>
          <w:b/>
          <w:i w:val="0"/>
          <w:color w:val="008080"/>
          <w:sz w:val="22"/>
        </w:rPr>
        <w:t>fda-breakthrough-therapy-designation-1769167</w:t>
      </w:r>
    </w:p>
    <w:p>
      <w:pPr>
        <w:spacing w:before="115" w:after="80" w:line="276" w:lineRule="auto"/>
        <w:jc w:val="left"/>
      </w:pPr>
      <w:r>
        <w:rPr>
          <w:rFonts w:ascii="Cambria" w:hAnsi="Cambria"/>
          <w:color w:val="000000"/>
          <w:sz w:val="20"/>
        </w:rPr>
        <w:t>Parrales et al. Targeting Oncogenic Mutant p53 for Cancer Therapy. Front Oncol. 2015 Dec 21;5:288. doi: 10.3389/fonc.2015.00288. eCollection 2015. PMID: 26732534</w:t>
      </w:r>
    </w:p>
    <w:p>
      <w:pPr>
        <w:spacing w:before="115" w:after="80" w:line="276" w:lineRule="auto"/>
        <w:jc w:val="left"/>
      </w:pPr>
      <w:r>
        <w:rPr>
          <w:rFonts w:ascii="Cambria" w:hAnsi="Cambria"/>
          <w:color w:val="000000"/>
          <w:sz w:val="20"/>
        </w:rPr>
        <w:t>Zhao et al. Molecularly targeted therapies for p53-mutant cancers. Cell. Mol. Life Sci. 2017 Nov;74(22):4171-4187. PMID:</w:t>
      </w:r>
    </w:p>
    <w:p>
      <w:pPr>
        <w:keepNext/>
        <w:spacing w:before="0" w:after="60"/>
        <w:jc w:val="left"/>
      </w:pPr>
      <w:r>
        <w:rPr>
          <w:rFonts w:ascii="Cambria" w:hAnsi="Cambria"/>
          <w:b/>
          <w:i w:val="0"/>
          <w:color w:val="008080"/>
          <w:sz w:val="22"/>
        </w:rPr>
        <w:t>28643165</w:t>
      </w:r>
    </w:p>
    <w:p>
      <w:pPr>
        <w:spacing w:before="115" w:after="80" w:line="276" w:lineRule="auto"/>
        <w:jc w:val="left"/>
      </w:pPr>
      <w:r>
        <w:rPr>
          <w:rFonts w:ascii="Cambria" w:hAnsi="Cambria"/>
          <w:color w:val="000000"/>
          <w:sz w:val="20"/>
        </w:rPr>
        <w:t>Louis et al. The 2021 WHO Classification of Tumors of the Central Nervous System: a summary. Neuro Oncol. 2021 Aug</w:t>
      </w:r>
    </w:p>
    <w:p>
      <w:pPr>
        <w:spacing w:before="0" w:after="80" w:line="276" w:lineRule="auto"/>
        <w:jc w:val="left"/>
      </w:pPr>
      <w:r>
        <w:rPr>
          <w:rFonts w:ascii="Cambria" w:hAnsi="Cambria"/>
          <w:color w:val="000000"/>
          <w:sz w:val="20"/>
        </w:rPr>
        <w:t>2;23(8):1231-1251. PMID: 34185076</w:t>
      </w:r>
    </w:p>
    <w:p>
      <w:pPr>
        <w:keepNext/>
        <w:spacing w:before="115" w:after="60"/>
        <w:jc w:val="left"/>
      </w:pPr>
      <w:r>
        <w:rPr>
          <w:rFonts w:ascii="Cambria" w:hAnsi="Cambria"/>
          <w:b/>
          <w:i w:val="0"/>
          <w:color w:val="008080"/>
          <w:sz w:val="22"/>
        </w:rPr>
        <w:t>NCCN Guidelines&amp;amp;reg; - NCCN-Acute Myeloid Leukemia [Version 2.2025]</w:t>
      </w:r>
    </w:p>
    <w:p>
      <w:pPr>
        <w:spacing w:before="115" w:after="80" w:line="276" w:lineRule="auto"/>
        <w:jc w:val="left"/>
      </w:pPr>
      <w:r>
        <w:rPr>
          <w:rFonts w:ascii="Cambria" w:hAnsi="Cambria"/>
          <w:color w:val="000000"/>
          <w:sz w:val="20"/>
        </w:rPr>
        <w:t>Döhner et al. Diagnosis and management of AML in adults: 2022 recommendations from an international expert panel on</w:t>
      </w:r>
    </w:p>
    <w:p>
      <w:pPr>
        <w:spacing w:before="0" w:after="80" w:line="276" w:lineRule="auto"/>
        <w:jc w:val="left"/>
      </w:pPr>
      <w:r>
        <w:rPr>
          <w:rFonts w:ascii="Cambria" w:hAnsi="Cambria"/>
          <w:color w:val="000000"/>
          <w:sz w:val="20"/>
        </w:rPr>
        <w:t>behalf of the ELN. Blood. 2022 Sep 22;140(12):1345-1377. PMID: 35797463</w:t>
      </w:r>
    </w:p>
    <w:p>
      <w:pPr>
        <w:keepNext/>
        <w:spacing w:before="115" w:after="60"/>
        <w:jc w:val="left"/>
      </w:pPr>
      <w:r>
        <w:rPr>
          <w:rFonts w:ascii="Cambria" w:hAnsi="Cambria"/>
          <w:b/>
          <w:i w:val="0"/>
          <w:color w:val="008080"/>
          <w:sz w:val="22"/>
        </w:rPr>
        <w:t>NCCN Guidelines&amp;amp;reg; - NCCN-Myelodysplastic Syndromes [Version 2.2025]</w:t>
      </w:r>
    </w:p>
    <w:p>
      <w:pPr>
        <w:keepNext/>
        <w:spacing w:before="115" w:after="60"/>
        <w:jc w:val="left"/>
      </w:pPr>
      <w:r>
        <w:rPr>
          <w:rFonts w:ascii="Cambria" w:hAnsi="Cambria"/>
          <w:b/>
          <w:i w:val="0"/>
          <w:color w:val="008080"/>
          <w:sz w:val="22"/>
        </w:rPr>
        <w:t>NCCN Guidelines&amp;amp;reg; - NCCN-Myeloproliferative Neoplasms [Version 1.2025]</w:t>
      </w:r>
    </w:p>
    <w:p>
      <w:pPr>
        <w:spacing w:before="115" w:after="80" w:line="276" w:lineRule="auto"/>
        <w:jc w:val="left"/>
      </w:pPr>
      <w:r>
        <w:rPr>
          <w:rFonts w:ascii="Cambria" w:hAnsi="Cambria"/>
          <w:color w:val="000000"/>
          <w:sz w:val="20"/>
        </w:rPr>
        <w:t>NCCN Guidelines&amp;amp;reg; - NCCN-Chronic Lymphocytic Leukemia/Small Lymphocytic Lymphoma [Version 3.2025]</w:t>
      </w:r>
    </w:p>
    <w:p>
      <w:pPr>
        <w:keepNext/>
        <w:spacing w:before="115" w:after="60"/>
        <w:jc w:val="left"/>
      </w:pPr>
      <w:r>
        <w:rPr>
          <w:rFonts w:ascii="Cambria" w:hAnsi="Cambria"/>
          <w:b/>
          <w:i w:val="0"/>
          <w:color w:val="008080"/>
          <w:sz w:val="22"/>
        </w:rPr>
        <w:t>NCCN Guidelines&amp;amp;reg; - NCCN-Acute Lymphoblastic Leukemia [Version 3.2024]</w:t>
      </w:r>
    </w:p>
    <w:p>
      <w:pPr>
        <w:keepNext/>
        <w:spacing w:before="115" w:after="60"/>
        <w:jc w:val="left"/>
      </w:pPr>
      <w:r>
        <w:rPr>
          <w:rFonts w:ascii="Cambria" w:hAnsi="Cambria"/>
          <w:b/>
          <w:i w:val="0"/>
          <w:color w:val="008080"/>
          <w:sz w:val="22"/>
        </w:rPr>
        <w:t>NCCN Guidelines&amp;amp;reg; - NCCN-B-Cell Lymphomas [Version 2.2025]</w:t>
      </w:r>
    </w:p>
    <w:p>
      <w:pPr>
        <w:spacing w:before="360" w:after="120"/>
        <w:jc w:val="center"/>
      </w:pPr>
      <w:r>
        <w:drawing>
          <wp:inline xmlns:a="http://schemas.openxmlformats.org/drawingml/2006/main" xmlns:pic="http://schemas.openxmlformats.org/drawingml/2006/picture">
            <wp:extent cx="1536700" cy="673100"/>
            <wp:docPr id="25" name="Picture 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6" name="Picture 2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7" name="Picture 2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8"/>
          <w:footerReference w:type="default" r:id="rId29"/>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Bernard et al. Implications of TP53 allelic state for genome stability, clinical presentation and outcomes in myelodysplastic</w:t>
      </w:r>
    </w:p>
    <w:p>
      <w:pPr>
        <w:spacing w:before="0" w:after="80" w:line="276" w:lineRule="auto"/>
        <w:jc w:val="left"/>
      </w:pPr>
      <w:r>
        <w:rPr>
          <w:rFonts w:ascii="Cambria" w:hAnsi="Cambria"/>
          <w:color w:val="000000"/>
          <w:sz w:val="20"/>
        </w:rPr>
        <w:t>syndromes. Nat. Med. 2020 Aug 3. PMID: 32747829</w:t>
      </w:r>
    </w:p>
    <w:p>
      <w:pPr>
        <w:pStyle w:val="ListBullet"/>
        <w:spacing w:before="360" w:after="80" w:line="276" w:lineRule="auto"/>
      </w:pPr>
      <w:r>
        <w:rPr>
          <w:rFonts w:ascii="Cambria" w:hAnsi="Cambria"/>
          <w:color w:val="000000"/>
          <w:sz w:val="20"/>
        </w:rPr>
        <w:t>End Of Report ------------------</w:t>
      </w:r>
    </w:p>
    <w:p>
      <w:pPr>
        <w:spacing w:before="360" w:after="120"/>
        <w:jc w:val="center"/>
      </w:pPr>
      <w:r>
        <w:drawing>
          <wp:inline xmlns:a="http://schemas.openxmlformats.org/drawingml/2006/main" xmlns:pic="http://schemas.openxmlformats.org/drawingml/2006/picture">
            <wp:extent cx="1536700" cy="673100"/>
            <wp:docPr id="28" name="Picture 2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9" name="Picture 2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0" name="Picture 3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pacing w:before="240" w:after="240"/>
        <w:jc w:val="center"/>
      </w:pPr>
      <w:r>
        <w:rPr>
          <w:rFonts w:ascii="Calibri" w:hAnsi="Calibri"/>
          <w:color w:val="000000"/>
          <w:sz w:val="20"/>
        </w:rPr>
        <w:t>------------------ End Of Report ------------------</w:t>
      </w:r>
    </w:p>
    <w:sectPr w:rsidR="00FC693F" w:rsidRPr="0006063C" w:rsidSect="00034616">
      <w:headerReference w:type="default" r:id="rId30"/>
      <w:footerReference w:type="default" r:id="rId31"/>
      <w:pgSz w:w="11906" w:h="16838"/>
      <w:pgMar w:top="1200" w:right="720" w:bottom="8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header" Target="header7.xml"/><Relationship Id="rId25" Type="http://schemas.openxmlformats.org/officeDocument/2006/relationships/footer" Target="footer7.xml"/><Relationship Id="rId26" Type="http://schemas.openxmlformats.org/officeDocument/2006/relationships/header" Target="header8.xml"/><Relationship Id="rId27" Type="http://schemas.openxmlformats.org/officeDocument/2006/relationships/footer" Target="footer8.xml"/><Relationship Id="rId28" Type="http://schemas.openxmlformats.org/officeDocument/2006/relationships/header" Target="header9.xml"/><Relationship Id="rId29" Type="http://schemas.openxmlformats.org/officeDocument/2006/relationships/footer" Target="footer9.xml"/><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header" Target="header11.xml"/><Relationship Id="rId33" Type="http://schemas.openxmlformats.org/officeDocument/2006/relationships/header" Target="header12.xml"/><Relationship Id="rId34" Type="http://schemas.openxmlformats.org/officeDocument/2006/relationships/footer" Target="footer11.xml"/><Relationship Id="rId35" Type="http://schemas.openxmlformats.org/officeDocument/2006/relationships/footer" Target="footer1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footer10.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