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40" w:lineRule="auto" w:before="300" w:after="0"/>
        <w:ind w:left="0" w:right="518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648460" cy="6477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48460" cy="647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2794" w:after="598"/>
        <w:ind w:left="0" w:right="7386" w:firstLine="0"/>
        <w:jc w:val="right"/>
      </w:pPr>
      <w:r>
        <w:rPr>
          <w:rFonts w:ascii="Cambria" w:hAnsi="Cambria" w:eastAsia="Cambria"/>
          <w:b/>
          <w:i/>
          <w:color w:val="008080"/>
          <w:sz w:val="28"/>
        </w:rPr>
        <w:t>TEST NAME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8.0" w:type="dxa"/>
      </w:tblPr>
      <w:tblGrid>
        <w:gridCol w:w="9038"/>
      </w:tblGrid>
      <w:tr>
        <w:trPr>
          <w:trHeight w:hRule="exact" w:val="480"/>
        </w:trPr>
        <w:tc>
          <w:tcPr>
            <w:tcW w:type="dxa" w:w="10710"/>
            <w:tcBorders>
              <w:start w:sz="6.400000000000006" w:val="single" w:color="#4AABC4"/>
              <w:top w:sz="6.400000000000091" w:val="single" w:color="#4AABC4"/>
              <w:end w:sz="5.600000000000364" w:val="single" w:color="#4AABC4"/>
              <w:bottom w:sz="6.400000000000091" w:val="single" w:color="#4AABC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100" w:right="8208" w:firstLine="0"/>
              <w:jc w:val="left"/>
            </w:pPr>
            <w:r>
              <w:rPr>
                <w:rFonts w:ascii="Cambria" w:hAnsi="Cambria" w:eastAsia="Cambria"/>
                <w:b/>
                <w:i w:val="0"/>
                <w:color w:val="1F497D"/>
                <w:sz w:val="20"/>
              </w:rPr>
              <w:t xml:space="preserve">Clinical Indication: </w:t>
            </w:r>
            <w:r>
              <w:br/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Metastatic Adenocarcinoma</w:t>
            </w:r>
          </w:p>
        </w:tc>
      </w:tr>
    </w:tbl>
    <w:p>
      <w:pPr>
        <w:autoSpaceDN w:val="0"/>
        <w:autoSpaceDE w:val="0"/>
        <w:widowControl/>
        <w:spacing w:line="25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9038"/>
      </w:tblGrid>
      <w:tr>
        <w:trPr>
          <w:trHeight w:hRule="exact" w:val="646"/>
        </w:trPr>
        <w:tc>
          <w:tcPr>
            <w:tcW w:type="dxa" w:w="10724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0724"/>
            </w:tblGrid>
            <w:tr>
              <w:trPr>
                <w:trHeight w:hRule="exact" w:val="626"/>
              </w:trPr>
              <w:tc>
                <w:tcPr>
                  <w:tcW w:type="dxa" w:w="10724"/>
                  <w:tcBorders/>
                  <w:shd w:fill="ff0000"/>
                  <w:tcMar>
                    <w:start w:w="0" w:type="dxa"/>
                    <w:end w:w="0" w:type="dxa"/>
                  </w:tcMar>
                </w:tcPr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22.00000000000003" w:type="dxa"/>
                  </w:tblPr>
                  <w:tblGrid>
                    <w:gridCol w:w="10724"/>
                  </w:tblGrid>
                  <w:tr>
                    <w:trPr>
                      <w:trHeight w:hRule="exact" w:val="580"/>
                    </w:trPr>
                    <w:tc>
                      <w:tcPr>
                        <w:tcW w:type="dxa" w:w="10682"/>
                        <w:tcBorders>
                          <w:start w:sz="12.0" w:val="single" w:color="#000000"/>
                          <w:top w:sz="12.0" w:val="single" w:color="#000000"/>
                          <w:end w:sz="12.0" w:val="single" w:color="#000000"/>
                          <w:bottom w:sz="12.0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tabs>
                            <w:tab w:pos="4804" w:val="left"/>
                          </w:tabs>
                          <w:autoSpaceDE w:val="0"/>
                          <w:widowControl/>
                          <w:spacing w:line="245" w:lineRule="auto" w:before="36" w:after="0"/>
                          <w:ind w:left="3656" w:right="3456" w:firstLine="0"/>
                          <w:jc w:val="left"/>
                        </w:pPr>
                        <w:r>
                          <w:tab/>
                        </w:r>
                        <w:r>
                          <w:rPr>
                            <w:rFonts w:ascii="Cambria" w:hAnsi="Cambria" w:eastAsia="Cambria"/>
                            <w:b/>
                            <w:i w:val="0"/>
                            <w:color w:val="C00000"/>
                            <w:sz w:val="28"/>
                          </w:rPr>
                          <w:t xml:space="preserve">Positive </w:t>
                        </w:r>
                        <w:r>
                          <w:br/>
                        </w:r>
                        <w:r>
                          <w:rPr>
                            <w:rFonts w:ascii="Cambria" w:hAnsi="Cambria" w:eastAsia="Cambria"/>
                            <w:b/>
                            <w:i w:val="0"/>
                            <w:color w:val="C00000"/>
                            <w:sz w:val="20"/>
                          </w:rPr>
                          <w:t>(Clinically significant Variant detected)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40" w:lineRule="auto" w:before="296" w:after="164"/>
        <w:ind w:left="930" w:right="0" w:firstLine="0"/>
        <w:jc w:val="left"/>
      </w:pPr>
      <w:r>
        <w:rPr>
          <w:rFonts w:ascii="Cambria" w:hAnsi="Cambria" w:eastAsia="Cambria"/>
          <w:b/>
          <w:i w:val="0"/>
          <w:color w:val="C00000"/>
          <w:sz w:val="24"/>
        </w:rPr>
        <w:t>Report Highlights: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16.0" w:type="dxa"/>
      </w:tblPr>
      <w:tblGrid>
        <w:gridCol w:w="1506"/>
        <w:gridCol w:w="1506"/>
        <w:gridCol w:w="1506"/>
        <w:gridCol w:w="1506"/>
        <w:gridCol w:w="1506"/>
        <w:gridCol w:w="1506"/>
      </w:tblGrid>
      <w:tr>
        <w:trPr>
          <w:trHeight w:hRule="exact" w:val="466"/>
        </w:trPr>
        <w:tc>
          <w:tcPr>
            <w:tcW w:type="dxa" w:w="1368"/>
            <w:tcBorders>
              <w:start w:sz="12.0" w:val="single" w:color="#000000"/>
              <w:top w:sz="12.0" w:val="single" w:color="#000000"/>
              <w:end w:sz="12.0" w:val="single" w:color="#000000"/>
            </w:tcBorders>
            <w:shd w:fill="1f497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3" w:lineRule="auto" w:before="96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/>
                <w:i w:val="0"/>
                <w:color w:val="1F497D"/>
                <w:sz w:val="20"/>
              </w:rPr>
              <w:t xml:space="preserve">Tier I </w:t>
            </w:r>
            <w:r>
              <w:rPr>
                <w:rFonts w:ascii="Cambria" w:hAnsi="Cambria" w:eastAsia="Cambria"/>
                <w:b/>
                <w:i w:val="0"/>
                <w:color w:val="FFFFFF"/>
                <w:sz w:val="19"/>
              </w:rPr>
              <w:t>Tier I</w:t>
            </w:r>
          </w:p>
        </w:tc>
        <w:tc>
          <w:tcPr>
            <w:tcW w:type="dxa" w:w="1364"/>
            <w:tcBorders>
              <w:start w:sz="12.0" w:val="single" w:color="#000000"/>
              <w:top w:sz="12.0" w:val="single" w:color="#000000"/>
              <w:end w:sz="12.0" w:val="single" w:color="#000000"/>
            </w:tcBorders>
            <w:shd w:fill="1f497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3" w:lineRule="auto" w:before="96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/>
                <w:i w:val="0"/>
                <w:color w:val="1F497D"/>
                <w:sz w:val="20"/>
              </w:rPr>
              <w:t xml:space="preserve">Tier II </w:t>
            </w:r>
            <w:r>
              <w:rPr>
                <w:rFonts w:ascii="Cambria" w:hAnsi="Cambria" w:eastAsia="Cambria"/>
                <w:b/>
                <w:i w:val="0"/>
                <w:color w:val="FFFFFF"/>
                <w:sz w:val="19"/>
              </w:rPr>
              <w:t>Tier II</w:t>
            </w:r>
          </w:p>
        </w:tc>
        <w:tc>
          <w:tcPr>
            <w:tcW w:type="dxa" w:w="1410"/>
            <w:tcBorders>
              <w:start w:sz="12.0" w:val="single" w:color="#000000"/>
              <w:top w:sz="12.0" w:val="single" w:color="#000000"/>
              <w:end w:sz="12.0" w:val="single" w:color="#000000"/>
            </w:tcBorders>
            <w:shd w:fill="1f497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3" w:lineRule="auto" w:before="96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/>
                <w:i w:val="0"/>
                <w:color w:val="FFFFFF"/>
                <w:sz w:val="19"/>
              </w:rPr>
              <w:t xml:space="preserve">Tier III </w:t>
            </w:r>
            <w:r>
              <w:rPr>
                <w:rFonts w:ascii="Cambria" w:hAnsi="Cambria" w:eastAsia="Cambria"/>
                <w:b/>
                <w:i w:val="0"/>
                <w:color w:val="1F497D"/>
                <w:sz w:val="20"/>
              </w:rPr>
              <w:t>Tier III</w:t>
            </w:r>
          </w:p>
        </w:tc>
        <w:tc>
          <w:tcPr>
            <w:tcW w:type="dxa" w:w="1440"/>
            <w:tcBorders>
              <w:start w:sz="12.0" w:val="single" w:color="#000000"/>
              <w:top w:sz="12.0" w:val="single" w:color="#000000"/>
              <w:end w:sz="12.0" w:val="single" w:color="#000000"/>
            </w:tcBorders>
            <w:shd w:fill="1f497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3" w:lineRule="auto" w:before="96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/>
                <w:i w:val="0"/>
                <w:color w:val="FFFFFF"/>
                <w:sz w:val="19"/>
              </w:rPr>
              <w:t xml:space="preserve">MSI </w:t>
            </w:r>
            <w:r>
              <w:rPr>
                <w:rFonts w:ascii="Cambria" w:hAnsi="Cambria" w:eastAsia="Cambria"/>
                <w:b/>
                <w:i w:val="0"/>
                <w:color w:val="1F497D"/>
                <w:sz w:val="20"/>
              </w:rPr>
              <w:t>MSI</w:t>
            </w:r>
          </w:p>
        </w:tc>
        <w:tc>
          <w:tcPr>
            <w:tcW w:type="dxa" w:w="2006"/>
            <w:tcBorders>
              <w:start w:sz="12.0" w:val="single" w:color="#000000"/>
              <w:top w:sz="12.0" w:val="single" w:color="#000000"/>
              <w:end w:sz="12.0" w:val="single" w:color="#000000"/>
            </w:tcBorders>
            <w:shd w:fill="1f497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3" w:lineRule="auto" w:before="96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/>
                <w:i w:val="0"/>
                <w:color w:val="1F497D"/>
                <w:sz w:val="20"/>
              </w:rPr>
              <w:t xml:space="preserve">Therapies </w:t>
            </w:r>
            <w:r>
              <w:rPr>
                <w:rFonts w:ascii="Cambria" w:hAnsi="Cambria" w:eastAsia="Cambria"/>
                <w:b/>
                <w:i w:val="0"/>
                <w:color w:val="FFFFFF"/>
                <w:sz w:val="19"/>
              </w:rPr>
              <w:t>Therapies</w:t>
            </w:r>
          </w:p>
        </w:tc>
        <w:tc>
          <w:tcPr>
            <w:tcW w:type="dxa" w:w="3106"/>
            <w:tcBorders>
              <w:start w:sz="12.0" w:val="single" w:color="#000000"/>
              <w:top w:sz="12.0" w:val="single" w:color="#000000"/>
              <w:end w:sz="12.0" w:val="single" w:color="#000000"/>
            </w:tcBorders>
            <w:shd w:fill="1f497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3" w:lineRule="auto" w:before="96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/>
                <w:i w:val="0"/>
                <w:color w:val="1F497D"/>
                <w:sz w:val="20"/>
              </w:rPr>
              <w:t xml:space="preserve">Clinical Trials </w:t>
            </w:r>
            <w:r>
              <w:rPr>
                <w:rFonts w:ascii="Cambria" w:hAnsi="Cambria" w:eastAsia="Cambria"/>
                <w:b/>
                <w:i w:val="0"/>
                <w:color w:val="FFFFFF"/>
                <w:sz w:val="19"/>
              </w:rPr>
              <w:t>Clinical Trials</w:t>
            </w:r>
          </w:p>
        </w:tc>
      </w:tr>
      <w:tr>
        <w:trPr>
          <w:trHeight w:hRule="exact" w:val="390"/>
        </w:trPr>
        <w:tc>
          <w:tcPr>
            <w:tcW w:type="dxa" w:w="1368"/>
            <w:tcBorders>
              <w:start w:sz="6.400000000000006" w:val="single" w:color="#D9ECF2"/>
              <w:end w:sz="6.399999999999977" w:val="single" w:color="#D9ECF2"/>
              <w:bottom w:sz="6.400000000000091" w:val="single" w:color="#D9ECF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2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0</w:t>
            </w:r>
          </w:p>
        </w:tc>
        <w:tc>
          <w:tcPr>
            <w:tcW w:type="dxa" w:w="1364"/>
            <w:tcBorders>
              <w:start w:sz="6.399999999999977" w:val="single" w:color="#D9ECF2"/>
              <w:end w:sz="6.400000000000091" w:val="single" w:color="#D9ECF2"/>
              <w:bottom w:sz="6.400000000000091" w:val="single" w:color="#D9ECF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2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1410"/>
            <w:tcBorders>
              <w:start w:sz="6.400000000000091" w:val="single" w:color="#D9ECF2"/>
              <w:end w:sz="5.599999999999909" w:val="single" w:color="#D9ECF2"/>
              <w:bottom w:sz="6.400000000000091" w:val="single" w:color="#D9ECF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2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0</w:t>
            </w:r>
          </w:p>
        </w:tc>
        <w:tc>
          <w:tcPr>
            <w:tcW w:type="dxa" w:w="1440"/>
            <w:tcBorders>
              <w:start w:sz="5.599999999999909" w:val="single" w:color="#D9ECF2"/>
              <w:end w:sz="5.599999999999909" w:val="single" w:color="#D9ECF2"/>
              <w:bottom w:sz="6.400000000000091" w:val="single" w:color="#D9ECF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2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/>
                <w:i w:val="0"/>
                <w:color w:val="008000"/>
                <w:sz w:val="20"/>
              </w:rPr>
              <w:t>Stable</w:t>
            </w:r>
          </w:p>
        </w:tc>
        <w:tc>
          <w:tcPr>
            <w:tcW w:type="dxa" w:w="2006"/>
            <w:tcBorders>
              <w:start w:sz="5.599999999999909" w:val="single" w:color="#D9ECF2"/>
              <w:end w:sz="6.400000000000091" w:val="single" w:color="#D9ECF2"/>
              <w:bottom w:sz="6.400000000000091" w:val="single" w:color="#D9ECF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2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0</w:t>
            </w:r>
          </w:p>
        </w:tc>
        <w:tc>
          <w:tcPr>
            <w:tcW w:type="dxa" w:w="3106"/>
            <w:tcBorders>
              <w:start w:sz="6.400000000000091" w:val="single" w:color="#D9ECF2"/>
              <w:end w:sz="5.600000000000364" w:val="single" w:color="#D9ECF2"/>
              <w:bottom w:sz="6.400000000000091" w:val="single" w:color="#D9ECF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2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43</w:t>
            </w:r>
          </w:p>
        </w:tc>
      </w:tr>
    </w:tbl>
    <w:p>
      <w:pPr>
        <w:autoSpaceDN w:val="0"/>
        <w:autoSpaceDE w:val="0"/>
        <w:widowControl/>
        <w:spacing w:line="240" w:lineRule="auto" w:before="274" w:after="164"/>
        <w:ind w:left="930" w:right="0" w:firstLine="0"/>
        <w:jc w:val="left"/>
      </w:pPr>
      <w:r>
        <w:rPr>
          <w:rFonts w:ascii="Cambria" w:hAnsi="Cambria" w:eastAsia="Cambria"/>
          <w:b/>
          <w:i w:val="0"/>
          <w:color w:val="008080"/>
          <w:sz w:val="24"/>
        </w:rPr>
        <w:t>Key Findings: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16.0" w:type="dxa"/>
      </w:tblPr>
      <w:tblGrid>
        <w:gridCol w:w="1808"/>
        <w:gridCol w:w="1808"/>
        <w:gridCol w:w="1808"/>
        <w:gridCol w:w="1808"/>
        <w:gridCol w:w="1808"/>
      </w:tblGrid>
      <w:tr>
        <w:trPr>
          <w:trHeight w:hRule="exact" w:val="435"/>
        </w:trPr>
        <w:tc>
          <w:tcPr>
            <w:tcW w:type="dxa" w:w="1522"/>
            <w:tcBorders>
              <w:start w:sz="12.0" w:val="single" w:color="#000000"/>
              <w:top w:sz="12.0" w:val="single" w:color="#000000"/>
              <w:end w:sz="12.0" w:val="single" w:color="#000000"/>
            </w:tcBorders>
            <w:shd w:fill="1f497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auto" w:before="98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/>
                <w:i w:val="0"/>
                <w:color w:val="1F497D"/>
                <w:sz w:val="20"/>
              </w:rPr>
              <w:t xml:space="preserve">Tier </w:t>
            </w:r>
            <w:r>
              <w:rPr>
                <w:rFonts w:ascii="Cambria" w:hAnsi="Cambria" w:eastAsia="Cambria"/>
                <w:b/>
                <w:i w:val="0"/>
                <w:color w:val="FFFFFF"/>
                <w:sz w:val="19"/>
              </w:rPr>
              <w:t>Tier</w:t>
            </w:r>
          </w:p>
        </w:tc>
        <w:tc>
          <w:tcPr>
            <w:tcW w:type="dxa" w:w="2816"/>
            <w:tcBorders>
              <w:start w:sz="12.0" w:val="single" w:color="#000000"/>
              <w:top w:sz="12.0" w:val="single" w:color="#000000"/>
              <w:end w:sz="12.0" w:val="single" w:color="#000000"/>
            </w:tcBorders>
            <w:shd w:fill="1f497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auto" w:before="98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/>
                <w:i w:val="0"/>
                <w:color w:val="1F497D"/>
                <w:sz w:val="20"/>
              </w:rPr>
              <w:t xml:space="preserve">Gene &amp; Transcript </w:t>
            </w:r>
            <w:r>
              <w:rPr>
                <w:rFonts w:ascii="Cambria" w:hAnsi="Cambria" w:eastAsia="Cambria"/>
                <w:b/>
                <w:i w:val="0"/>
                <w:color w:val="FFFFFF"/>
                <w:sz w:val="19"/>
              </w:rPr>
              <w:t>Gene &amp; Transcript</w:t>
            </w:r>
          </w:p>
        </w:tc>
        <w:tc>
          <w:tcPr>
            <w:tcW w:type="dxa" w:w="2640"/>
            <w:tcBorders>
              <w:start w:sz="12.0" w:val="single" w:color="#000000"/>
              <w:top w:sz="12.0" w:val="single" w:color="#000000"/>
              <w:end w:sz="12.0" w:val="single" w:color="#000000"/>
            </w:tcBorders>
            <w:shd w:fill="1f497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auto" w:before="98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/>
                <w:i w:val="0"/>
                <w:color w:val="1F497D"/>
                <w:sz w:val="20"/>
              </w:rPr>
              <w:t xml:space="preserve">Variant </w:t>
            </w:r>
            <w:r>
              <w:rPr>
                <w:rFonts w:ascii="Cambria" w:hAnsi="Cambria" w:eastAsia="Cambria"/>
                <w:b/>
                <w:i w:val="0"/>
                <w:color w:val="FFFFFF"/>
                <w:sz w:val="19"/>
              </w:rPr>
              <w:t>Variant</w:t>
            </w:r>
          </w:p>
        </w:tc>
        <w:tc>
          <w:tcPr>
            <w:tcW w:type="dxa" w:w="1574"/>
            <w:tcBorders>
              <w:start w:sz="12.0" w:val="single" w:color="#000000"/>
              <w:top w:sz="12.0" w:val="single" w:color="#000000"/>
              <w:end w:sz="12.0" w:val="single" w:color="#000000"/>
            </w:tcBorders>
            <w:shd w:fill="1f497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auto" w:before="98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/>
                <w:i w:val="0"/>
                <w:color w:val="1F497D"/>
                <w:sz w:val="20"/>
              </w:rPr>
              <w:t xml:space="preserve">Exon </w:t>
            </w:r>
            <w:r>
              <w:rPr>
                <w:rFonts w:ascii="Cambria" w:hAnsi="Cambria" w:eastAsia="Cambria"/>
                <w:b/>
                <w:i w:val="0"/>
                <w:color w:val="FFFFFF"/>
                <w:sz w:val="19"/>
              </w:rPr>
              <w:t>Exon</w:t>
            </w:r>
          </w:p>
        </w:tc>
        <w:tc>
          <w:tcPr>
            <w:tcW w:type="dxa" w:w="2142"/>
            <w:tcBorders>
              <w:start w:sz="12.0" w:val="single" w:color="#000000"/>
              <w:top w:sz="12.0" w:val="single" w:color="#000000"/>
              <w:end w:sz="12.0" w:val="single" w:color="#000000"/>
            </w:tcBorders>
            <w:shd w:fill="1f497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auto" w:before="98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/>
                <w:i w:val="0"/>
                <w:color w:val="1F497D"/>
                <w:sz w:val="20"/>
              </w:rPr>
              <w:t xml:space="preserve">Coverage/VAF </w:t>
            </w:r>
            <w:r>
              <w:rPr>
                <w:rFonts w:ascii="Cambria" w:hAnsi="Cambria" w:eastAsia="Cambria"/>
                <w:b/>
                <w:i w:val="0"/>
                <w:color w:val="FFFFFF"/>
                <w:sz w:val="19"/>
              </w:rPr>
              <w:t>Coverage/ VAF</w:t>
            </w:r>
          </w:p>
        </w:tc>
      </w:tr>
      <w:tr>
        <w:trPr>
          <w:trHeight w:hRule="exact" w:val="645"/>
        </w:trPr>
        <w:tc>
          <w:tcPr>
            <w:tcW w:type="dxa" w:w="1522"/>
            <w:tcBorders/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8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IIC</w:t>
            </w:r>
          </w:p>
        </w:tc>
        <w:tc>
          <w:tcPr>
            <w:tcW w:type="dxa" w:w="2816"/>
            <w:tcBorders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.999999999999943" w:type="dxa"/>
            </w:tblPr>
            <w:tblGrid>
              <w:gridCol w:w="2816"/>
            </w:tblGrid>
            <w:tr>
              <w:trPr>
                <w:trHeight w:hRule="exact" w:val="378"/>
              </w:trPr>
              <w:tc>
                <w:tcPr>
                  <w:tcW w:type="dxa" w:w="2792"/>
                  <w:tcBorders/>
                  <w:shd w:fill="f7f7f7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40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TP53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01.9999999999999" w:type="dxa"/>
            </w:tblPr>
            <w:tblGrid>
              <w:gridCol w:w="2816"/>
            </w:tblGrid>
            <w:tr>
              <w:trPr>
                <w:trHeight w:hRule="exact" w:val="228"/>
              </w:trPr>
              <w:tc>
                <w:tcPr>
                  <w:tcW w:type="dxa" w:w="1980"/>
                  <w:tcBorders/>
                  <w:shd w:fill="f7f7f7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2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NM_000546.6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640"/>
            <w:tcBorders/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48" w:after="0"/>
              <w:ind w:left="864" w:right="864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c.405C&gt;A </w:t>
            </w:r>
            <w:r>
              <w:br/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p.(C135*)</w:t>
            </w:r>
          </w:p>
        </w:tc>
        <w:tc>
          <w:tcPr>
            <w:tcW w:type="dxa" w:w="1574"/>
            <w:tcBorders/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8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2142"/>
            <w:tcBorders/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48" w:after="0"/>
              <w:ind w:left="720" w:right="72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691x / </w:t>
            </w:r>
            <w:r>
              <w:br/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93.13%</w:t>
            </w:r>
          </w:p>
        </w:tc>
      </w:tr>
    </w:tbl>
    <w:p>
      <w:pPr>
        <w:autoSpaceDN w:val="0"/>
        <w:autoSpaceDE w:val="0"/>
        <w:widowControl/>
        <w:spacing w:line="259" w:lineRule="auto" w:before="44" w:after="0"/>
        <w:ind w:left="714" w:right="3024" w:firstLine="2"/>
        <w:jc w:val="left"/>
      </w:pPr>
      <w:r>
        <w:rPr>
          <w:rFonts w:ascii="Cambria" w:hAnsi="Cambria" w:eastAsia="Cambria"/>
          <w:b w:val="0"/>
          <w:i/>
          <w:color w:val="000000"/>
          <w:sz w:val="20"/>
        </w:rPr>
        <w:t xml:space="preserve">*Genetic test results are reported based on the recommendations of AMP-ASCO-CAP guidelines. </w:t>
      </w:r>
      <w:r>
        <w:rPr>
          <w:rFonts w:ascii="Cambria" w:hAnsi="Cambria" w:eastAsia="Cambria"/>
          <w:b w:val="0"/>
          <w:i/>
          <w:color w:val="000000"/>
          <w:sz w:val="20"/>
        </w:rPr>
        <w:t>**Public data sources included in relevant targeted therapies, guidelines: EMA, FDA, ESMO, NCCN.</w:t>
      </w:r>
    </w:p>
    <w:p>
      <w:pPr>
        <w:autoSpaceDN w:val="0"/>
        <w:autoSpaceDE w:val="0"/>
        <w:widowControl/>
        <w:spacing w:line="240" w:lineRule="auto" w:before="222" w:after="176"/>
        <w:ind w:left="930" w:right="0" w:firstLine="0"/>
        <w:jc w:val="left"/>
      </w:pPr>
      <w:r>
        <w:rPr>
          <w:rFonts w:ascii="Cambria" w:hAnsi="Cambria" w:eastAsia="Cambria"/>
          <w:b/>
          <w:i w:val="0"/>
          <w:color w:val="008080"/>
          <w:sz w:val="24"/>
        </w:rPr>
        <w:t>Multi-Gene Biomarkers Results: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16.0" w:type="dxa"/>
      </w:tblPr>
      <w:tblGrid>
        <w:gridCol w:w="3013"/>
        <w:gridCol w:w="3013"/>
        <w:gridCol w:w="3013"/>
      </w:tblGrid>
      <w:tr>
        <w:trPr>
          <w:trHeight w:hRule="exact" w:val="454"/>
        </w:trPr>
        <w:tc>
          <w:tcPr>
            <w:tcW w:type="dxa" w:w="4428"/>
            <w:tcBorders>
              <w:start w:sz="12.0" w:val="single" w:color="#000000"/>
              <w:top w:sz="12.0" w:val="single" w:color="#000000"/>
              <w:end w:sz="12.0" w:val="single" w:color="#000000"/>
            </w:tcBorders>
            <w:shd w:fill="1f497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auto" w:before="10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/>
                <w:i w:val="0"/>
                <w:color w:val="1F497D"/>
                <w:sz w:val="20"/>
              </w:rPr>
              <w:t xml:space="preserve">Assay Biomarker </w:t>
            </w:r>
            <w:r>
              <w:rPr>
                <w:rFonts w:ascii="Cambria" w:hAnsi="Cambria" w:eastAsia="Cambria"/>
                <w:b/>
                <w:i w:val="0"/>
                <w:color w:val="FFFFFF"/>
                <w:sz w:val="19"/>
              </w:rPr>
              <w:t>Assay Biomarker</w:t>
            </w:r>
          </w:p>
        </w:tc>
        <w:tc>
          <w:tcPr>
            <w:tcW w:type="dxa" w:w="3044"/>
            <w:tcBorders>
              <w:start w:sz="12.0" w:val="single" w:color="#000000"/>
              <w:top w:sz="12.0" w:val="single" w:color="#000000"/>
              <w:end w:sz="12.0" w:val="single" w:color="#000000"/>
            </w:tcBorders>
            <w:shd w:fill="1f497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auto" w:before="10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/>
                <w:i w:val="0"/>
                <w:color w:val="1F497D"/>
                <w:sz w:val="20"/>
              </w:rPr>
              <w:t xml:space="preserve">Result </w:t>
            </w:r>
            <w:r>
              <w:rPr>
                <w:rFonts w:ascii="Cambria" w:hAnsi="Cambria" w:eastAsia="Cambria"/>
                <w:b/>
                <w:i w:val="0"/>
                <w:color w:val="FFFFFF"/>
                <w:sz w:val="19"/>
              </w:rPr>
              <w:t>Result</w:t>
            </w:r>
          </w:p>
        </w:tc>
        <w:tc>
          <w:tcPr>
            <w:tcW w:type="dxa" w:w="3222"/>
            <w:tcBorders>
              <w:start w:sz="12.0" w:val="single" w:color="#000000"/>
              <w:top w:sz="12.0" w:val="single" w:color="#000000"/>
              <w:end w:sz="12.0" w:val="single" w:color="#000000"/>
            </w:tcBorders>
            <w:shd w:fill="1f497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auto" w:before="10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/>
                <w:i w:val="0"/>
                <w:color w:val="1F497D"/>
                <w:sz w:val="20"/>
              </w:rPr>
              <w:t xml:space="preserve">Interpretation </w:t>
            </w:r>
            <w:r>
              <w:rPr>
                <w:rFonts w:ascii="Cambria" w:hAnsi="Cambria" w:eastAsia="Cambria"/>
                <w:b/>
                <w:i w:val="0"/>
                <w:color w:val="FFFFFF"/>
                <w:sz w:val="19"/>
              </w:rPr>
              <w:t>Interpretation</w:t>
            </w:r>
          </w:p>
        </w:tc>
      </w:tr>
      <w:tr>
        <w:trPr>
          <w:trHeight w:hRule="exact" w:val="478"/>
        </w:trPr>
        <w:tc>
          <w:tcPr>
            <w:tcW w:type="dxa" w:w="4428"/>
            <w:tcBorders>
              <w:start w:sz="6.400000000000006" w:val="single" w:color="#D9ECF2"/>
              <w:end w:sz="6.400000000000091" w:val="single" w:color="#D9ECF2"/>
              <w:bottom w:sz="6.399999999999636" w:val="single" w:color="#D9ECF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76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Microsatellite Instability (MSI)</w:t>
            </w:r>
          </w:p>
        </w:tc>
        <w:tc>
          <w:tcPr>
            <w:tcW w:type="dxa" w:w="3044"/>
            <w:tcBorders>
              <w:start w:sz="6.400000000000091" w:val="single" w:color="#D9ECF2"/>
              <w:end w:sz="6.400000000000091" w:val="single" w:color="#D9ECF2"/>
              <w:bottom w:sz="6.399999999999636" w:val="single" w:color="#D9ECF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76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/>
                <w:i w:val="0"/>
                <w:color w:val="008000"/>
                <w:sz w:val="20"/>
              </w:rPr>
              <w:t>Stable</w:t>
            </w:r>
          </w:p>
        </w:tc>
        <w:tc>
          <w:tcPr>
            <w:tcW w:type="dxa" w:w="3222"/>
            <w:tcBorders>
              <w:start w:sz="6.400000000000091" w:val="single" w:color="#D9ECF2"/>
              <w:end w:sz="5.600000000000364" w:val="single" w:color="#D9ECF2"/>
              <w:bottom w:sz="6.399999999999636" w:val="single" w:color="#D9ECF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76" w:after="0"/>
              <w:ind w:left="344" w:right="0" w:firstLine="0"/>
              <w:jc w:val="left"/>
            </w:pPr>
            <w:r>
              <w:rPr>
                <w:rFonts w:ascii="Cambria" w:hAnsi="Cambria" w:eastAsia="Cambria"/>
                <w:b/>
                <w:i w:val="0"/>
                <w:color w:val="C00000"/>
                <w:sz w:val="20"/>
              </w:rPr>
              <w:t>Stable Microsatellite detected</w:t>
            </w:r>
          </w:p>
        </w:tc>
      </w:tr>
    </w:tbl>
    <w:p>
      <w:pPr>
        <w:autoSpaceDN w:val="0"/>
        <w:autoSpaceDE w:val="0"/>
        <w:widowControl/>
        <w:spacing w:line="259" w:lineRule="auto" w:before="42" w:after="0"/>
        <w:ind w:left="714" w:right="1296" w:firstLine="2"/>
        <w:jc w:val="left"/>
      </w:pPr>
      <w:r>
        <w:rPr>
          <w:rFonts w:ascii="Cambria" w:hAnsi="Cambria" w:eastAsia="Cambria"/>
          <w:b w:val="0"/>
          <w:i/>
          <w:color w:val="000000"/>
          <w:sz w:val="20"/>
        </w:rPr>
        <w:t xml:space="preserve"># Correlation of the genetic findings with the clinical condition of the patient is required to arrive at accurate diagnosis, </w:t>
      </w:r>
      <w:r>
        <w:rPr>
          <w:rFonts w:ascii="Cambria" w:hAnsi="Cambria" w:eastAsia="Cambria"/>
          <w:b w:val="0"/>
          <w:i/>
          <w:color w:val="000000"/>
          <w:sz w:val="20"/>
        </w:rPr>
        <w:t>prognosis or therapeutic decisions.</w:t>
      </w:r>
    </w:p>
    <w:p>
      <w:pPr>
        <w:autoSpaceDN w:val="0"/>
        <w:autoSpaceDE w:val="0"/>
        <w:widowControl/>
        <w:spacing w:line="240" w:lineRule="auto" w:before="1874" w:after="0"/>
        <w:ind w:left="0" w:right="802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142999" cy="111505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142999" cy="11150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18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300" w:after="0"/>
        <w:ind w:left="0" w:right="518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648460" cy="6477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48460" cy="647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2802" w:after="180"/>
        <w:ind w:left="950" w:right="0" w:firstLine="0"/>
        <w:jc w:val="left"/>
      </w:pPr>
      <w:r>
        <w:rPr>
          <w:rFonts w:ascii="Cambria" w:hAnsi="Cambria" w:eastAsia="Cambria"/>
          <w:b/>
          <w:i w:val="0"/>
          <w:color w:val="008080"/>
          <w:sz w:val="24"/>
        </w:rPr>
        <w:t>Clinical Significance: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12.0" w:type="dxa"/>
      </w:tblPr>
      <w:tblGrid>
        <w:gridCol w:w="3013"/>
        <w:gridCol w:w="3013"/>
        <w:gridCol w:w="3013"/>
      </w:tblGrid>
      <w:tr>
        <w:trPr>
          <w:trHeight w:hRule="exact" w:val="523"/>
        </w:trPr>
        <w:tc>
          <w:tcPr>
            <w:tcW w:type="dxa" w:w="3564"/>
            <w:tcBorders>
              <w:start w:sz="12.0" w:val="single" w:color="#000000"/>
              <w:top w:sz="12.0" w:val="single" w:color="#000000"/>
              <w:end w:sz="12.0" w:val="single" w:color="#000000"/>
            </w:tcBorders>
            <w:shd w:fill="1f497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3" w:lineRule="auto" w:before="11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/>
                <w:i w:val="0"/>
                <w:color w:val="1F497D"/>
                <w:sz w:val="20"/>
              </w:rPr>
              <w:t xml:space="preserve">Variant </w:t>
            </w:r>
            <w:r>
              <w:rPr>
                <w:rFonts w:ascii="Cambria" w:hAnsi="Cambria" w:eastAsia="Cambria"/>
                <w:b/>
                <w:i w:val="0"/>
                <w:color w:val="FFFFFF"/>
                <w:sz w:val="19"/>
              </w:rPr>
              <w:t>Variant</w:t>
            </w:r>
          </w:p>
        </w:tc>
        <w:tc>
          <w:tcPr>
            <w:tcW w:type="dxa" w:w="7138"/>
            <w:gridSpan w:val="2"/>
            <w:tcBorders>
              <w:start w:sz="12.0" w:val="single" w:color="#000000"/>
              <w:top w:sz="12.0" w:val="single" w:color="#000000"/>
              <w:end w:sz="12.0" w:val="single" w:color="#000000"/>
            </w:tcBorders>
            <w:shd w:fill="1f497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3" w:lineRule="auto" w:before="11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/>
                <w:i w:val="0"/>
                <w:color w:val="1F497D"/>
                <w:sz w:val="20"/>
              </w:rPr>
              <w:t xml:space="preserve">Therapy </w:t>
            </w:r>
            <w:r>
              <w:rPr>
                <w:rFonts w:ascii="Cambria" w:hAnsi="Cambria" w:eastAsia="Cambria"/>
                <w:b/>
                <w:i w:val="0"/>
                <w:color w:val="FFFFFF"/>
                <w:sz w:val="19"/>
              </w:rPr>
              <w:t>Therapy</w:t>
            </w:r>
          </w:p>
        </w:tc>
      </w:tr>
      <w:tr>
        <w:trPr>
          <w:trHeight w:hRule="exact" w:val="512"/>
        </w:trPr>
        <w:tc>
          <w:tcPr>
            <w:tcW w:type="dxa" w:w="3564"/>
            <w:tcBorders/>
            <w:shd w:fill="a5a6a5"/>
            <w:tcMar>
              <w:start w:w="0" w:type="dxa"/>
              <w:end w:w="0" w:type="dxa"/>
            </w:tcMar>
          </w:tcPr>
          <w:p/>
        </w:tc>
        <w:tc>
          <w:tcPr>
            <w:tcW w:type="dxa" w:w="3568"/>
            <w:tcBorders/>
            <w:shd w:fill="a5a6a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/>
                <w:i w:val="0"/>
                <w:color w:val="1F497D"/>
                <w:sz w:val="20"/>
              </w:rPr>
              <w:t>In This Cancer</w:t>
            </w:r>
          </w:p>
        </w:tc>
        <w:tc>
          <w:tcPr>
            <w:tcW w:type="dxa" w:w="3570"/>
            <w:tcBorders/>
            <w:shd w:fill="a5a6a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/>
                <w:i w:val="0"/>
                <w:color w:val="1F497D"/>
                <w:sz w:val="20"/>
              </w:rPr>
              <w:t>In Other Cancer</w:t>
            </w:r>
          </w:p>
        </w:tc>
      </w:tr>
      <w:tr>
        <w:trPr>
          <w:trHeight w:hRule="exact" w:val="988"/>
        </w:trPr>
        <w:tc>
          <w:tcPr>
            <w:tcW w:type="dxa" w:w="3564"/>
            <w:tcBorders/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148" w:after="0"/>
              <w:ind w:left="1296" w:right="1296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IIC </w:t>
            </w:r>
            <w:r>
              <w:br/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TP53 </w:t>
            </w:r>
            <w:r>
              <w:br/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p.(C135*)</w:t>
            </w:r>
          </w:p>
        </w:tc>
        <w:tc>
          <w:tcPr>
            <w:tcW w:type="dxa" w:w="3568"/>
            <w:tcBorders/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50" w:after="0"/>
              <w:ind w:left="108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6666"/>
                <w:sz w:val="24"/>
              </w:rPr>
              <w:t>▪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None*</w:t>
            </w:r>
          </w:p>
        </w:tc>
        <w:tc>
          <w:tcPr>
            <w:tcW w:type="dxa" w:w="3570"/>
            <w:tcBorders/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50" w:after="0"/>
              <w:ind w:left="108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6666"/>
                <w:sz w:val="24"/>
              </w:rPr>
              <w:t>▪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None*</w:t>
            </w:r>
          </w:p>
        </w:tc>
      </w:tr>
    </w:tbl>
    <w:p>
      <w:pPr>
        <w:autoSpaceDN w:val="0"/>
        <w:autoSpaceDE w:val="0"/>
        <w:widowControl/>
        <w:spacing w:line="33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16.0" w:type="dxa"/>
      </w:tblPr>
      <w:tblGrid>
        <w:gridCol w:w="3013"/>
        <w:gridCol w:w="3013"/>
        <w:gridCol w:w="3013"/>
      </w:tblGrid>
      <w:tr>
        <w:trPr>
          <w:trHeight w:hRule="exact" w:val="436"/>
        </w:trPr>
        <w:tc>
          <w:tcPr>
            <w:tcW w:type="dxa" w:w="2772"/>
            <w:tcBorders>
              <w:start w:sz="12.0" w:val="single" w:color="#000000"/>
              <w:top w:sz="12.0" w:val="single" w:color="#000000"/>
              <w:end w:sz="12.0" w:val="single" w:color="#000000"/>
            </w:tcBorders>
            <w:shd w:fill="1f497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auto" w:before="82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/>
                <w:i w:val="0"/>
                <w:color w:val="1F497D"/>
                <w:sz w:val="20"/>
              </w:rPr>
              <w:t xml:space="preserve">Variant </w:t>
            </w:r>
            <w:r>
              <w:rPr>
                <w:rFonts w:ascii="Cambria" w:hAnsi="Cambria" w:eastAsia="Cambria"/>
                <w:b/>
                <w:i w:val="0"/>
                <w:color w:val="FFFFFF"/>
                <w:sz w:val="19"/>
              </w:rPr>
              <w:t>Variant</w:t>
            </w:r>
          </w:p>
        </w:tc>
        <w:tc>
          <w:tcPr>
            <w:tcW w:type="dxa" w:w="3966"/>
            <w:tcBorders>
              <w:start w:sz="12.0" w:val="single" w:color="#000000"/>
              <w:top w:sz="12.0" w:val="single" w:color="#000000"/>
              <w:end w:sz="12.0" w:val="single" w:color="#000000"/>
            </w:tcBorders>
            <w:shd w:fill="1f497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auto" w:before="82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/>
                <w:i w:val="0"/>
                <w:color w:val="1F497D"/>
                <w:sz w:val="20"/>
              </w:rPr>
              <w:t xml:space="preserve">Diagnostic Significance </w:t>
            </w:r>
            <w:r>
              <w:rPr>
                <w:rFonts w:ascii="Cambria" w:hAnsi="Cambria" w:eastAsia="Cambria"/>
                <w:b/>
                <w:i w:val="0"/>
                <w:color w:val="FFFFFF"/>
                <w:sz w:val="19"/>
              </w:rPr>
              <w:t>Diagnostic Significance</w:t>
            </w:r>
          </w:p>
        </w:tc>
        <w:tc>
          <w:tcPr>
            <w:tcW w:type="dxa" w:w="3956"/>
            <w:tcBorders>
              <w:start w:sz="12.0" w:val="single" w:color="#000000"/>
              <w:top w:sz="12.0" w:val="single" w:color="#000000"/>
              <w:end w:sz="12.0" w:val="single" w:color="#000000"/>
            </w:tcBorders>
            <w:shd w:fill="1f497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auto" w:before="82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/>
                <w:i w:val="0"/>
                <w:color w:val="1F497D"/>
                <w:sz w:val="20"/>
              </w:rPr>
              <w:t xml:space="preserve">Prognostic Significance </w:t>
            </w:r>
            <w:r>
              <w:rPr>
                <w:rFonts w:ascii="Cambria" w:hAnsi="Cambria" w:eastAsia="Cambria"/>
                <w:b/>
                <w:i w:val="0"/>
                <w:color w:val="FFFFFF"/>
                <w:sz w:val="19"/>
              </w:rPr>
              <w:t>Prognostic Significance</w:t>
            </w:r>
          </w:p>
        </w:tc>
      </w:tr>
      <w:tr>
        <w:trPr>
          <w:trHeight w:hRule="exact" w:val="640"/>
        </w:trPr>
        <w:tc>
          <w:tcPr>
            <w:tcW w:type="dxa" w:w="2772"/>
            <w:tcBorders/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48" w:after="0"/>
              <w:ind w:left="864" w:right="864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TP53 </w:t>
            </w:r>
            <w:r>
              <w:br/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p.(C135*)</w:t>
            </w:r>
          </w:p>
        </w:tc>
        <w:tc>
          <w:tcPr>
            <w:tcW w:type="dxa" w:w="3966"/>
            <w:tcBorders/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52" w:after="0"/>
              <w:ind w:left="102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None*</w:t>
            </w:r>
          </w:p>
        </w:tc>
        <w:tc>
          <w:tcPr>
            <w:tcW w:type="dxa" w:w="3956"/>
            <w:tcBorders/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52" w:after="0"/>
              <w:ind w:left="102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None*</w:t>
            </w:r>
          </w:p>
        </w:tc>
      </w:tr>
    </w:tbl>
    <w:p>
      <w:pPr>
        <w:autoSpaceDN w:val="0"/>
        <w:autoSpaceDE w:val="0"/>
        <w:widowControl/>
        <w:spacing w:line="240" w:lineRule="auto" w:before="264" w:after="180"/>
        <w:ind w:left="930" w:right="0" w:firstLine="0"/>
        <w:jc w:val="left"/>
      </w:pPr>
      <w:r>
        <w:rPr>
          <w:rFonts w:ascii="Cambria" w:hAnsi="Cambria" w:eastAsia="Cambria"/>
          <w:b/>
          <w:i w:val="0"/>
          <w:color w:val="008080"/>
          <w:sz w:val="24"/>
        </w:rPr>
        <w:t>Biomarker Description: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16.0" w:type="dxa"/>
      </w:tblPr>
      <w:tblGrid>
        <w:gridCol w:w="4519"/>
        <w:gridCol w:w="4519"/>
      </w:tblGrid>
      <w:tr>
        <w:trPr>
          <w:trHeight w:hRule="exact" w:val="441"/>
        </w:trPr>
        <w:tc>
          <w:tcPr>
            <w:tcW w:type="dxa" w:w="2358"/>
            <w:tcBorders>
              <w:start w:sz="12.0" w:val="single" w:color="#000000"/>
              <w:top w:sz="12.0" w:val="single" w:color="#000000"/>
              <w:end w:sz="12.0" w:val="single" w:color="#000000"/>
            </w:tcBorders>
            <w:shd w:fill="1f497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3" w:lineRule="auto" w:before="96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/>
                <w:i w:val="0"/>
                <w:color w:val="1F497D"/>
                <w:sz w:val="20"/>
              </w:rPr>
              <w:t xml:space="preserve">Variant </w:t>
            </w:r>
            <w:r>
              <w:rPr>
                <w:rFonts w:ascii="Cambria" w:hAnsi="Cambria" w:eastAsia="Cambria"/>
                <w:b/>
                <w:i w:val="0"/>
                <w:color w:val="FFFFFF"/>
                <w:sz w:val="19"/>
              </w:rPr>
              <w:t>Variant</w:t>
            </w:r>
          </w:p>
        </w:tc>
        <w:tc>
          <w:tcPr>
            <w:tcW w:type="dxa" w:w="8336"/>
            <w:tcBorders>
              <w:start w:sz="12.0" w:val="single" w:color="#000000"/>
              <w:top w:sz="12.0" w:val="single" w:color="#000000"/>
              <w:end w:sz="12.0" w:val="single" w:color="#000000"/>
            </w:tcBorders>
            <w:shd w:fill="1f497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3" w:lineRule="auto" w:before="96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/>
                <w:i w:val="0"/>
                <w:color w:val="1F497D"/>
                <w:sz w:val="20"/>
              </w:rPr>
              <w:t xml:space="preserve">Biomarker Description </w:t>
            </w:r>
            <w:r>
              <w:rPr>
                <w:rFonts w:ascii="Cambria" w:hAnsi="Cambria" w:eastAsia="Cambria"/>
                <w:b/>
                <w:i w:val="0"/>
                <w:color w:val="FFFFFF"/>
                <w:sz w:val="19"/>
              </w:rPr>
              <w:t>Biomarker Description</w:t>
            </w:r>
          </w:p>
        </w:tc>
      </w:tr>
      <w:tr>
        <w:trPr>
          <w:trHeight w:hRule="exact" w:val="4535"/>
        </w:trPr>
        <w:tc>
          <w:tcPr>
            <w:tcW w:type="dxa" w:w="2358"/>
            <w:tcBorders/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748" w:after="0"/>
              <w:ind w:left="100" w:right="864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TP53 </w:t>
            </w:r>
            <w:r>
              <w:br/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NM_000546.6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chr17:7578525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c.405C&gt;A </w:t>
            </w:r>
            <w:r>
              <w:br/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p.(C135*)</w:t>
            </w:r>
          </w:p>
        </w:tc>
        <w:tc>
          <w:tcPr>
            <w:tcW w:type="dxa" w:w="8336"/>
            <w:tcBorders/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44" w:after="0"/>
              <w:ind w:left="96" w:right="432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The TP53 gene encodes the tumor suppressor protein p53, which binds to DNA and activates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transcription in response to diverse cellular stresses to induce cell cycle arrest, apoptosis, or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DNA repair[1]. In unstressed cells, TP53 is kept inactive by targeted degradation via MDM2, a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substrate recognition factor for ubiquitin-dependent proteolysis[2]. Alterations in TP53 are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required for oncogenesis as they result in loss of protein function and gain of transforming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potential[3]. Germline mutations in TP53 are the underlying cause of Li-Fraumeni syndrome, a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complex hereditary cancer predisposition disorder associated with early-onset cancers[4,5].</w:t>
            </w:r>
          </w:p>
          <w:p>
            <w:pPr>
              <w:autoSpaceDN w:val="0"/>
              <w:autoSpaceDE w:val="0"/>
              <w:widowControl/>
              <w:spacing w:line="245" w:lineRule="auto" w:before="0" w:after="0"/>
              <w:ind w:left="9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TP53 is the most frequently mutated gene in the cancer genome with approximately half of all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cancers experiencing TP53 mutations. Ovarian, head and neck, esophageal, and lung squamous </w:t>
            </w:r>
            <w:r>
              <w:rPr>
                <w:rFonts w:ascii="Cambria" w:hAnsi="Cambria" w:eastAsia="Cambria"/>
                <w:b/>
                <w:i w:val="0"/>
                <w:color w:val="C00000"/>
                <w:sz w:val="20"/>
              </w:rPr>
              <w:t xml:space="preserve">cancers have particularly high TP53 mutation rates (60-90%)[6,7,8,9,10,11]. Approximately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two-thirds of TP53 mutations are missense mutations and several recurrent missense </w:t>
            </w:r>
            <w:r>
              <w:br/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mutations are common, including substitutions at codons R158, R175, Y220, R248, R273, and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R282[6,7]. Invariably, recurrent missense mutations in TP53 inactivate its ability to bind DNA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and activate transcription of target genes[12,13,14,15]. Alterations in TP53 are also observed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in pediatric cancers[6,7]. Somatic mutations are observed in 53% of non-Hodgkin lymphoma,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24% of soft tissue sarcoma, 19% of glioma, 13% of bone cancer, 9% of B-lymphoblastic </w:t>
            </w:r>
            <w:r>
              <w:br/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leukemia/lymphoma, 4% of embryonal tumors, 3% of Wilms tumor and leukemia, 2% of T-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lymphoblastic leukemia/lymphoma, and less than 1% of peripheral nervous system cancers (5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in 1158 cases )[6,7]. Biallelic loss of TP53 is observed in 10% of bone cancer, 2% of Wilms</w:t>
            </w:r>
          </w:p>
        </w:tc>
      </w:tr>
    </w:tbl>
    <w:p>
      <w:pPr>
        <w:autoSpaceDN w:val="0"/>
        <w:autoSpaceDE w:val="0"/>
        <w:widowControl/>
        <w:spacing w:line="240" w:lineRule="auto" w:before="702" w:after="0"/>
        <w:ind w:left="0" w:right="802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142999" cy="111505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142999" cy="11150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18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300" w:after="2724"/>
        <w:ind w:left="0" w:right="518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648460" cy="6477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48460" cy="6477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22.0" w:type="dxa"/>
      </w:tblPr>
      <w:tblGrid>
        <w:gridCol w:w="4519"/>
        <w:gridCol w:w="4519"/>
      </w:tblGrid>
      <w:tr>
        <w:trPr>
          <w:trHeight w:hRule="exact" w:val="4563"/>
        </w:trPr>
        <w:tc>
          <w:tcPr>
            <w:tcW w:type="dxa" w:w="2342"/>
            <w:tcBorders>
              <w:start w:sz="12.0" w:val="single" w:color="#000000"/>
              <w:top w:sz="12.0" w:val="single" w:color="#000000"/>
              <w:end w:sz="12.0" w:val="single" w:color="#000000"/>
            </w:tcBorders>
            <w:shd w:fill="1f497d"/>
            <w:tcMar>
              <w:start w:w="0" w:type="dxa"/>
              <w:end w:w="0" w:type="dxa"/>
            </w:tcMar>
          </w:tcPr>
          <w:p/>
        </w:tc>
        <w:tc>
          <w:tcPr>
            <w:tcW w:type="dxa" w:w="8340"/>
            <w:tcBorders>
              <w:start w:sz="12.0" w:val="single" w:color="#000000"/>
              <w:top w:sz="12.0" w:val="single" w:color="#000000"/>
              <w:end w:sz="12.0" w:val="single" w:color="#000000"/>
            </w:tcBorders>
            <w:shd w:fill="1f497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9" w:lineRule="auto" w:before="72" w:after="0"/>
              <w:ind w:left="92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tumor, and less than 1% of B-lymphoblastic leukemia/lymphoma (2 in 731 cases) and </w:t>
            </w:r>
            <w:r>
              <w:rPr>
                <w:rFonts w:ascii="Cambria" w:hAnsi="Cambria" w:eastAsia="Cambria"/>
                <w:b/>
                <w:i w:val="0"/>
                <w:color w:val="FFFFFF"/>
                <w:sz w:val="19"/>
              </w:rPr>
              <w:t>tumor, and less than 1% of B-lymphoblastic leukemia/lymphoma (2 in 731 cases) and</w:t>
            </w:r>
          </w:p>
          <w:p>
            <w:pPr>
              <w:autoSpaceDN w:val="0"/>
              <w:tabs>
                <w:tab w:pos="136" w:val="left"/>
                <w:tab w:pos="2298" w:val="left"/>
                <w:tab w:pos="3908" w:val="left"/>
                <w:tab w:pos="5498" w:val="left"/>
                <w:tab w:pos="7252" w:val="left"/>
              </w:tabs>
              <w:autoSpaceDE w:val="0"/>
              <w:widowControl/>
              <w:spacing w:line="314" w:lineRule="auto" w:before="0" w:after="0"/>
              <w:ind w:left="92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leukemia </w:t>
            </w:r>
            <w:r>
              <w:rPr>
                <w:rFonts w:ascii="Cambria" w:hAnsi="Cambria" w:eastAsia="Cambria"/>
                <w:b/>
                <w:i w:val="0"/>
                <w:color w:val="FFFFFF"/>
                <w:sz w:val="19"/>
              </w:rPr>
              <w:t xml:space="preserve">leukemia (1 in 250 cases)[6,7]. The small molecule p53 reactivator, PC14586[16] (2020),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(1 </w:t>
            </w:r>
            <w:r>
              <w:tab/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in </w:t>
            </w:r>
            <w:r>
              <w:tab/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250 </w:t>
            </w:r>
            <w:r>
              <w:tab/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cases)[6,7].</w:t>
            </w:r>
          </w:p>
          <w:p>
            <w:pPr>
              <w:autoSpaceDN w:val="0"/>
              <w:autoSpaceDE w:val="0"/>
              <w:widowControl/>
              <w:spacing w:line="300" w:lineRule="auto" w:before="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The small molecule p53 reactivator, PC14586[16] (2020), received a fast track designation by </w:t>
            </w:r>
            <w:r>
              <w:rPr>
                <w:rFonts w:ascii="Cambria" w:hAnsi="Cambria" w:eastAsia="Cambria"/>
                <w:b/>
                <w:i w:val="0"/>
                <w:color w:val="FFFFFF"/>
                <w:sz w:val="19"/>
              </w:rPr>
              <w:t>received a fast track designation by the FDA for advanced tumors harboring a TP53 Y220C</w:t>
            </w:r>
          </w:p>
          <w:p>
            <w:pPr>
              <w:autoSpaceDN w:val="0"/>
              <w:autoSpaceDE w:val="0"/>
              <w:widowControl/>
              <w:spacing w:line="286" w:lineRule="auto" w:before="0" w:after="0"/>
              <w:ind w:left="92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the FDA for advanced tumors harboring a TP53 Y220C mutation. The FDA has granted fast </w:t>
            </w:r>
            <w:r>
              <w:rPr>
                <w:rFonts w:ascii="Cambria" w:hAnsi="Cambria" w:eastAsia="Cambria"/>
                <w:b/>
                <w:i w:val="0"/>
                <w:color w:val="FFFFFF"/>
                <w:sz w:val="19"/>
              </w:rPr>
              <w:t>mutation. The FDA has granted fast track designation to the p53 reactivator,</w:t>
            </w:r>
          </w:p>
          <w:p>
            <w:pPr>
              <w:autoSpaceDN w:val="0"/>
              <w:autoSpaceDE w:val="0"/>
              <w:widowControl/>
              <w:spacing w:line="269" w:lineRule="auto" w:before="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track designation to the p53 reactivator, eprenetapopt[17], (2019) and breakthrough </w:t>
            </w:r>
            <w:r>
              <w:rPr>
                <w:rFonts w:ascii="Cambria" w:hAnsi="Cambria" w:eastAsia="Cambria"/>
                <w:b/>
                <w:i w:val="0"/>
                <w:color w:val="FFFFFF"/>
                <w:sz w:val="19"/>
              </w:rPr>
              <w:t>eprenetapopt[17], (2019) and breakthrough designation[18] (2020) in combination with</w:t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92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designation[18] (2020) in combination with azacitidine or azacitidine and venetoclax for acute</w:t>
            </w:r>
          </w:p>
          <w:p>
            <w:pPr>
              <w:autoSpaceDN w:val="0"/>
              <w:autoSpaceDE w:val="0"/>
              <w:widowControl/>
              <w:spacing w:line="242" w:lineRule="auto" w:before="14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/>
                <w:i w:val="0"/>
                <w:color w:val="FFFFFF"/>
                <w:sz w:val="19"/>
              </w:rPr>
              <w:t>myelodysplastic syndrome (MDS) harboring a TP53 mutation, respectively. In addition to</w:t>
            </w:r>
          </w:p>
          <w:p>
            <w:pPr>
              <w:autoSpaceDN w:val="0"/>
              <w:autoSpaceDE w:val="0"/>
              <w:widowControl/>
              <w:spacing w:line="262" w:lineRule="auto" w:before="0" w:after="0"/>
              <w:ind w:left="92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mutation, respectively. In addition to investigational therapies aimed at restoring wild-type </w:t>
            </w:r>
            <w:r>
              <w:rPr>
                <w:rFonts w:ascii="Cambria" w:hAnsi="Cambria" w:eastAsia="Cambria"/>
                <w:b/>
                <w:i w:val="0"/>
                <w:color w:val="FFFFFF"/>
                <w:sz w:val="19"/>
              </w:rPr>
              <w:t>investigational therapies aimed at restoring wild-type TP53 activity, compounds that</w:t>
            </w:r>
          </w:p>
          <w:p>
            <w:pPr>
              <w:autoSpaceDN w:val="0"/>
              <w:tabs>
                <w:tab w:pos="178" w:val="left"/>
                <w:tab w:pos="732" w:val="left"/>
                <w:tab w:pos="1592" w:val="left"/>
                <w:tab w:pos="2776" w:val="left"/>
                <w:tab w:pos="3306" w:val="left"/>
                <w:tab w:pos="4066" w:val="left"/>
                <w:tab w:pos="5036" w:val="left"/>
                <w:tab w:pos="5928" w:val="left"/>
                <w:tab w:pos="6392" w:val="left"/>
                <w:tab w:pos="6922" w:val="left"/>
                <w:tab w:pos="7622" w:val="left"/>
              </w:tabs>
              <w:autoSpaceDE w:val="0"/>
              <w:widowControl/>
              <w:spacing w:line="259" w:lineRule="auto" w:before="0" w:after="0"/>
              <w:ind w:left="92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TP53 </w:t>
            </w:r>
            <w:r>
              <w:rPr>
                <w:rFonts w:ascii="Cambria" w:hAnsi="Cambria" w:eastAsia="Cambria"/>
                <w:b/>
                <w:i w:val="0"/>
                <w:color w:val="FFFFFF"/>
                <w:sz w:val="19"/>
              </w:rPr>
              <w:t xml:space="preserve">induce synthetic lethality are also under clinical evaluation[19,20]. TP53 mutation are a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activity, </w:t>
            </w:r>
            <w:r>
              <w:tab/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compounds </w:t>
            </w:r>
            <w:r>
              <w:tab/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that </w:t>
            </w:r>
            <w:r>
              <w:tab/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induce </w:t>
            </w:r>
            <w:r>
              <w:tab/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synthetic </w:t>
            </w:r>
            <w:r>
              <w:tab/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lethality </w:t>
            </w:r>
            <w:r>
              <w:tab/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are </w:t>
            </w:r>
            <w:r>
              <w:tab/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also </w:t>
            </w:r>
            <w:r>
              <w:tab/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under </w:t>
            </w:r>
            <w:r>
              <w:tab/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clinical</w:t>
            </w:r>
          </w:p>
          <w:p>
            <w:pPr>
              <w:autoSpaceDN w:val="0"/>
              <w:autoSpaceDE w:val="0"/>
              <w:widowControl/>
              <w:spacing w:line="290" w:lineRule="auto" w:before="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evaluation[19,20]. TP53 mutation are a diagnostic marker of SHH-activated, TP53-mutant </w:t>
            </w:r>
            <w:r>
              <w:rPr>
                <w:rFonts w:ascii="Cambria" w:hAnsi="Cambria" w:eastAsia="Cambria"/>
                <w:b/>
                <w:i w:val="0"/>
                <w:color w:val="FFFFFF"/>
                <w:sz w:val="19"/>
              </w:rPr>
              <w:t>diagnostic marker of SHH-activated, TP53-mutant medulloblastoma[21]. TP53 mutations</w:t>
            </w:r>
          </w:p>
          <w:p>
            <w:pPr>
              <w:autoSpaceDN w:val="0"/>
              <w:autoSpaceDE w:val="0"/>
              <w:widowControl/>
              <w:spacing w:line="307" w:lineRule="auto" w:before="0" w:after="0"/>
              <w:ind w:left="92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medulloblastoma[21]. TP53 mutations confer poor prognosis and poor risk in multiple blood </w:t>
            </w:r>
            <w:r>
              <w:rPr>
                <w:rFonts w:ascii="Cambria" w:hAnsi="Cambria" w:eastAsia="Cambria"/>
                <w:b/>
                <w:i w:val="0"/>
                <w:color w:val="FFFFFF"/>
                <w:sz w:val="19"/>
              </w:rPr>
              <w:t>confer poor prognosis and poor risk in multiple blood cancers including AML, MDS,</w:t>
            </w:r>
          </w:p>
          <w:p>
            <w:pPr>
              <w:autoSpaceDN w:val="0"/>
              <w:autoSpaceDE w:val="0"/>
              <w:widowControl/>
              <w:spacing w:line="307" w:lineRule="auto" w:before="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cancers including AML, MDS, myeloproliferative neoplasms (MPN), and chronic lymphocytic </w:t>
            </w:r>
            <w:r>
              <w:rPr>
                <w:rFonts w:ascii="Cambria" w:hAnsi="Cambria" w:eastAsia="Cambria"/>
                <w:b/>
                <w:i w:val="0"/>
                <w:color w:val="FFFFFF"/>
                <w:sz w:val="19"/>
              </w:rPr>
              <w:t>myeloproliferative neoplasms (MPN), and chronic lymphocytic leukemia (CLL), and acute</w:t>
            </w:r>
          </w:p>
          <w:p>
            <w:pPr>
              <w:autoSpaceDN w:val="0"/>
              <w:autoSpaceDE w:val="0"/>
              <w:widowControl/>
              <w:spacing w:line="338" w:lineRule="auto" w:before="0" w:after="0"/>
              <w:ind w:left="92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leukemia (CLL), and acute lymphoblastic leukemia (ALL)[22,23,24,25,26,27]. In mantle cell </w:t>
            </w:r>
            <w:r>
              <w:rPr>
                <w:rFonts w:ascii="Cambria" w:hAnsi="Cambria" w:eastAsia="Cambria"/>
                <w:b/>
                <w:i w:val="0"/>
                <w:color w:val="FFFFFF"/>
                <w:sz w:val="19"/>
              </w:rPr>
              <w:t>lymphoblastic leukemia (ALL)[22,23,24,25,26,27]. In mantle cell lymphoma, TP53</w:t>
            </w:r>
          </w:p>
          <w:p>
            <w:pPr>
              <w:autoSpaceDN w:val="0"/>
              <w:autoSpaceDE w:val="0"/>
              <w:widowControl/>
              <w:spacing w:line="444" w:lineRule="auto" w:before="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/>
                <w:i w:val="0"/>
                <w:color w:val="FFFFFF"/>
                <w:sz w:val="19"/>
              </w:rPr>
              <w:t xml:space="preserve">including hematopoietic cell transplant[28]. Mono- and bi-allelic mutations in TP53 confer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lymphoma, TP53 mutations are associated with poor prognosis when treated with </w:t>
            </w:r>
            <w:r>
              <w:rPr>
                <w:rFonts w:ascii="Cambria" w:hAnsi="Cambria" w:eastAsia="Cambria"/>
                <w:b/>
                <w:i w:val="0"/>
                <w:color w:val="FFFFFF"/>
                <w:sz w:val="19"/>
              </w:rPr>
              <w:t>mutations are associated with poor prognosis when treated with conventional therapy</w:t>
            </w:r>
          </w:p>
          <w:p>
            <w:pPr>
              <w:autoSpaceDN w:val="0"/>
              <w:autoSpaceDE w:val="0"/>
              <w:widowControl/>
              <w:spacing w:line="329" w:lineRule="auto" w:before="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conventional therapy including hematopoietic cell transplant[28]. Mono- and bi-allelic </w:t>
            </w:r>
            <w:r>
              <w:rPr>
                <w:rFonts w:ascii="Cambria" w:hAnsi="Cambria" w:eastAsia="Cambria"/>
                <w:b/>
                <w:i w:val="0"/>
                <w:color w:val="FFFFFF"/>
                <w:sz w:val="19"/>
              </w:rPr>
              <w:t>unique characteristics in MDS, with multi-hit patients also experiencing associations with</w:t>
            </w:r>
          </w:p>
          <w:p>
            <w:pPr>
              <w:autoSpaceDN w:val="0"/>
              <w:autoSpaceDE w:val="0"/>
              <w:widowControl/>
              <w:spacing w:line="300" w:lineRule="auto" w:before="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/>
                <w:i w:val="0"/>
                <w:color w:val="FFFFFF"/>
                <w:sz w:val="19"/>
              </w:rPr>
              <w:t xml:space="preserve">complex karyotype, few co-occurring mutations, and high-risk disease presentation as well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mutations in TP53 confer unique characteristics in MDS, with multi-hit patients also</w:t>
            </w:r>
          </w:p>
          <w:p>
            <w:pPr>
              <w:autoSpaceDN w:val="0"/>
              <w:autoSpaceDE w:val="0"/>
              <w:widowControl/>
              <w:spacing w:line="300" w:lineRule="auto" w:before="0" w:after="0"/>
              <w:ind w:left="92" w:right="0" w:firstLine="0"/>
              <w:jc w:val="left"/>
            </w:pPr>
            <w:r>
              <w:rPr>
                <w:rFonts w:ascii="Cambria" w:hAnsi="Cambria" w:eastAsia="Cambria"/>
                <w:b/>
                <w:i w:val="0"/>
                <w:color w:val="C00000"/>
                <w:sz w:val="20"/>
              </w:rPr>
              <w:t xml:space="preserve">experiencing associations with complex karyotype, few co-occurring mutations, and high-ris </w:t>
            </w:r>
            <w:r>
              <w:rPr>
                <w:rFonts w:ascii="Cambria" w:hAnsi="Cambria" w:eastAsia="Cambria"/>
                <w:b/>
                <w:i w:val="0"/>
                <w:color w:val="FFFFFF"/>
                <w:sz w:val="19"/>
              </w:rPr>
              <w:t>as predicted death and leukemic transformation independent of the IPSS-R staging</w:t>
            </w:r>
          </w:p>
          <w:p>
            <w:pPr>
              <w:autoSpaceDN w:val="0"/>
              <w:autoSpaceDE w:val="0"/>
              <w:widowControl/>
              <w:spacing w:line="269" w:lineRule="auto" w:before="0" w:after="0"/>
              <w:ind w:left="92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disease presentation as well as predicted death and leukemic transformation independent of </w:t>
            </w:r>
            <w:r>
              <w:rPr>
                <w:rFonts w:ascii="Cambria" w:hAnsi="Cambria" w:eastAsia="Cambria"/>
                <w:b/>
                <w:i w:val="0"/>
                <w:color w:val="FFFFFF"/>
                <w:sz w:val="19"/>
              </w:rPr>
              <w:t>system[29].</w:t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92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the IPSS-R staging system[29].</w:t>
            </w:r>
          </w:p>
        </w:tc>
      </w:tr>
    </w:tbl>
    <w:p>
      <w:pPr>
        <w:autoSpaceDN w:val="0"/>
        <w:autoSpaceDE w:val="0"/>
        <w:widowControl/>
        <w:spacing w:line="240" w:lineRule="auto" w:before="284" w:after="0"/>
        <w:ind w:left="930" w:right="0" w:firstLine="0"/>
        <w:jc w:val="left"/>
      </w:pPr>
      <w:r>
        <w:rPr>
          <w:rFonts w:ascii="Cambria" w:hAnsi="Cambria" w:eastAsia="Cambria"/>
          <w:b/>
          <w:i w:val="0"/>
          <w:color w:val="008080"/>
          <w:sz w:val="24"/>
        </w:rPr>
        <w:t>Therapy &amp; Clinical Trials:</w:t>
      </w:r>
    </w:p>
    <w:p>
      <w:pPr>
        <w:autoSpaceDN w:val="0"/>
        <w:autoSpaceDE w:val="0"/>
        <w:widowControl/>
        <w:spacing w:line="240" w:lineRule="auto" w:before="402" w:after="8"/>
        <w:ind w:left="716" w:right="0" w:firstLine="0"/>
        <w:jc w:val="left"/>
      </w:pPr>
      <w:r>
        <w:rPr>
          <w:rFonts w:ascii="Cambria" w:hAnsi="Cambria" w:eastAsia="Cambria"/>
          <w:b/>
          <w:i w:val="0"/>
          <w:color w:val="008080"/>
          <w:sz w:val="20"/>
        </w:rPr>
        <w:t>TP53 p.(C135*) c.405C&gt;A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22.0" w:type="dxa"/>
      </w:tblPr>
      <w:tblGrid>
        <w:gridCol w:w="1506"/>
        <w:gridCol w:w="1506"/>
        <w:gridCol w:w="1506"/>
        <w:gridCol w:w="1506"/>
        <w:gridCol w:w="1506"/>
        <w:gridCol w:w="1506"/>
      </w:tblGrid>
      <w:tr>
        <w:trPr>
          <w:trHeight w:hRule="exact" w:val="464"/>
        </w:trPr>
        <w:tc>
          <w:tcPr>
            <w:tcW w:type="dxa" w:w="5412"/>
            <w:tcBorders>
              <w:start w:sz="12.0" w:val="single" w:color="#000000"/>
              <w:top w:sz="12.0" w:val="single" w:color="#000000"/>
              <w:end w:sz="12.0" w:val="single" w:color="#000000"/>
            </w:tcBorders>
            <w:shd w:fill="1f497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3" w:lineRule="auto" w:before="96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/>
                <w:i w:val="0"/>
                <w:color w:val="1F497D"/>
                <w:sz w:val="20"/>
              </w:rPr>
              <w:t xml:space="preserve">Therapy </w:t>
            </w:r>
            <w:r>
              <w:rPr>
                <w:rFonts w:ascii="Cambria" w:hAnsi="Cambria" w:eastAsia="Cambria"/>
                <w:b/>
                <w:i w:val="0"/>
                <w:color w:val="FFFFFF"/>
                <w:sz w:val="19"/>
              </w:rPr>
              <w:t>Therapy</w:t>
            </w:r>
          </w:p>
        </w:tc>
        <w:tc>
          <w:tcPr>
            <w:tcW w:type="dxa" w:w="1020"/>
            <w:tcBorders>
              <w:start w:sz="12.0" w:val="single" w:color="#000000"/>
              <w:top w:sz="12.0" w:val="single" w:color="#000000"/>
              <w:end w:sz="12.0" w:val="single" w:color="#000000"/>
            </w:tcBorders>
            <w:shd w:fill="1f497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3" w:lineRule="auto" w:before="96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/>
                <w:i w:val="0"/>
                <w:color w:val="1F497D"/>
                <w:sz w:val="20"/>
              </w:rPr>
              <w:t xml:space="preserve">FDA </w:t>
            </w:r>
            <w:r>
              <w:rPr>
                <w:rFonts w:ascii="Cambria" w:hAnsi="Cambria" w:eastAsia="Cambria"/>
                <w:b/>
                <w:i w:val="0"/>
                <w:color w:val="FFFFFF"/>
                <w:sz w:val="19"/>
              </w:rPr>
              <w:t>FDA</w:t>
            </w:r>
          </w:p>
        </w:tc>
        <w:tc>
          <w:tcPr>
            <w:tcW w:type="dxa" w:w="1064"/>
            <w:tcBorders>
              <w:start w:sz="12.0" w:val="single" w:color="#000000"/>
              <w:top w:sz="12.0" w:val="single" w:color="#000000"/>
              <w:end w:sz="12.0" w:val="single" w:color="#000000"/>
            </w:tcBorders>
            <w:shd w:fill="1f497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3" w:lineRule="auto" w:before="96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/>
                <w:i w:val="0"/>
                <w:color w:val="1F497D"/>
                <w:sz w:val="20"/>
              </w:rPr>
              <w:t xml:space="preserve">NCCN </w:t>
            </w:r>
            <w:r>
              <w:rPr>
                <w:rFonts w:ascii="Cambria" w:hAnsi="Cambria" w:eastAsia="Cambria"/>
                <w:b/>
                <w:i w:val="0"/>
                <w:color w:val="FFFFFF"/>
                <w:sz w:val="19"/>
              </w:rPr>
              <w:t>NCCN</w:t>
            </w:r>
          </w:p>
        </w:tc>
        <w:tc>
          <w:tcPr>
            <w:tcW w:type="dxa" w:w="1020"/>
            <w:tcBorders>
              <w:start w:sz="12.0" w:val="single" w:color="#000000"/>
              <w:top w:sz="12.0" w:val="single" w:color="#000000"/>
              <w:end w:sz="12.0" w:val="single" w:color="#000000"/>
            </w:tcBorders>
            <w:shd w:fill="1f497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3" w:lineRule="auto" w:before="96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/>
                <w:i w:val="0"/>
                <w:color w:val="1F497D"/>
                <w:sz w:val="20"/>
              </w:rPr>
              <w:t xml:space="preserve">EMA </w:t>
            </w:r>
            <w:r>
              <w:rPr>
                <w:rFonts w:ascii="Cambria" w:hAnsi="Cambria" w:eastAsia="Cambria"/>
                <w:b/>
                <w:i w:val="0"/>
                <w:color w:val="FFFFFF"/>
                <w:sz w:val="19"/>
              </w:rPr>
              <w:t>EMA</w:t>
            </w:r>
          </w:p>
        </w:tc>
        <w:tc>
          <w:tcPr>
            <w:tcW w:type="dxa" w:w="1090"/>
            <w:tcBorders>
              <w:start w:sz="12.0" w:val="single" w:color="#000000"/>
              <w:top w:sz="12.0" w:val="single" w:color="#000000"/>
              <w:end w:sz="12.0" w:val="single" w:color="#000000"/>
            </w:tcBorders>
            <w:shd w:fill="1f497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3" w:lineRule="auto" w:before="96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/>
                <w:i w:val="0"/>
                <w:color w:val="FFFFFF"/>
                <w:sz w:val="19"/>
              </w:rPr>
              <w:t xml:space="preserve">ESMO </w:t>
            </w:r>
            <w:r>
              <w:rPr>
                <w:rFonts w:ascii="Cambria" w:hAnsi="Cambria" w:eastAsia="Cambria"/>
                <w:b/>
                <w:i w:val="0"/>
                <w:color w:val="1F497D"/>
                <w:sz w:val="20"/>
              </w:rPr>
              <w:t>ESMO</w:t>
            </w:r>
          </w:p>
        </w:tc>
        <w:tc>
          <w:tcPr>
            <w:tcW w:type="dxa" w:w="1076"/>
            <w:tcBorders>
              <w:start w:sz="12.0" w:val="single" w:color="#000000"/>
              <w:top w:sz="12.0" w:val="single" w:color="#000000"/>
              <w:end w:sz="12.0" w:val="single" w:color="#000000"/>
            </w:tcBorders>
            <w:shd w:fill="1f497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3" w:lineRule="auto" w:before="96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/>
                <w:i w:val="0"/>
                <w:color w:val="1F497D"/>
                <w:sz w:val="20"/>
              </w:rPr>
              <w:t xml:space="preserve">Trials </w:t>
            </w:r>
            <w:r>
              <w:rPr>
                <w:rFonts w:ascii="Cambria" w:hAnsi="Cambria" w:eastAsia="Cambria"/>
                <w:b/>
                <w:i w:val="0"/>
                <w:color w:val="FFFFFF"/>
                <w:sz w:val="19"/>
              </w:rPr>
              <w:t>Trials</w:t>
            </w:r>
          </w:p>
        </w:tc>
      </w:tr>
      <w:tr>
        <w:trPr>
          <w:trHeight w:hRule="exact" w:val="420"/>
        </w:trPr>
        <w:tc>
          <w:tcPr>
            <w:tcW w:type="dxa" w:w="5412"/>
            <w:tcBorders>
              <w:start w:sz="6.400000000000006" w:val="single" w:color="#D9ECF2"/>
              <w:end w:sz="5.599999999999909" w:val="single" w:color="#D9ECF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4" w:after="0"/>
              <w:ind w:left="8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niraparib</w:t>
            </w:r>
          </w:p>
        </w:tc>
        <w:tc>
          <w:tcPr>
            <w:tcW w:type="dxa" w:w="1020"/>
            <w:tcBorders>
              <w:start w:sz="5.599999999999909" w:val="single" w:color="#D9ECF2"/>
              <w:end w:sz="5.599999999999909" w:val="single" w:color="#D9ECF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64"/>
            <w:tcBorders>
              <w:start w:sz="5.599999999999909" w:val="single" w:color="#D9ECF2"/>
              <w:end w:sz="5.599999999999909" w:val="single" w:color="#D9ECF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20"/>
            <w:tcBorders>
              <w:start w:sz="5.599999999999909" w:val="single" w:color="#D9ECF2"/>
              <w:end w:sz="5.599999999999909" w:val="single" w:color="#D9ECF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90"/>
            <w:tcBorders>
              <w:start w:sz="5.599999999999909" w:val="single" w:color="#D9ECF2"/>
              <w:end w:sz="5.600000000000364" w:val="single" w:color="#D9ECF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76"/>
            <w:tcBorders>
              <w:start w:sz="5.600000000000364" w:val="single" w:color="#D9ECF2"/>
              <w:end w:sz="5.600000000000364" w:val="single" w:color="#D9ECF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4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II</w:t>
            </w:r>
          </w:p>
        </w:tc>
      </w:tr>
      <w:tr>
        <w:trPr>
          <w:trHeight w:hRule="exact" w:val="446"/>
        </w:trPr>
        <w:tc>
          <w:tcPr>
            <w:tcW w:type="dxa" w:w="54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0" w:after="0"/>
              <w:ind w:left="94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atezolizumab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II</w:t>
            </w:r>
          </w:p>
        </w:tc>
      </w:tr>
      <w:tr>
        <w:trPr>
          <w:trHeight w:hRule="exact" w:val="466"/>
        </w:trPr>
        <w:tc>
          <w:tcPr>
            <w:tcW w:type="dxa" w:w="54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4" w:after="0"/>
              <w:ind w:left="94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azenosertib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4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II</w:t>
            </w:r>
          </w:p>
        </w:tc>
      </w:tr>
      <w:tr>
        <w:trPr>
          <w:trHeight w:hRule="exact" w:val="450"/>
        </w:trPr>
        <w:tc>
          <w:tcPr>
            <w:tcW w:type="dxa" w:w="54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8" w:after="0"/>
              <w:ind w:left="94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ART-6043, olaparib, niraparib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4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4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4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4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8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I/II</w:t>
            </w:r>
          </w:p>
        </w:tc>
      </w:tr>
      <w:tr>
        <w:trPr>
          <w:trHeight w:hRule="exact" w:val="450"/>
        </w:trPr>
        <w:tc>
          <w:tcPr>
            <w:tcW w:type="dxa" w:w="54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8" w:after="0"/>
              <w:ind w:left="94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ATRN-119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4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4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4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4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8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I/II</w:t>
            </w:r>
          </w:p>
        </w:tc>
      </w:tr>
      <w:tr>
        <w:trPr>
          <w:trHeight w:hRule="exact" w:val="450"/>
        </w:trPr>
        <w:tc>
          <w:tcPr>
            <w:tcW w:type="dxa" w:w="54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8" w:after="0"/>
              <w:ind w:left="94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niraparib, GSK-101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4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4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4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4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8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I/II</w:t>
            </w:r>
          </w:p>
        </w:tc>
      </w:tr>
      <w:tr>
        <w:trPr>
          <w:trHeight w:hRule="exact" w:val="450"/>
        </w:trPr>
        <w:tc>
          <w:tcPr>
            <w:tcW w:type="dxa" w:w="54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8" w:after="0"/>
              <w:ind w:left="94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VB-15010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4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4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4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4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8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I/II</w:t>
            </w:r>
          </w:p>
        </w:tc>
      </w:tr>
      <w:tr>
        <w:trPr>
          <w:trHeight w:hRule="exact" w:val="456"/>
        </w:trPr>
        <w:tc>
          <w:tcPr>
            <w:tcW w:type="dxa" w:w="54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8" w:after="0"/>
              <w:ind w:left="94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GenSci-122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4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4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4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4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8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</w:t>
            </w:r>
          </w:p>
        </w:tc>
      </w:tr>
    </w:tbl>
    <w:p>
      <w:pPr>
        <w:autoSpaceDN w:val="0"/>
        <w:autoSpaceDE w:val="0"/>
        <w:widowControl/>
        <w:spacing w:line="240" w:lineRule="auto" w:before="576" w:after="0"/>
        <w:ind w:left="0" w:right="802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142999" cy="111505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142999" cy="11150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18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300" w:after="2736"/>
        <w:ind w:left="0" w:right="518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648460" cy="6477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48460" cy="6477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16.0" w:type="dxa"/>
      </w:tblPr>
      <w:tblGrid>
        <w:gridCol w:w="1506"/>
        <w:gridCol w:w="1506"/>
        <w:gridCol w:w="1506"/>
        <w:gridCol w:w="1506"/>
        <w:gridCol w:w="1506"/>
        <w:gridCol w:w="1506"/>
      </w:tblGrid>
      <w:tr>
        <w:trPr>
          <w:trHeight w:hRule="exact" w:val="466"/>
        </w:trPr>
        <w:tc>
          <w:tcPr>
            <w:tcW w:type="dxa" w:w="5418"/>
            <w:tcBorders>
              <w:start w:sz="12.0" w:val="single" w:color="#000000"/>
              <w:top w:sz="12.0" w:val="single" w:color="#000000"/>
              <w:end w:sz="12.0" w:val="single" w:color="#000000"/>
            </w:tcBorders>
            <w:shd w:fill="1f497d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294" w:val="left"/>
              </w:tabs>
              <w:autoSpaceDE w:val="0"/>
              <w:widowControl/>
              <w:spacing w:line="307" w:lineRule="auto" w:before="98" w:after="0"/>
              <w:ind w:left="84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GH-2616 </w:t>
            </w:r>
            <w:r>
              <w:tab/>
            </w:r>
            <w:r>
              <w:rPr>
                <w:rFonts w:ascii="Cambria" w:hAnsi="Cambria" w:eastAsia="Cambria"/>
                <w:b/>
                <w:i w:val="0"/>
                <w:color w:val="FFFFFF"/>
                <w:sz w:val="19"/>
              </w:rPr>
              <w:t>GH-2616</w:t>
            </w:r>
          </w:p>
        </w:tc>
        <w:tc>
          <w:tcPr>
            <w:tcW w:type="dxa" w:w="1016"/>
            <w:tcBorders>
              <w:start w:sz="12.0" w:val="single" w:color="#000000"/>
              <w:top w:sz="12.0" w:val="single" w:color="#000000"/>
              <w:end w:sz="12.0" w:val="single" w:color="#000000"/>
            </w:tcBorders>
            <w:shd w:fill="1f497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68"/>
            <w:tcBorders>
              <w:start w:sz="12.0" w:val="single" w:color="#000000"/>
              <w:top w:sz="12.0" w:val="single" w:color="#000000"/>
              <w:end w:sz="12.0" w:val="single" w:color="#000000"/>
            </w:tcBorders>
            <w:shd w:fill="1f497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20"/>
            <w:tcBorders>
              <w:start w:sz="12.0" w:val="single" w:color="#000000"/>
              <w:top w:sz="12.0" w:val="single" w:color="#000000"/>
              <w:end w:sz="12.0" w:val="single" w:color="#000000"/>
            </w:tcBorders>
            <w:shd w:fill="1f497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92"/>
            <w:tcBorders>
              <w:start w:sz="12.0" w:val="single" w:color="#000000"/>
              <w:top w:sz="12.0" w:val="single" w:color="#000000"/>
              <w:end w:sz="12.0" w:val="single" w:color="#000000"/>
            </w:tcBorders>
            <w:shd w:fill="1f497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80"/>
            <w:tcBorders>
              <w:start w:sz="12.0" w:val="single" w:color="#000000"/>
              <w:top w:sz="12.0" w:val="single" w:color="#000000"/>
              <w:end w:sz="12.0" w:val="single" w:color="#000000"/>
            </w:tcBorders>
            <w:shd w:fill="1f497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7" w:lineRule="auto" w:before="98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/>
                <w:i w:val="0"/>
                <w:color w:val="FFFFFF"/>
                <w:sz w:val="19"/>
              </w:rPr>
              <w:t xml:space="preserve">I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</w:t>
            </w:r>
          </w:p>
        </w:tc>
      </w:tr>
      <w:tr>
        <w:trPr>
          <w:trHeight w:hRule="exact" w:val="450"/>
        </w:trPr>
        <w:tc>
          <w:tcPr>
            <w:tcW w:type="dxa" w:w="5418"/>
            <w:tcBorders>
              <w:start w:sz="6.400000000000006" w:val="single" w:color="#D9ECF2"/>
              <w:end w:sz="5.599999999999909" w:val="single" w:color="#D9ECF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2" w:after="0"/>
              <w:ind w:left="92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HRS-1167</w:t>
            </w:r>
          </w:p>
        </w:tc>
        <w:tc>
          <w:tcPr>
            <w:tcW w:type="dxa" w:w="1016"/>
            <w:tcBorders>
              <w:start w:sz="5.599999999999909" w:val="single" w:color="#D9ECF2"/>
              <w:end w:sz="5.599999999999909" w:val="single" w:color="#D9ECF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8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68"/>
            <w:tcBorders>
              <w:start w:sz="5.599999999999909" w:val="single" w:color="#D9ECF2"/>
              <w:end w:sz="5.599999999999909" w:val="single" w:color="#D9ECF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8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20"/>
            <w:tcBorders>
              <w:start w:sz="5.599999999999909" w:val="single" w:color="#D9ECF2"/>
              <w:end w:sz="5.599999999999909" w:val="single" w:color="#D9ECF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8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92"/>
            <w:tcBorders>
              <w:start w:sz="5.599999999999909" w:val="single" w:color="#D9ECF2"/>
              <w:end w:sz="5.600000000000364" w:val="single" w:color="#D9ECF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8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80"/>
            <w:tcBorders>
              <w:start w:sz="5.600000000000364" w:val="single" w:color="#D9ECF2"/>
              <w:end w:sz="5.600000000000364" w:val="single" w:color="#D9ECF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2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</w:t>
            </w:r>
          </w:p>
        </w:tc>
      </w:tr>
      <w:tr>
        <w:trPr>
          <w:trHeight w:hRule="exact" w:val="450"/>
        </w:trPr>
        <w:tc>
          <w:tcPr>
            <w:tcW w:type="dxa" w:w="541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2" w:after="0"/>
              <w:ind w:left="100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HS-10502</w:t>
            </w:r>
          </w:p>
        </w:tc>
        <w:tc>
          <w:tcPr>
            <w:tcW w:type="dxa" w:w="101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8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6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8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8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8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2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</w:t>
            </w:r>
          </w:p>
        </w:tc>
      </w:tr>
      <w:tr>
        <w:trPr>
          <w:trHeight w:hRule="exact" w:val="450"/>
        </w:trPr>
        <w:tc>
          <w:tcPr>
            <w:tcW w:type="dxa" w:w="541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2" w:after="0"/>
              <w:ind w:left="100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SIM-0501</w:t>
            </w:r>
          </w:p>
        </w:tc>
        <w:tc>
          <w:tcPr>
            <w:tcW w:type="dxa" w:w="101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8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6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8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8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8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2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</w:t>
            </w:r>
          </w:p>
        </w:tc>
      </w:tr>
      <w:tr>
        <w:trPr>
          <w:trHeight w:hRule="exact" w:val="450"/>
        </w:trPr>
        <w:tc>
          <w:tcPr>
            <w:tcW w:type="dxa" w:w="541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2" w:after="0"/>
              <w:ind w:left="100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talazoparib, palbociclib, axitinib, crizotinib</w:t>
            </w:r>
          </w:p>
        </w:tc>
        <w:tc>
          <w:tcPr>
            <w:tcW w:type="dxa" w:w="101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8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6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8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8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8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2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</w:t>
            </w:r>
          </w:p>
        </w:tc>
      </w:tr>
      <w:tr>
        <w:trPr>
          <w:trHeight w:hRule="exact" w:val="464"/>
        </w:trPr>
        <w:tc>
          <w:tcPr>
            <w:tcW w:type="dxa" w:w="541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78" w:after="0"/>
              <w:ind w:left="100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XL-309, olaparib</w:t>
            </w:r>
          </w:p>
        </w:tc>
        <w:tc>
          <w:tcPr>
            <w:tcW w:type="dxa" w:w="101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8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6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8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8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8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78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</w:t>
            </w:r>
          </w:p>
        </w:tc>
      </w:tr>
      <w:tr>
        <w:trPr>
          <w:trHeight w:hRule="exact" w:val="450"/>
        </w:trPr>
        <w:tc>
          <w:tcPr>
            <w:tcW w:type="dxa" w:w="541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4" w:after="0"/>
              <w:ind w:left="100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pembrolizumab, chemotherapy</w:t>
            </w:r>
          </w:p>
        </w:tc>
        <w:tc>
          <w:tcPr>
            <w:tcW w:type="dxa" w:w="101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6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4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IV</w:t>
            </w:r>
          </w:p>
        </w:tc>
      </w:tr>
      <w:tr>
        <w:trPr>
          <w:trHeight w:hRule="exact" w:val="450"/>
        </w:trPr>
        <w:tc>
          <w:tcPr>
            <w:tcW w:type="dxa" w:w="541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4" w:after="0"/>
              <w:ind w:left="100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hormone therapy, chemotherapy</w:t>
            </w:r>
          </w:p>
        </w:tc>
        <w:tc>
          <w:tcPr>
            <w:tcW w:type="dxa" w:w="101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6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4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III</w:t>
            </w:r>
          </w:p>
        </w:tc>
      </w:tr>
      <w:tr>
        <w:trPr>
          <w:trHeight w:hRule="exact" w:val="450"/>
        </w:trPr>
        <w:tc>
          <w:tcPr>
            <w:tcW w:type="dxa" w:w="541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4" w:after="0"/>
              <w:ind w:left="100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olaparib, chemotherapy, radiation therapy</w:t>
            </w:r>
          </w:p>
        </w:tc>
        <w:tc>
          <w:tcPr>
            <w:tcW w:type="dxa" w:w="101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6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4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III</w:t>
            </w:r>
          </w:p>
        </w:tc>
      </w:tr>
      <w:tr>
        <w:trPr>
          <w:trHeight w:hRule="exact" w:val="450"/>
        </w:trPr>
        <w:tc>
          <w:tcPr>
            <w:tcW w:type="dxa" w:w="541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4" w:after="0"/>
              <w:ind w:left="100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saruparib, hormone therapy</w:t>
            </w:r>
          </w:p>
        </w:tc>
        <w:tc>
          <w:tcPr>
            <w:tcW w:type="dxa" w:w="101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6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4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III</w:t>
            </w:r>
          </w:p>
        </w:tc>
      </w:tr>
      <w:tr>
        <w:trPr>
          <w:trHeight w:hRule="exact" w:val="450"/>
        </w:trPr>
        <w:tc>
          <w:tcPr>
            <w:tcW w:type="dxa" w:w="541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4" w:after="0"/>
              <w:ind w:left="100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niraparib, radiation therapy</w:t>
            </w:r>
          </w:p>
        </w:tc>
        <w:tc>
          <w:tcPr>
            <w:tcW w:type="dxa" w:w="101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6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4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II/III</w:t>
            </w:r>
          </w:p>
        </w:tc>
      </w:tr>
      <w:tr>
        <w:trPr>
          <w:trHeight w:hRule="exact" w:val="450"/>
        </w:trPr>
        <w:tc>
          <w:tcPr>
            <w:tcW w:type="dxa" w:w="541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4" w:after="0"/>
              <w:ind w:left="100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olaparib + chemotherapy</w:t>
            </w:r>
          </w:p>
        </w:tc>
        <w:tc>
          <w:tcPr>
            <w:tcW w:type="dxa" w:w="101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6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4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II/III</w:t>
            </w:r>
          </w:p>
        </w:tc>
      </w:tr>
      <w:tr>
        <w:trPr>
          <w:trHeight w:hRule="exact" w:val="646"/>
        </w:trPr>
        <w:tc>
          <w:tcPr>
            <w:tcW w:type="dxa" w:w="5418"/>
            <w:tcBorders/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48" w:after="0"/>
              <w:ind w:left="100" w:right="288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abiraterone + niraparib, hormone therapy, radiation therapy,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steroid</w:t>
            </w:r>
          </w:p>
        </w:tc>
        <w:tc>
          <w:tcPr>
            <w:tcW w:type="dxa" w:w="1016"/>
            <w:tcBorders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.0" w:type="dxa"/>
            </w:tblPr>
            <w:tblGrid>
              <w:gridCol w:w="1016"/>
            </w:tblGrid>
            <w:tr>
              <w:trPr>
                <w:trHeight w:hRule="exact" w:val="608"/>
              </w:trPr>
              <w:tc>
                <w:tcPr>
                  <w:tcW w:type="dxa" w:w="992"/>
                  <w:tcBorders/>
                  <w:shd w:fill="f7f7f7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206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808080"/>
                      <w:sz w:val="24"/>
                    </w:rPr>
                    <w:t>X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068"/>
            <w:tcBorders/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20"/>
            <w:tcBorders/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92"/>
            <w:tcBorders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2.000000000000455" w:type="dxa"/>
            </w:tblPr>
            <w:tblGrid>
              <w:gridCol w:w="1092"/>
            </w:tblGrid>
            <w:tr>
              <w:trPr>
                <w:trHeight w:hRule="exact" w:val="608"/>
              </w:trPr>
              <w:tc>
                <w:tcPr>
                  <w:tcW w:type="dxa" w:w="1066"/>
                  <w:tcBorders/>
                  <w:shd w:fill="f7f7f7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206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808080"/>
                      <w:sz w:val="24"/>
                    </w:rPr>
                    <w:t>X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080"/>
            <w:tcBorders/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8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II</w:t>
            </w:r>
          </w:p>
        </w:tc>
      </w:tr>
      <w:tr>
        <w:trPr>
          <w:trHeight w:hRule="exact" w:val="450"/>
        </w:trPr>
        <w:tc>
          <w:tcPr>
            <w:tcW w:type="dxa" w:w="541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2" w:after="0"/>
              <w:ind w:left="100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camrelizumab, fluzoparib, chemotherapy</w:t>
            </w:r>
          </w:p>
        </w:tc>
        <w:tc>
          <w:tcPr>
            <w:tcW w:type="dxa" w:w="101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8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6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8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8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8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2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II</w:t>
            </w:r>
          </w:p>
        </w:tc>
      </w:tr>
      <w:tr>
        <w:trPr>
          <w:trHeight w:hRule="exact" w:val="450"/>
        </w:trPr>
        <w:tc>
          <w:tcPr>
            <w:tcW w:type="dxa" w:w="541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2" w:after="0"/>
              <w:ind w:left="100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eflornithine</w:t>
            </w:r>
          </w:p>
        </w:tc>
        <w:tc>
          <w:tcPr>
            <w:tcW w:type="dxa" w:w="101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8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6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8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8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8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2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II</w:t>
            </w:r>
          </w:p>
        </w:tc>
      </w:tr>
      <w:tr>
        <w:trPr>
          <w:trHeight w:hRule="exact" w:val="450"/>
        </w:trPr>
        <w:tc>
          <w:tcPr>
            <w:tcW w:type="dxa" w:w="541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2" w:after="0"/>
              <w:ind w:left="100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hormone therapy, hormone therapy + chemotherapy</w:t>
            </w:r>
          </w:p>
        </w:tc>
        <w:tc>
          <w:tcPr>
            <w:tcW w:type="dxa" w:w="101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8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6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8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8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8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2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II</w:t>
            </w:r>
          </w:p>
        </w:tc>
      </w:tr>
      <w:tr>
        <w:trPr>
          <w:trHeight w:hRule="exact" w:val="450"/>
        </w:trPr>
        <w:tc>
          <w:tcPr>
            <w:tcW w:type="dxa" w:w="541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2" w:after="0"/>
              <w:ind w:left="100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lunresertib, trastuzumab, chemotherapy, camonsertib</w:t>
            </w:r>
          </w:p>
        </w:tc>
        <w:tc>
          <w:tcPr>
            <w:tcW w:type="dxa" w:w="101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8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6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8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8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8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2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II</w:t>
            </w:r>
          </w:p>
        </w:tc>
      </w:tr>
      <w:tr>
        <w:trPr>
          <w:trHeight w:hRule="exact" w:val="450"/>
        </w:trPr>
        <w:tc>
          <w:tcPr>
            <w:tcW w:type="dxa" w:w="541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2" w:after="0"/>
              <w:ind w:left="100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niraparib, dostarlimab</w:t>
            </w:r>
          </w:p>
        </w:tc>
        <w:tc>
          <w:tcPr>
            <w:tcW w:type="dxa" w:w="101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8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6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8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8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8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2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II</w:t>
            </w:r>
          </w:p>
        </w:tc>
      </w:tr>
      <w:tr>
        <w:trPr>
          <w:trHeight w:hRule="exact" w:val="450"/>
        </w:trPr>
        <w:tc>
          <w:tcPr>
            <w:tcW w:type="dxa" w:w="541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2" w:after="0"/>
              <w:ind w:left="100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olaparib</w:t>
            </w:r>
          </w:p>
        </w:tc>
        <w:tc>
          <w:tcPr>
            <w:tcW w:type="dxa" w:w="101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8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6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8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8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8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2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II</w:t>
            </w:r>
          </w:p>
        </w:tc>
      </w:tr>
      <w:tr>
        <w:trPr>
          <w:trHeight w:hRule="exact" w:val="450"/>
        </w:trPr>
        <w:tc>
          <w:tcPr>
            <w:tcW w:type="dxa" w:w="541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2" w:after="0"/>
              <w:ind w:left="100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olaparib + hormone therapy</w:t>
            </w:r>
          </w:p>
        </w:tc>
        <w:tc>
          <w:tcPr>
            <w:tcW w:type="dxa" w:w="101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8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6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8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8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8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2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II</w:t>
            </w:r>
          </w:p>
        </w:tc>
      </w:tr>
      <w:tr>
        <w:trPr>
          <w:trHeight w:hRule="exact" w:val="450"/>
        </w:trPr>
        <w:tc>
          <w:tcPr>
            <w:tcW w:type="dxa" w:w="541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2" w:after="0"/>
              <w:ind w:left="100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olaparib, chemotherapy</w:t>
            </w:r>
          </w:p>
        </w:tc>
        <w:tc>
          <w:tcPr>
            <w:tcW w:type="dxa" w:w="101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8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6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8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8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8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2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II</w:t>
            </w:r>
          </w:p>
        </w:tc>
      </w:tr>
    </w:tbl>
    <w:p>
      <w:pPr>
        <w:autoSpaceDN w:val="0"/>
        <w:autoSpaceDE w:val="0"/>
        <w:widowControl/>
        <w:spacing w:line="240" w:lineRule="auto" w:before="742" w:after="0"/>
        <w:ind w:left="0" w:right="802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142999" cy="111505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142999" cy="11150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18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300" w:after="2736"/>
        <w:ind w:left="0" w:right="518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648460" cy="6477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48460" cy="6477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22.0" w:type="dxa"/>
      </w:tblPr>
      <w:tblGrid>
        <w:gridCol w:w="1506"/>
        <w:gridCol w:w="1506"/>
        <w:gridCol w:w="1506"/>
        <w:gridCol w:w="1506"/>
        <w:gridCol w:w="1506"/>
        <w:gridCol w:w="1506"/>
      </w:tblGrid>
      <w:tr>
        <w:trPr>
          <w:trHeight w:hRule="exact" w:val="466"/>
        </w:trPr>
        <w:tc>
          <w:tcPr>
            <w:tcW w:type="dxa" w:w="5412"/>
            <w:tcBorders>
              <w:start w:sz="12.0" w:val="single" w:color="#000000"/>
              <w:top w:sz="12.0" w:val="single" w:color="#000000"/>
              <w:end w:sz="12.0" w:val="single" w:color="#000000"/>
            </w:tcBorders>
            <w:shd w:fill="1f497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7" w:lineRule="auto" w:before="98" w:after="0"/>
              <w:ind w:left="78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olaparib, durvalumab </w:t>
            </w:r>
            <w:r>
              <w:rPr>
                <w:rFonts w:ascii="Cambria" w:hAnsi="Cambria" w:eastAsia="Cambria"/>
                <w:b/>
                <w:i w:val="0"/>
                <w:color w:val="FFFFFF"/>
                <w:sz w:val="19"/>
              </w:rPr>
              <w:t>olaparib, durvalumab</w:t>
            </w:r>
          </w:p>
        </w:tc>
        <w:tc>
          <w:tcPr>
            <w:tcW w:type="dxa" w:w="1020"/>
            <w:tcBorders>
              <w:start w:sz="12.0" w:val="single" w:color="#000000"/>
              <w:top w:sz="12.0" w:val="single" w:color="#000000"/>
              <w:end w:sz="12.0" w:val="single" w:color="#000000"/>
            </w:tcBorders>
            <w:shd w:fill="1f497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64"/>
            <w:tcBorders>
              <w:start w:sz="12.0" w:val="single" w:color="#000000"/>
              <w:top w:sz="12.0" w:val="single" w:color="#000000"/>
              <w:end w:sz="12.0" w:val="single" w:color="#000000"/>
            </w:tcBorders>
            <w:shd w:fill="1f497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20"/>
            <w:tcBorders>
              <w:start w:sz="12.0" w:val="single" w:color="#000000"/>
              <w:top w:sz="12.0" w:val="single" w:color="#000000"/>
              <w:end w:sz="12.0" w:val="single" w:color="#000000"/>
            </w:tcBorders>
            <w:shd w:fill="1f497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90"/>
            <w:tcBorders>
              <w:start w:sz="12.0" w:val="single" w:color="#000000"/>
              <w:top w:sz="12.0" w:val="single" w:color="#000000"/>
              <w:end w:sz="12.0" w:val="single" w:color="#000000"/>
            </w:tcBorders>
            <w:shd w:fill="1f497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76"/>
            <w:tcBorders>
              <w:start w:sz="12.0" w:val="single" w:color="#000000"/>
              <w:top w:sz="12.0" w:val="single" w:color="#000000"/>
              <w:end w:sz="12.0" w:val="single" w:color="#000000"/>
            </w:tcBorders>
            <w:shd w:fill="1f497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7" w:lineRule="auto" w:before="98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/>
                <w:i w:val="0"/>
                <w:color w:val="FFFFFF"/>
                <w:sz w:val="19"/>
              </w:rPr>
              <w:t xml:space="preserve">II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II</w:t>
            </w:r>
          </w:p>
        </w:tc>
      </w:tr>
      <w:tr>
        <w:trPr>
          <w:trHeight w:hRule="exact" w:val="450"/>
        </w:trPr>
        <w:tc>
          <w:tcPr>
            <w:tcW w:type="dxa" w:w="5412"/>
            <w:tcBorders>
              <w:start w:sz="6.400000000000006" w:val="single" w:color="#D9ECF2"/>
              <w:end w:sz="5.599999999999909" w:val="single" w:color="#D9ECF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2" w:after="0"/>
              <w:ind w:left="8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olaparib, pembrolizumab</w:t>
            </w:r>
          </w:p>
        </w:tc>
        <w:tc>
          <w:tcPr>
            <w:tcW w:type="dxa" w:w="1020"/>
            <w:tcBorders>
              <w:start w:sz="5.599999999999909" w:val="single" w:color="#D9ECF2"/>
              <w:end w:sz="5.599999999999909" w:val="single" w:color="#D9ECF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8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64"/>
            <w:tcBorders>
              <w:start w:sz="5.599999999999909" w:val="single" w:color="#D9ECF2"/>
              <w:end w:sz="5.599999999999909" w:val="single" w:color="#D9ECF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8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20"/>
            <w:tcBorders>
              <w:start w:sz="5.599999999999909" w:val="single" w:color="#D9ECF2"/>
              <w:end w:sz="5.599999999999909" w:val="single" w:color="#D9ECF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8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90"/>
            <w:tcBorders>
              <w:start w:sz="5.599999999999909" w:val="single" w:color="#D9ECF2"/>
              <w:end w:sz="5.600000000000364" w:val="single" w:color="#D9ECF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8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76"/>
            <w:tcBorders>
              <w:start w:sz="5.600000000000364" w:val="single" w:color="#D9ECF2"/>
              <w:end w:sz="5.600000000000364" w:val="single" w:color="#D9ECF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2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II</w:t>
            </w:r>
          </w:p>
        </w:tc>
      </w:tr>
      <w:tr>
        <w:trPr>
          <w:trHeight w:hRule="exact" w:val="445"/>
        </w:trPr>
        <w:tc>
          <w:tcPr>
            <w:tcW w:type="dxa" w:w="54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2" w:after="0"/>
              <w:ind w:left="94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sintilimab, chemotherapy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8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8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8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8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2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II</w:t>
            </w:r>
          </w:p>
        </w:tc>
      </w:tr>
      <w:tr>
        <w:trPr>
          <w:trHeight w:hRule="exact" w:val="450"/>
        </w:trPr>
        <w:tc>
          <w:tcPr>
            <w:tcW w:type="dxa" w:w="54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8" w:after="0"/>
              <w:ind w:left="94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fluzoparib, camrelizumab, chemotherapy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4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4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4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4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8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I/II</w:t>
            </w:r>
          </w:p>
        </w:tc>
      </w:tr>
      <w:tr>
        <w:trPr>
          <w:trHeight w:hRule="exact" w:val="450"/>
        </w:trPr>
        <w:tc>
          <w:tcPr>
            <w:tcW w:type="dxa" w:w="54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8" w:after="0"/>
              <w:ind w:left="94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IMP-1734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4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4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4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4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8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I/II</w:t>
            </w:r>
          </w:p>
        </w:tc>
      </w:tr>
      <w:tr>
        <w:trPr>
          <w:trHeight w:hRule="exact" w:val="465"/>
        </w:trPr>
        <w:tc>
          <w:tcPr>
            <w:tcW w:type="dxa" w:w="54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4" w:after="0"/>
              <w:ind w:left="94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tislelizumab, radiation therapy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4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4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4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4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4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I/II</w:t>
            </w:r>
          </w:p>
        </w:tc>
      </w:tr>
      <w:tr>
        <w:trPr>
          <w:trHeight w:hRule="exact" w:val="450"/>
        </w:trPr>
        <w:tc>
          <w:tcPr>
            <w:tcW w:type="dxa" w:w="54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8" w:after="0"/>
              <w:ind w:left="94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A2A-252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4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4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4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4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8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</w:t>
            </w:r>
          </w:p>
        </w:tc>
      </w:tr>
      <w:tr>
        <w:trPr>
          <w:trHeight w:hRule="exact" w:val="450"/>
        </w:trPr>
        <w:tc>
          <w:tcPr>
            <w:tcW w:type="dxa" w:w="54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8" w:after="0"/>
              <w:ind w:left="94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GB-3010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4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4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4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4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8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</w:t>
            </w:r>
          </w:p>
        </w:tc>
      </w:tr>
      <w:tr>
        <w:trPr>
          <w:trHeight w:hRule="exact" w:val="450"/>
        </w:trPr>
        <w:tc>
          <w:tcPr>
            <w:tcW w:type="dxa" w:w="54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8" w:after="0"/>
              <w:ind w:left="94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lunresertib, camonsertib, Debio-0123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4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4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4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4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8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</w:t>
            </w:r>
          </w:p>
        </w:tc>
      </w:tr>
      <w:tr>
        <w:trPr>
          <w:trHeight w:hRule="exact" w:val="441"/>
        </w:trPr>
        <w:tc>
          <w:tcPr>
            <w:tcW w:type="dxa" w:w="54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8" w:after="0"/>
              <w:ind w:left="94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SC0245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4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4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4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4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8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</w:t>
            </w:r>
          </w:p>
        </w:tc>
      </w:tr>
    </w:tbl>
    <w:p>
      <w:pPr>
        <w:autoSpaceDN w:val="0"/>
        <w:autoSpaceDE w:val="0"/>
        <w:widowControl/>
        <w:spacing w:line="266" w:lineRule="exact" w:before="62" w:after="0"/>
        <w:ind w:left="716" w:right="0" w:firstLine="0"/>
        <w:jc w:val="left"/>
      </w:pPr>
      <w:r>
        <w:rPr>
          <w:rFonts w:ascii="Type3 (22 0 R)" w:hAnsi="Type3 (22 0 R)" w:eastAsia="Type3 (22 0 R)"/>
          <w:b w:val="0"/>
          <w:i w:val="0"/>
          <w:color w:val="000000"/>
          <w:sz w:val="20"/>
        </w:rPr>
        <w:t>📝</w:t>
      </w:r>
      <w:r>
        <w:rPr>
          <w:rFonts w:ascii="Cambria" w:hAnsi="Cambria" w:eastAsia="Cambria"/>
          <w:b w:val="0"/>
          <w:i w:val="0"/>
          <w:color w:val="000000"/>
          <w:sz w:val="20"/>
        </w:rPr>
        <w:t>Note:</w:t>
      </w:r>
      <w:r>
        <w:rPr>
          <w:rFonts w:ascii="Segoe UI Symbol" w:hAnsi="Segoe UI Symbol" w:eastAsia="Segoe UI Symbol"/>
          <w:b w:val="0"/>
          <w:i w:val="0"/>
          <w:color w:val="00B050"/>
          <w:sz w:val="20"/>
        </w:rPr>
        <w:t>✓</w:t>
      </w:r>
      <w:r>
        <w:rPr>
          <w:rFonts w:ascii="Cambria" w:hAnsi="Cambria" w:eastAsia="Cambria"/>
          <w:b w:val="0"/>
          <w:i w:val="0"/>
          <w:color w:val="000000"/>
          <w:sz w:val="20"/>
        </w:rPr>
        <w:t>: In this Cancer Type,</w:t>
      </w:r>
      <w:r>
        <w:rPr>
          <w:rFonts w:ascii="Segoe UI Symbol" w:hAnsi="Segoe UI Symbol" w:eastAsia="Segoe UI Symbol"/>
          <w:b w:val="0"/>
          <w:i w:val="0"/>
          <w:color w:val="FFC000"/>
          <w:sz w:val="20"/>
        </w:rPr>
        <w:t>✓</w:t>
      </w:r>
      <w:r>
        <w:rPr>
          <w:rFonts w:ascii="Cambria" w:hAnsi="Cambria" w:eastAsia="Cambria"/>
          <w:b w:val="0"/>
          <w:i w:val="0"/>
          <w:color w:val="000000"/>
          <w:sz w:val="20"/>
        </w:rPr>
        <w:t>: In Other Cancer Type,</w:t>
      </w:r>
      <w:r>
        <w:rPr>
          <w:rFonts w:ascii="Segoe UI Symbol" w:hAnsi="Segoe UI Symbol" w:eastAsia="Segoe UI Symbol"/>
          <w:b w:val="0"/>
          <w:i w:val="0"/>
          <w:color w:val="00B050"/>
          <w:sz w:val="20"/>
        </w:rPr>
        <w:t>✓</w:t>
      </w:r>
      <w:r>
        <w:rPr>
          <w:rFonts w:ascii="Segoe UI Symbol" w:hAnsi="Segoe UI Symbol" w:eastAsia="Segoe UI Symbol"/>
          <w:b w:val="0"/>
          <w:i w:val="0"/>
          <w:color w:val="FFC000"/>
          <w:sz w:val="20"/>
        </w:rPr>
        <w:t>✓</w:t>
      </w:r>
      <w:r>
        <w:rPr>
          <w:rFonts w:ascii="Cambria" w:hAnsi="Cambria" w:eastAsia="Cambria"/>
          <w:b w:val="0"/>
          <w:i w:val="0"/>
          <w:color w:val="000000"/>
          <w:sz w:val="20"/>
        </w:rPr>
        <w:t>: both In this and Other Cancer Type,</w:t>
      </w:r>
      <w:r>
        <w:rPr>
          <w:rFonts w:ascii="Cambria" w:hAnsi="Cambria" w:eastAsia="Cambria"/>
          <w:b w:val="0"/>
          <w:i w:val="0"/>
          <w:color w:val="808080"/>
          <w:sz w:val="20"/>
        </w:rPr>
        <w:t xml:space="preserve"> X</w:t>
      </w: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 : No Evidence.</w:t>
      </w:r>
      <w:r>
        <w:rPr>
          <w:rFonts w:ascii="Type3 (24 0 R)" w:hAnsi="Type3 (24 0 R)" w:eastAsia="Type3 (24 0 R)"/>
          <w:b w:val="0"/>
          <w:i w:val="0"/>
          <w:color w:val="EE0000"/>
          <w:sz w:val="20"/>
        </w:rPr>
        <w:t>⚠️</w:t>
      </w:r>
      <w:r>
        <w:rPr>
          <w:rFonts w:ascii="Cambria" w:hAnsi="Cambria" w:eastAsia="Cambria"/>
          <w:b w:val="0"/>
          <w:i w:val="0"/>
          <w:color w:val="000000"/>
          <w:sz w:val="20"/>
        </w:rPr>
        <w:t>:</w:t>
      </w:r>
    </w:p>
    <w:p>
      <w:pPr>
        <w:autoSpaceDN w:val="0"/>
        <w:autoSpaceDE w:val="0"/>
        <w:widowControl/>
        <w:spacing w:line="240" w:lineRule="auto" w:before="0" w:after="0"/>
        <w:ind w:left="716" w:right="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0"/>
        </w:rPr>
        <w:t>Caution for Use</w:t>
      </w:r>
    </w:p>
    <w:p>
      <w:pPr>
        <w:autoSpaceDN w:val="0"/>
        <w:autoSpaceDE w:val="0"/>
        <w:widowControl/>
        <w:spacing w:line="240" w:lineRule="auto" w:before="262" w:after="0"/>
        <w:ind w:left="716" w:right="0" w:firstLine="0"/>
        <w:jc w:val="left"/>
      </w:pPr>
      <w:r>
        <w:rPr>
          <w:rFonts w:ascii="Cambria" w:hAnsi="Cambria" w:eastAsia="Cambria"/>
          <w:b/>
          <w:i w:val="0"/>
          <w:color w:val="1F497D"/>
          <w:sz w:val="20"/>
        </w:rPr>
        <w:t>Test Description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16.0" w:type="dxa"/>
      </w:tblPr>
      <w:tblGrid>
        <w:gridCol w:w="9038"/>
      </w:tblGrid>
      <w:tr>
        <w:trPr>
          <w:trHeight w:hRule="exact" w:val="2820"/>
        </w:trPr>
        <w:tc>
          <w:tcPr>
            <w:tcW w:type="dxa" w:w="106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32" w:after="0"/>
              <w:ind w:left="100" w:right="4032" w:firstLine="0"/>
              <w:jc w:val="left"/>
            </w:pPr>
            <w:r>
              <w:rPr>
                <w:rFonts w:ascii="Cambria" w:hAnsi="Cambria" w:eastAsia="Cambria"/>
                <w:b/>
                <w:i w:val="0"/>
                <w:color w:val="000000"/>
                <w:sz w:val="20"/>
              </w:rPr>
              <w:t>TEST NAME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 is advancing precision oncology research through the analysis of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multiple relevant biomarkers in a single next-generation sequencing (NGS) test.</w:t>
            </w:r>
          </w:p>
          <w:p>
            <w:pPr>
              <w:autoSpaceDN w:val="0"/>
              <w:autoSpaceDE w:val="0"/>
              <w:widowControl/>
              <w:spacing w:line="245" w:lineRule="auto" w:before="396" w:after="0"/>
              <w:ind w:left="100" w:right="432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The Liquidseq Actionable Genomic Profiling assay analyses</w:t>
            </w:r>
            <w:r>
              <w:rPr>
                <w:rFonts w:ascii="Cambria" w:hAnsi="Cambria" w:eastAsia="Cambria"/>
                <w:b/>
                <w:i w:val="0"/>
                <w:color w:val="000000"/>
                <w:sz w:val="20"/>
              </w:rPr>
              <w:t xml:space="preserve"> 34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 unique genes (</w:t>
            </w:r>
            <w:r>
              <w:rPr>
                <w:rFonts w:ascii="Cambria" w:hAnsi="Cambria" w:eastAsia="Cambria"/>
                <w:b/>
                <w:i w:val="0"/>
                <w:color w:val="000000"/>
                <w:sz w:val="20"/>
              </w:rPr>
              <w:t>28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 DNA +</w:t>
            </w:r>
            <w:r>
              <w:rPr>
                <w:rFonts w:ascii="Cambria" w:hAnsi="Cambria" w:eastAsia="Cambria"/>
                <w:b/>
                <w:i w:val="0"/>
                <w:color w:val="000000"/>
                <w:sz w:val="20"/>
              </w:rPr>
              <w:t xml:space="preserve"> 6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 Fusions driver genes) for single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gene and multiple gene biomarker insights, detects single gene biomarkers from all variant types including</w:t>
            </w:r>
            <w:r>
              <w:rPr>
                <w:rFonts w:ascii="Cambria" w:hAnsi="Cambria" w:eastAsia="Cambria"/>
                <w:b/>
                <w:i w:val="0"/>
                <w:color w:val="000000"/>
                <w:sz w:val="20"/>
              </w:rPr>
              <w:t xml:space="preserve"> SNVs, indels, </w:t>
            </w:r>
            <w:r>
              <w:rPr>
                <w:rFonts w:ascii="Cambria" w:hAnsi="Cambria" w:eastAsia="Cambria"/>
                <w:b/>
                <w:i w:val="0"/>
                <w:color w:val="000000"/>
                <w:sz w:val="20"/>
              </w:rPr>
              <w:t>CNVs, known and novel fusions, and splice variants.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 Analyze complex multi-gene biomarkers for mutational signatures,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including microsatellite instability (</w:t>
            </w:r>
            <w:r>
              <w:rPr>
                <w:rFonts w:ascii="Cambria" w:hAnsi="Cambria" w:eastAsia="Cambria"/>
                <w:b/>
                <w:i w:val="0"/>
                <w:color w:val="000000"/>
                <w:sz w:val="20"/>
              </w:rPr>
              <w:t>MSI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) for immunotherapy research.</w:t>
            </w:r>
          </w:p>
          <w:p>
            <w:pPr>
              <w:autoSpaceDN w:val="0"/>
              <w:autoSpaceDE w:val="0"/>
              <w:widowControl/>
              <w:spacing w:line="245" w:lineRule="auto" w:before="396" w:after="0"/>
              <w:ind w:left="100" w:right="1152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The performance of the panel was verified using both commercially sourced reference controls and cell-free DNA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(cfTNA)samples.</w:t>
            </w:r>
          </w:p>
        </w:tc>
      </w:tr>
    </w:tbl>
    <w:p>
      <w:pPr>
        <w:autoSpaceDN w:val="0"/>
        <w:autoSpaceDE w:val="0"/>
        <w:widowControl/>
        <w:spacing w:line="240" w:lineRule="auto" w:before="342" w:after="0"/>
        <w:ind w:left="716" w:right="0" w:firstLine="0"/>
        <w:jc w:val="left"/>
      </w:pPr>
      <w:r>
        <w:rPr>
          <w:rFonts w:ascii="Cambria" w:hAnsi="Cambria" w:eastAsia="Cambria"/>
          <w:b/>
          <w:i w:val="0"/>
          <w:color w:val="1F497D"/>
          <w:sz w:val="20"/>
        </w:rPr>
        <w:t>Test Methodology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16.0" w:type="dxa"/>
      </w:tblPr>
      <w:tblGrid>
        <w:gridCol w:w="9038"/>
      </w:tblGrid>
      <w:tr>
        <w:trPr>
          <w:trHeight w:hRule="exact" w:val="990"/>
        </w:trPr>
        <w:tc>
          <w:tcPr>
            <w:tcW w:type="dxa" w:w="106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6" w:after="0"/>
              <w:ind w:left="98" w:right="576" w:firstLine="0"/>
              <w:jc w:val="left"/>
            </w:pPr>
            <w:r>
              <w:rPr>
                <w:rFonts w:ascii="Cambria" w:hAnsi="Cambria" w:eastAsia="Cambria"/>
                <w:b/>
                <w:i w:val="0"/>
                <w:color w:val="000000"/>
                <w:sz w:val="20"/>
              </w:rPr>
              <w:t>Extraction &amp; Library Preparation: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 Cell free Total Nucleic acid (cfTNA) extracted from the liquid biopsy sample is used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for targeted gene capture using a custom designed hybrid capture panel. In process quality controls were determined for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prepared library.</w:t>
            </w:r>
          </w:p>
        </w:tc>
      </w:tr>
    </w:tbl>
    <w:p>
      <w:pPr>
        <w:autoSpaceDN w:val="0"/>
        <w:autoSpaceDE w:val="0"/>
        <w:widowControl/>
        <w:spacing w:line="240" w:lineRule="auto" w:before="554" w:after="0"/>
        <w:ind w:left="0" w:right="802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142999" cy="1115059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142999" cy="11150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18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300" w:after="2752"/>
        <w:ind w:left="0" w:right="518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648460" cy="6477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48460" cy="6477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16.0" w:type="dxa"/>
      </w:tblPr>
      <w:tblGrid>
        <w:gridCol w:w="9038"/>
      </w:tblGrid>
      <w:tr>
        <w:trPr>
          <w:trHeight w:hRule="exact" w:val="2558"/>
        </w:trPr>
        <w:tc>
          <w:tcPr>
            <w:tcW w:type="dxa" w:w="106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74" w:after="0"/>
              <w:ind w:left="100" w:right="576" w:firstLine="0"/>
              <w:jc w:val="left"/>
            </w:pPr>
            <w:r>
              <w:rPr>
                <w:rFonts w:ascii="Cambria" w:hAnsi="Cambria" w:eastAsia="Cambria"/>
                <w:b/>
                <w:i w:val="0"/>
                <w:color w:val="000000"/>
                <w:sz w:val="20"/>
              </w:rPr>
              <w:t>Sequencing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: The libraries were sequenced at mean depth:</w:t>
            </w:r>
            <w:r>
              <w:rPr>
                <w:rFonts w:ascii="Cambria" w:hAnsi="Cambria" w:eastAsia="Cambria"/>
                <w:b/>
                <w:i w:val="0"/>
                <w:color w:val="000000"/>
                <w:sz w:val="20"/>
              </w:rPr>
              <w:t xml:space="preserve"> &gt;25,000x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 on</w:t>
            </w:r>
            <w:r>
              <w:rPr>
                <w:rFonts w:ascii="Cambria" w:hAnsi="Cambria" w:eastAsia="Cambria"/>
                <w:b/>
                <w:i w:val="0"/>
                <w:color w:val="000000"/>
                <w:sz w:val="20"/>
              </w:rPr>
              <w:t xml:space="preserve"> Illumina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 Novaseq- next generation sequencing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platform.</w:t>
            </w:r>
          </w:p>
          <w:p>
            <w:pPr>
              <w:autoSpaceDN w:val="0"/>
              <w:autoSpaceDE w:val="0"/>
              <w:widowControl/>
              <w:spacing w:line="245" w:lineRule="auto" w:before="260" w:after="0"/>
              <w:ind w:left="98" w:right="288" w:firstLine="0"/>
              <w:jc w:val="left"/>
            </w:pPr>
            <w:r>
              <w:rPr>
                <w:rFonts w:ascii="Cambria" w:hAnsi="Cambria" w:eastAsia="Cambria"/>
                <w:b/>
                <w:i w:val="0"/>
                <w:color w:val="000000"/>
                <w:sz w:val="20"/>
              </w:rPr>
              <w:t>Data Analysis: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 Sequencing data analyzed using a customized and validated bioinformatics pipeline capable of detecting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various classes of genomic alterations, including single nucleotide variants (</w:t>
            </w:r>
            <w:r>
              <w:rPr>
                <w:rFonts w:ascii="Cambria" w:hAnsi="Cambria" w:eastAsia="Cambria"/>
                <w:b/>
                <w:i w:val="0"/>
                <w:color w:val="000000"/>
                <w:sz w:val="20"/>
              </w:rPr>
              <w:t>SNVs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),</w:t>
            </w:r>
            <w:r>
              <w:rPr>
                <w:rFonts w:ascii="Cambria" w:hAnsi="Cambria" w:eastAsia="Cambria"/>
                <w:b/>
                <w:i w:val="0"/>
                <w:color w:val="000000"/>
                <w:sz w:val="20"/>
              </w:rPr>
              <w:t xml:space="preserve"> Indels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, copy number variations (</w:t>
            </w:r>
            <w:r>
              <w:rPr>
                <w:rFonts w:ascii="Cambria" w:hAnsi="Cambria" w:eastAsia="Cambria"/>
                <w:b/>
                <w:i w:val="0"/>
                <w:color w:val="000000"/>
                <w:sz w:val="20"/>
              </w:rPr>
              <w:t>CNVs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)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and</w:t>
            </w:r>
            <w:r>
              <w:rPr>
                <w:rFonts w:ascii="Cambria" w:hAnsi="Cambria" w:eastAsia="Cambria"/>
                <w:b/>
                <w:i w:val="0"/>
                <w:color w:val="000000"/>
                <w:sz w:val="20"/>
              </w:rPr>
              <w:t xml:space="preserve"> fusions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. As part of the streamlined bioinformatics workflow, Multi-gene Biomarkers such as Microsatellite Instability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ambria" w:hAnsi="Cambria" w:eastAsia="Cambria"/>
                <w:b/>
                <w:i w:val="0"/>
                <w:color w:val="000000"/>
                <w:sz w:val="20"/>
              </w:rPr>
              <w:t>MSI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) Score is calculated. Reportable genomic alterations and fusions are prioritized, classified, and reported based on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AMP-ASCO-CAP guidelines and NCCN guidelines.</w:t>
            </w:r>
          </w:p>
          <w:p>
            <w:pPr>
              <w:autoSpaceDN w:val="0"/>
              <w:autoSpaceDE w:val="0"/>
              <w:widowControl/>
              <w:spacing w:line="245" w:lineRule="auto" w:before="80" w:after="0"/>
              <w:ind w:left="100" w:right="432" w:hanging="2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Limit of Detection (LOD): The LOD for SNVs and Short InDels is 0.1% Variant allele Frequency (VAF) and for Fusions is 05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supporting reads.</w:t>
            </w:r>
          </w:p>
        </w:tc>
      </w:tr>
    </w:tbl>
    <w:p>
      <w:pPr>
        <w:autoSpaceDN w:val="0"/>
        <w:autoSpaceDE w:val="0"/>
        <w:widowControl/>
        <w:spacing w:line="240" w:lineRule="auto" w:before="350" w:after="0"/>
        <w:ind w:left="714" w:right="0" w:firstLine="0"/>
        <w:jc w:val="left"/>
      </w:pPr>
      <w:r>
        <w:rPr>
          <w:rFonts w:ascii="Cambria" w:hAnsi="Cambria" w:eastAsia="Cambria"/>
          <w:b/>
          <w:i w:val="0"/>
          <w:color w:val="1F497D"/>
          <w:sz w:val="20"/>
        </w:rPr>
        <w:t>Notes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16.0" w:type="dxa"/>
      </w:tblPr>
      <w:tblGrid>
        <w:gridCol w:w="9038"/>
      </w:tblGrid>
      <w:tr>
        <w:trPr>
          <w:trHeight w:hRule="exact" w:val="6660"/>
        </w:trPr>
        <w:tc>
          <w:tcPr>
            <w:tcW w:type="dxa" w:w="106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34" w:after="0"/>
              <w:ind w:left="98" w:right="72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Treatment decisions should not be based solely on the results of this test. Findings must be interpreted in the context of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the patient’s complete clinical profile—including pathological, radiological, and family history—to guide diagnosis,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prognosis, and therapeutic decisions.</w:t>
            </w:r>
          </w:p>
          <w:p>
            <w:pPr>
              <w:autoSpaceDN w:val="0"/>
              <w:autoSpaceDE w:val="0"/>
              <w:widowControl/>
              <w:spacing w:line="245" w:lineRule="auto" w:before="396" w:after="0"/>
              <w:ind w:left="98" w:right="576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Therapy-related information in this report is derived from multiple sources including FDA-approved drug data, NCCN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guidelines, peer-reviewed literature, standard clinical databases, and biomarker evidence strength. However, therapy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options listed may not be suitable or beneficial for all patients. This report aims to provide a summary of potentially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effective treatments, therapies that may pose increased risks, and those that may have limited benefit, based on genomic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alterations identified. Prognostic and diagnostic biomarkers relevant to the disease context may also be reported.</w:t>
            </w:r>
          </w:p>
          <w:p>
            <w:pPr>
              <w:autoSpaceDN w:val="0"/>
              <w:autoSpaceDE w:val="0"/>
              <w:widowControl/>
              <w:spacing w:line="245" w:lineRule="auto" w:before="396" w:after="0"/>
              <w:ind w:left="98" w:right="1296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Laboratory does not guarantee completeness, accuracy, or eligibility for trial enrollment. Physicians must verify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eligibility criteria for specific trials independently.</w:t>
            </w:r>
          </w:p>
          <w:p>
            <w:pPr>
              <w:autoSpaceDN w:val="0"/>
              <w:autoSpaceDE w:val="0"/>
              <w:widowControl/>
              <w:spacing w:line="245" w:lineRule="auto" w:before="396" w:after="0"/>
              <w:ind w:left="98" w:right="432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Identification of a genomic alteration does not guarantee therapeutic efficacy or predict ineffectiveness. Final decisions on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treatment should rest with the treating physician. The absence of reported therapeutic options does not imply </w:t>
            </w:r>
            <w:r>
              <w:br/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ineffectiveness or lack of safety of any medication selected independently.</w:t>
            </w:r>
          </w:p>
          <w:p>
            <w:pPr>
              <w:autoSpaceDN w:val="0"/>
              <w:autoSpaceDE w:val="0"/>
              <w:widowControl/>
              <w:spacing w:line="245" w:lineRule="auto" w:before="396" w:after="0"/>
              <w:ind w:left="98" w:right="864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All variant classifications and related clinical information are based on the latest evidence from peer-reviewed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publications, public clinical databases, and medical guidelines (e.g., NCCN, ASCO, AMP) available at the time of report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generation. However, literature is continuously evolving, and classification may change with emerging evidence.</w:t>
            </w:r>
          </w:p>
          <w:p>
            <w:pPr>
              <w:autoSpaceDN w:val="0"/>
              <w:autoSpaceDE w:val="0"/>
              <w:widowControl/>
              <w:spacing w:line="245" w:lineRule="auto" w:before="396" w:after="0"/>
              <w:ind w:left="98" w:right="576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The assay is designed and validated for somatic variant detection, it does not differentiate between somatic and germline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variants. If indicated, germline testing and genetic counselling are recommended.</w:t>
            </w:r>
          </w:p>
        </w:tc>
      </w:tr>
    </w:tbl>
    <w:p>
      <w:pPr>
        <w:autoSpaceDN w:val="0"/>
        <w:autoSpaceDE w:val="0"/>
        <w:widowControl/>
        <w:spacing w:line="240" w:lineRule="auto" w:before="682" w:after="0"/>
        <w:ind w:left="0" w:right="802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142999" cy="1115059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142999" cy="11150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18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300" w:after="2738"/>
        <w:ind w:left="0" w:right="518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648460" cy="6477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48460" cy="6477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16.0" w:type="dxa"/>
      </w:tblPr>
      <w:tblGrid>
        <w:gridCol w:w="9038"/>
      </w:tblGrid>
      <w:tr>
        <w:trPr>
          <w:trHeight w:hRule="exact" w:val="3563"/>
        </w:trPr>
        <w:tc>
          <w:tcPr>
            <w:tcW w:type="dxa" w:w="106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78" w:after="0"/>
              <w:ind w:left="98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Poor-quality cfDNA/ Previous or Ongoing therapy may fail QC thresholds at various stages such as cfDNA extraction,</w:t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98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library preparation, or bioinformatics, and may result in assay failure or compromised results, such as low gene coverage</w:t>
            </w:r>
          </w:p>
          <w:p>
            <w:pPr>
              <w:autoSpaceDN w:val="0"/>
              <w:autoSpaceDE w:val="0"/>
              <w:widowControl/>
              <w:spacing w:line="240" w:lineRule="auto" w:before="6" w:after="0"/>
              <w:ind w:left="98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or shallow variant depth.</w:t>
            </w:r>
          </w:p>
          <w:p>
            <w:pPr>
              <w:autoSpaceDN w:val="0"/>
              <w:autoSpaceDE w:val="0"/>
              <w:widowControl/>
              <w:spacing w:line="240" w:lineRule="auto" w:before="396" w:after="0"/>
              <w:ind w:left="98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Variants with lower allele frequencies may be reported if they are of strong or potential clinical relevance, or if previously</w:t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98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detected in the same patient. False positives or negatives below assay sensitivity cannot be ruled out.</w:t>
            </w:r>
          </w:p>
          <w:p>
            <w:pPr>
              <w:autoSpaceDN w:val="0"/>
              <w:autoSpaceDE w:val="0"/>
              <w:widowControl/>
              <w:spacing w:line="240" w:lineRule="auto" w:before="396" w:after="0"/>
              <w:ind w:left="98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CNVs/gene amplifications reported, Confirmation using orthogonal methods such as DDPCR is recommended when</w:t>
            </w:r>
          </w:p>
          <w:p>
            <w:pPr>
              <w:autoSpaceDN w:val="0"/>
              <w:autoSpaceDE w:val="0"/>
              <w:widowControl/>
              <w:spacing w:line="240" w:lineRule="auto" w:before="6" w:after="0"/>
              <w:ind w:left="98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clinically indicated.</w:t>
            </w:r>
          </w:p>
          <w:p>
            <w:pPr>
              <w:autoSpaceDN w:val="0"/>
              <w:autoSpaceDE w:val="0"/>
              <w:widowControl/>
              <w:spacing w:line="240" w:lineRule="auto" w:before="396" w:after="0"/>
              <w:ind w:left="98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Variants in non-coding regions or deep intronic sequences are not assessed in this assay.</w:t>
            </w:r>
          </w:p>
          <w:p>
            <w:pPr>
              <w:autoSpaceDN w:val="0"/>
              <w:autoSpaceDE w:val="0"/>
              <w:widowControl/>
              <w:spacing w:line="240" w:lineRule="auto" w:before="80" w:after="0"/>
              <w:ind w:left="98" w:right="0" w:firstLine="0"/>
              <w:jc w:val="left"/>
            </w:pPr>
            <w:r>
              <w:rPr>
                <w:rFonts w:ascii="Cambria" w:hAnsi="Cambria" w:eastAsia="Cambria"/>
                <w:b w:val="0"/>
                <w:i/>
                <w:color w:val="000000"/>
                <w:sz w:val="20"/>
              </w:rPr>
              <w:t>This assay is under the scope of NABL as Liquidseq Actionable Panel.</w:t>
            </w:r>
          </w:p>
        </w:tc>
      </w:tr>
    </w:tbl>
    <w:p>
      <w:pPr>
        <w:autoSpaceDN w:val="0"/>
        <w:autoSpaceDE w:val="0"/>
        <w:widowControl/>
        <w:spacing w:line="23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00.0" w:type="dxa"/>
      </w:tblPr>
      <w:tblGrid>
        <w:gridCol w:w="9038"/>
      </w:tblGrid>
      <w:tr>
        <w:trPr>
          <w:trHeight w:hRule="exact" w:val="6106"/>
        </w:trPr>
        <w:tc>
          <w:tcPr>
            <w:tcW w:type="dxa" w:w="11024"/>
            <w:tcBorders>
              <w:bottom w:sz="5.600000000000364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22.0" w:type="dxa"/>
            </w:tblPr>
            <w:tblGrid>
              <w:gridCol w:w="2205"/>
              <w:gridCol w:w="2205"/>
              <w:gridCol w:w="2205"/>
              <w:gridCol w:w="2205"/>
              <w:gridCol w:w="2205"/>
            </w:tblGrid>
            <w:tr>
              <w:trPr>
                <w:trHeight w:hRule="exact" w:val="240"/>
              </w:trPr>
              <w:tc>
                <w:tcPr>
                  <w:tcW w:type="dxa" w:w="10682"/>
                  <w:gridSpan w:val="5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6" w:after="0"/>
                    <w:ind w:left="94" w:right="0" w:firstLine="0"/>
                    <w:jc w:val="left"/>
                  </w:pPr>
                  <w:r>
                    <w:rPr>
                      <w:rFonts w:ascii="Cambria" w:hAnsi="Cambria" w:eastAsia="Cambria"/>
                      <w:b/>
                      <w:i w:val="0"/>
                      <w:color w:val="1F497D"/>
                      <w:sz w:val="20"/>
                    </w:rPr>
                    <w:t>DNA Gene List</w:t>
                  </w:r>
                </w:p>
              </w:tc>
            </w:tr>
            <w:tr>
              <w:trPr>
                <w:trHeight w:hRule="exact" w:val="236"/>
              </w:trPr>
              <w:tc>
                <w:tcPr>
                  <w:tcW w:type="dxa" w:w="213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2" w:after="0"/>
                    <w:ind w:left="9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AKT1</w:t>
                  </w:r>
                </w:p>
              </w:tc>
              <w:tc>
                <w:tcPr>
                  <w:tcW w:type="dxa" w:w="2146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2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ALK</w:t>
                  </w:r>
                </w:p>
              </w:tc>
              <w:tc>
                <w:tcPr>
                  <w:tcW w:type="dxa" w:w="2144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2" w:after="0"/>
                    <w:ind w:left="100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APC</w:t>
                  </w:r>
                </w:p>
              </w:tc>
              <w:tc>
                <w:tcPr>
                  <w:tcW w:type="dxa" w:w="2146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2" w:after="0"/>
                    <w:ind w:left="96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ATM</w:t>
                  </w:r>
                </w:p>
              </w:tc>
              <w:tc>
                <w:tcPr>
                  <w:tcW w:type="dxa" w:w="2116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2" w:after="0"/>
                    <w:ind w:left="9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BRAF</w:t>
                  </w:r>
                </w:p>
              </w:tc>
            </w:tr>
            <w:tr>
              <w:trPr>
                <w:trHeight w:hRule="exact" w:val="255"/>
              </w:trPr>
              <w:tc>
                <w:tcPr>
                  <w:tcW w:type="dxa" w:w="213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20" w:after="0"/>
                    <w:ind w:left="9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BRCA1</w:t>
                  </w:r>
                </w:p>
              </w:tc>
              <w:tc>
                <w:tcPr>
                  <w:tcW w:type="dxa" w:w="2146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2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BRCA2</w:t>
                  </w:r>
                </w:p>
              </w:tc>
              <w:tc>
                <w:tcPr>
                  <w:tcW w:type="dxa" w:w="2144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20" w:after="0"/>
                    <w:ind w:left="100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CTNNB1</w:t>
                  </w:r>
                </w:p>
              </w:tc>
              <w:tc>
                <w:tcPr>
                  <w:tcW w:type="dxa" w:w="2146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20" w:after="0"/>
                    <w:ind w:left="96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EGFR</w:t>
                  </w:r>
                </w:p>
              </w:tc>
              <w:tc>
                <w:tcPr>
                  <w:tcW w:type="dxa" w:w="2116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20" w:after="0"/>
                    <w:ind w:left="9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ERBB2</w:t>
                  </w:r>
                </w:p>
              </w:tc>
            </w:tr>
            <w:tr>
              <w:trPr>
                <w:trHeight w:hRule="exact" w:val="240"/>
              </w:trPr>
              <w:tc>
                <w:tcPr>
                  <w:tcW w:type="dxa" w:w="213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6" w:after="0"/>
                    <w:ind w:left="9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ERBB3</w:t>
                  </w:r>
                </w:p>
              </w:tc>
              <w:tc>
                <w:tcPr>
                  <w:tcW w:type="dxa" w:w="2146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6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ESR1</w:t>
                  </w:r>
                </w:p>
              </w:tc>
              <w:tc>
                <w:tcPr>
                  <w:tcW w:type="dxa" w:w="2144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6" w:after="0"/>
                    <w:ind w:left="100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FOXL2</w:t>
                  </w:r>
                </w:p>
              </w:tc>
              <w:tc>
                <w:tcPr>
                  <w:tcW w:type="dxa" w:w="2146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6" w:after="0"/>
                    <w:ind w:left="96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GNA11</w:t>
                  </w:r>
                </w:p>
              </w:tc>
              <w:tc>
                <w:tcPr>
                  <w:tcW w:type="dxa" w:w="2116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6" w:after="0"/>
                    <w:ind w:left="9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GNAQ</w:t>
                  </w:r>
                </w:p>
              </w:tc>
            </w:tr>
            <w:tr>
              <w:trPr>
                <w:trHeight w:hRule="exact" w:val="240"/>
              </w:trPr>
              <w:tc>
                <w:tcPr>
                  <w:tcW w:type="dxa" w:w="213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6" w:after="0"/>
                    <w:ind w:left="9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HRAS</w:t>
                  </w:r>
                </w:p>
              </w:tc>
              <w:tc>
                <w:tcPr>
                  <w:tcW w:type="dxa" w:w="2146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6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IDH1</w:t>
                  </w:r>
                </w:p>
              </w:tc>
              <w:tc>
                <w:tcPr>
                  <w:tcW w:type="dxa" w:w="2144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6" w:after="0"/>
                    <w:ind w:left="100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IDH2</w:t>
                  </w:r>
                </w:p>
              </w:tc>
              <w:tc>
                <w:tcPr>
                  <w:tcW w:type="dxa" w:w="2146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6" w:after="0"/>
                    <w:ind w:left="96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KIT</w:t>
                  </w:r>
                </w:p>
              </w:tc>
              <w:tc>
                <w:tcPr>
                  <w:tcW w:type="dxa" w:w="2116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6" w:after="0"/>
                    <w:ind w:left="9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KRAS</w:t>
                  </w:r>
                </w:p>
              </w:tc>
            </w:tr>
            <w:tr>
              <w:trPr>
                <w:trHeight w:hRule="exact" w:val="255"/>
              </w:trPr>
              <w:tc>
                <w:tcPr>
                  <w:tcW w:type="dxa" w:w="213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22" w:after="0"/>
                    <w:ind w:left="9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MET</w:t>
                  </w:r>
                </w:p>
              </w:tc>
              <w:tc>
                <w:tcPr>
                  <w:tcW w:type="dxa" w:w="2146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22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NRAS</w:t>
                  </w:r>
                </w:p>
              </w:tc>
              <w:tc>
                <w:tcPr>
                  <w:tcW w:type="dxa" w:w="2144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22" w:after="0"/>
                    <w:ind w:left="100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PDGFRA</w:t>
                  </w:r>
                </w:p>
              </w:tc>
              <w:tc>
                <w:tcPr>
                  <w:tcW w:type="dxa" w:w="2146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22" w:after="0"/>
                    <w:ind w:left="96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PIK3CA</w:t>
                  </w:r>
                </w:p>
              </w:tc>
              <w:tc>
                <w:tcPr>
                  <w:tcW w:type="dxa" w:w="2116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22" w:after="0"/>
                    <w:ind w:left="9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POLE</w:t>
                  </w:r>
                </w:p>
              </w:tc>
            </w:tr>
            <w:tr>
              <w:trPr>
                <w:trHeight w:hRule="exact" w:val="231"/>
              </w:trPr>
              <w:tc>
                <w:tcPr>
                  <w:tcW w:type="dxa" w:w="2130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146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144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146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116"/>
                  <w:tcBorders/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tabs>
                <w:tab w:pos="2556" w:val="left"/>
                <w:tab w:pos="4698" w:val="left"/>
              </w:tabs>
              <w:autoSpaceDE w:val="0"/>
              <w:widowControl/>
              <w:spacing w:line="240" w:lineRule="auto" w:before="0" w:after="234"/>
              <w:ind w:left="41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RAF1 </w:t>
            </w:r>
            <w:r>
              <w:tab/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RET </w:t>
            </w:r>
            <w:r>
              <w:tab/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TP53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20.0" w:type="dxa"/>
            </w:tblPr>
            <w:tblGrid>
              <w:gridCol w:w="2205"/>
              <w:gridCol w:w="2205"/>
              <w:gridCol w:w="2205"/>
              <w:gridCol w:w="2205"/>
              <w:gridCol w:w="2205"/>
            </w:tblGrid>
            <w:tr>
              <w:trPr>
                <w:trHeight w:hRule="exact" w:val="240"/>
              </w:trPr>
              <w:tc>
                <w:tcPr>
                  <w:tcW w:type="dxa" w:w="10686"/>
                  <w:gridSpan w:val="5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6" w:after="0"/>
                    <w:ind w:left="96" w:right="0" w:firstLine="0"/>
                    <w:jc w:val="left"/>
                  </w:pPr>
                  <w:r>
                    <w:rPr>
                      <w:rFonts w:ascii="Cambria" w:hAnsi="Cambria" w:eastAsia="Cambria"/>
                      <w:b/>
                      <w:i w:val="0"/>
                      <w:color w:val="1F497D"/>
                      <w:sz w:val="20"/>
                    </w:rPr>
                    <w:t>RNA Gene List</w:t>
                  </w:r>
                </w:p>
              </w:tc>
            </w:tr>
            <w:tr>
              <w:trPr>
                <w:trHeight w:hRule="exact" w:val="234"/>
              </w:trPr>
              <w:tc>
                <w:tcPr>
                  <w:tcW w:type="dxa" w:w="213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0" w:after="0"/>
                    <w:ind w:left="96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ALK</w:t>
                  </w:r>
                </w:p>
              </w:tc>
              <w:tc>
                <w:tcPr>
                  <w:tcW w:type="dxa" w:w="2144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0" w:after="0"/>
                    <w:ind w:left="106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MET</w:t>
                  </w:r>
                </w:p>
              </w:tc>
              <w:tc>
                <w:tcPr>
                  <w:tcW w:type="dxa" w:w="2146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NTRK1</w:t>
                  </w:r>
                </w:p>
              </w:tc>
              <w:tc>
                <w:tcPr>
                  <w:tcW w:type="dxa" w:w="2142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0" w:after="0"/>
                    <w:ind w:left="98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NTRK2</w:t>
                  </w:r>
                </w:p>
              </w:tc>
              <w:tc>
                <w:tcPr>
                  <w:tcW w:type="dxa" w:w="2124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0" w:after="0"/>
                    <w:ind w:left="98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NTRK3</w:t>
                  </w:r>
                </w:p>
              </w:tc>
            </w:tr>
            <w:tr>
              <w:trPr>
                <w:trHeight w:hRule="exact" w:val="244"/>
              </w:trPr>
              <w:tc>
                <w:tcPr>
                  <w:tcW w:type="dxa" w:w="2130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144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146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142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124"/>
                  <w:tcBorders/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240" w:lineRule="auto" w:before="0" w:after="204"/>
              <w:ind w:left="41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ROS1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20.0" w:type="dxa"/>
            </w:tblPr>
            <w:tblGrid>
              <w:gridCol w:w="5512"/>
              <w:gridCol w:w="5512"/>
            </w:tblGrid>
            <w:tr>
              <w:trPr>
                <w:trHeight w:hRule="exact" w:val="238"/>
              </w:trPr>
              <w:tc>
                <w:tcPr>
                  <w:tcW w:type="dxa" w:w="4694"/>
                  <w:tcBorders>
                    <w:start w:sz="12.0" w:val="single" w:color="#000000"/>
                    <w:top w:sz="12.0" w:val="single" w:color="#000000"/>
                    <w:end w:sz="12.0" w:val="single" w:color="#000000"/>
                    <w:bottom w:sz="6.399999999999636" w:val="single" w:color="#008080"/>
                  </w:tcBorders>
                  <w:shd w:fill="1f497d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2152" w:val="left"/>
                    </w:tabs>
                    <w:autoSpaceDE w:val="0"/>
                    <w:widowControl/>
                    <w:spacing w:line="286" w:lineRule="auto" w:before="0" w:after="0"/>
                    <w:ind w:left="80" w:right="0" w:firstLine="0"/>
                    <w:jc w:val="left"/>
                  </w:pPr>
                  <w:r>
                    <w:rPr>
                      <w:rFonts w:ascii="Cambria" w:hAnsi="Cambria" w:eastAsia="Cambria"/>
                      <w:b/>
                      <w:i w:val="0"/>
                      <w:color w:val="1F497D"/>
                      <w:sz w:val="20"/>
                    </w:rPr>
                    <w:t xml:space="preserve">MSI </w:t>
                  </w:r>
                  <w:r>
                    <w:tab/>
                  </w:r>
                  <w:r>
                    <w:rPr>
                      <w:rFonts w:ascii="Cambria" w:hAnsi="Cambria" w:eastAsia="Cambria"/>
                      <w:b/>
                      <w:i w:val="0"/>
                      <w:color w:val="FFFFFF"/>
                      <w:sz w:val="19"/>
                    </w:rPr>
                    <w:t>MSI</w:t>
                  </w:r>
                </w:p>
              </w:tc>
              <w:tc>
                <w:tcPr>
                  <w:tcW w:type="dxa" w:w="5992"/>
                  <w:tcBorders>
                    <w:start w:sz="12.0" w:val="single" w:color="#000000"/>
                    <w:top w:sz="12.0" w:val="single" w:color="#000000"/>
                    <w:end w:sz="12.0" w:val="single" w:color="#000000"/>
                    <w:bottom w:sz="6.399999999999636" w:val="single" w:color="#008080"/>
                  </w:tcBorders>
                  <w:shd w:fill="1f497d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2154" w:val="left"/>
                    </w:tabs>
                    <w:autoSpaceDE w:val="0"/>
                    <w:widowControl/>
                    <w:spacing w:line="286" w:lineRule="auto" w:before="0" w:after="0"/>
                    <w:ind w:left="94" w:right="0" w:firstLine="0"/>
                    <w:jc w:val="left"/>
                  </w:pPr>
                  <w:r>
                    <w:rPr>
                      <w:rFonts w:ascii="Cambria" w:hAnsi="Cambria" w:eastAsia="Cambria"/>
                      <w:b/>
                      <w:i w:val="0"/>
                      <w:color w:val="008000"/>
                      <w:sz w:val="20"/>
                    </w:rPr>
                    <w:t xml:space="preserve">% of Unstable Loci </w:t>
                  </w:r>
                  <w:r>
                    <w:tab/>
                  </w:r>
                  <w:r>
                    <w:rPr>
                      <w:rFonts w:ascii="Cambria" w:hAnsi="Cambria" w:eastAsia="Cambria"/>
                      <w:b/>
                      <w:i w:val="0"/>
                      <w:color w:val="FFFFFF"/>
                      <w:sz w:val="19"/>
                    </w:rPr>
                    <w:t>% of Unstable Loci</w:t>
                  </w:r>
                </w:p>
              </w:tc>
            </w:tr>
            <w:tr>
              <w:trPr>
                <w:trHeight w:hRule="exact" w:val="229"/>
              </w:trPr>
              <w:tc>
                <w:tcPr>
                  <w:tcW w:type="dxa" w:w="4694"/>
                  <w:tcBorders>
                    <w:top w:sz="6.399999999999636" w:val="single" w:color="#008080"/>
                  </w:tcBorders>
                  <w:shd w:fill="1f497d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0" w:after="0"/>
                    <w:ind w:left="96" w:right="0" w:firstLine="0"/>
                    <w:jc w:val="left"/>
                  </w:pPr>
                  <w:r>
                    <w:rPr>
                      <w:rFonts w:ascii="Cambria" w:hAnsi="Cambria" w:eastAsia="Cambria"/>
                      <w:b/>
                      <w:i w:val="0"/>
                      <w:color w:val="008000"/>
                      <w:sz w:val="20"/>
                    </w:rPr>
                    <w:t>MSI - Stable</w:t>
                  </w:r>
                </w:p>
              </w:tc>
              <w:tc>
                <w:tcPr>
                  <w:tcW w:type="dxa" w:w="5992"/>
                  <w:tcBorders>
                    <w:top w:sz="6.399999999999636" w:val="single" w:color="#008080"/>
                  </w:tcBorders>
                  <w:shd w:fill="1f497d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0" w:after="0"/>
                    <w:ind w:left="108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0-19%</w:t>
                  </w:r>
                </w:p>
              </w:tc>
            </w:tr>
            <w:tr>
              <w:trPr>
                <w:trHeight w:hRule="exact" w:val="261"/>
              </w:trPr>
              <w:tc>
                <w:tcPr>
                  <w:tcW w:type="dxa" w:w="4694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26" w:after="0"/>
                    <w:ind w:left="96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MSI - Low / Intermediate</w:t>
                  </w:r>
                </w:p>
              </w:tc>
              <w:tc>
                <w:tcPr>
                  <w:tcW w:type="dxa" w:w="5992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26" w:after="0"/>
                    <w:ind w:left="108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20-30%</w:t>
                  </w:r>
                </w:p>
              </w:tc>
            </w:tr>
            <w:tr>
              <w:trPr>
                <w:trHeight w:hRule="exact" w:val="235"/>
              </w:trPr>
              <w:tc>
                <w:tcPr>
                  <w:tcW w:type="dxa" w:w="4694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992"/>
                  <w:tcBorders/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tabs>
                <w:tab w:pos="5122" w:val="left"/>
              </w:tabs>
              <w:autoSpaceDE w:val="0"/>
              <w:widowControl/>
              <w:spacing w:line="240" w:lineRule="auto" w:before="0" w:after="220"/>
              <w:ind w:left="416" w:right="0" w:firstLine="0"/>
              <w:jc w:val="left"/>
            </w:pPr>
            <w:r>
              <w:rPr>
                <w:rFonts w:ascii="Cambria" w:hAnsi="Cambria" w:eastAsia="Cambria"/>
                <w:b/>
                <w:i w:val="0"/>
                <w:color w:val="C00000"/>
                <w:sz w:val="20"/>
              </w:rPr>
              <w:t xml:space="preserve">MSI - High </w:t>
            </w:r>
            <w:r>
              <w:tab/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&gt;30%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12.0" w:type="dxa"/>
            </w:tblPr>
            <w:tblGrid>
              <w:gridCol w:w="5512"/>
              <w:gridCol w:w="5512"/>
            </w:tblGrid>
            <w:tr>
              <w:trPr>
                <w:trHeight w:hRule="exact" w:val="241"/>
              </w:trPr>
              <w:tc>
                <w:tcPr>
                  <w:tcW w:type="dxa" w:w="1854"/>
                  <w:tcBorders>
                    <w:start w:sz="12.0" w:val="single" w:color="#000000"/>
                    <w:top w:sz="12.0" w:val="single" w:color="#000000"/>
                    <w:end w:sz="12.0" w:val="single" w:color="#000000"/>
                  </w:tcBorders>
                  <w:shd w:fill="1f497d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718" w:val="left"/>
                    </w:tabs>
                    <w:autoSpaceDE w:val="0"/>
                    <w:widowControl/>
                    <w:spacing w:line="286" w:lineRule="auto" w:before="0" w:after="0"/>
                    <w:ind w:left="88" w:right="0" w:firstLine="0"/>
                    <w:jc w:val="left"/>
                  </w:pPr>
                  <w:r>
                    <w:rPr>
                      <w:rFonts w:ascii="Cambria" w:hAnsi="Cambria" w:eastAsia="Cambria"/>
                      <w:b/>
                      <w:i w:val="0"/>
                      <w:color w:val="1F497D"/>
                      <w:sz w:val="20"/>
                    </w:rPr>
                    <w:t xml:space="preserve">Tier </w:t>
                  </w:r>
                  <w:r>
                    <w:tab/>
                  </w:r>
                  <w:r>
                    <w:rPr>
                      <w:rFonts w:ascii="Cambria" w:hAnsi="Cambria" w:eastAsia="Cambria"/>
                      <w:b/>
                      <w:i w:val="0"/>
                      <w:color w:val="FFFFFF"/>
                      <w:sz w:val="19"/>
                    </w:rPr>
                    <w:t>Tier</w:t>
                  </w:r>
                </w:p>
              </w:tc>
              <w:tc>
                <w:tcPr>
                  <w:tcW w:type="dxa" w:w="8848"/>
                  <w:tcBorders>
                    <w:start w:sz="12.0" w:val="single" w:color="#000000"/>
                    <w:top w:sz="12.0" w:val="single" w:color="#000000"/>
                    <w:end w:sz="12.0" w:val="single" w:color="#000000"/>
                  </w:tcBorders>
                  <w:shd w:fill="1f497d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3748" w:val="left"/>
                    </w:tabs>
                    <w:autoSpaceDE w:val="0"/>
                    <w:widowControl/>
                    <w:spacing w:line="286" w:lineRule="auto" w:before="0" w:after="0"/>
                    <w:ind w:left="86" w:right="0" w:firstLine="0"/>
                    <w:jc w:val="left"/>
                  </w:pPr>
                  <w:r>
                    <w:rPr>
                      <w:rFonts w:ascii="Cambria" w:hAnsi="Cambria" w:eastAsia="Cambria"/>
                      <w:b/>
                      <w:i w:val="0"/>
                      <w:color w:val="1F497D"/>
                      <w:sz w:val="20"/>
                    </w:rPr>
                    <w:t xml:space="preserve">Interpretation </w:t>
                  </w:r>
                  <w:r>
                    <w:rPr>
                      <w:rFonts w:ascii="Cambria" w:hAnsi="Cambria" w:eastAsia="Cambria"/>
                      <w:b/>
                      <w:i w:val="0"/>
                      <w:color w:val="FFFFFF"/>
                      <w:sz w:val="19"/>
                    </w:rPr>
                    <w:t>Interpretation</w:t>
                  </w:r>
                </w:p>
              </w:tc>
            </w:tr>
            <w:tr>
              <w:trPr>
                <w:trHeight w:hRule="exact" w:val="220"/>
              </w:trPr>
              <w:tc>
                <w:tcPr>
                  <w:tcW w:type="dxa" w:w="1854"/>
                  <w:tcBorders>
                    <w:bottom w:sz="12.0" w:val="single" w:color="#000000"/>
                  </w:tcBorders>
                  <w:shd w:fill="1f497d"/>
                  <w:tcMar>
                    <w:start w:w="0" w:type="dxa"/>
                    <w:end w:w="0" w:type="dxa"/>
                  </w:tcMar>
                </w:tcPr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3.999999999999986" w:type="dxa"/>
                  </w:tblPr>
                  <w:tblGrid>
                    <w:gridCol w:w="1854"/>
                  </w:tblGrid>
                  <w:tr>
                    <w:trPr>
                      <w:trHeight w:hRule="exact" w:val="238"/>
                    </w:trPr>
                    <w:tc>
                      <w:tcPr>
                        <w:tcW w:type="dxa" w:w="1828"/>
                        <w:tcBorders/>
                        <w:shd w:fill="ececec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24" w:after="0"/>
                          <w:ind w:left="100" w:right="0" w:firstLine="0"/>
                          <w:jc w:val="left"/>
                        </w:pPr>
                        <w:r>
                          <w:rPr>
                            <w:rFonts w:ascii="Cambria" w:hAnsi="Cambria" w:eastAsia="Cambria"/>
                            <w:b/>
                            <w:i w:val="0"/>
                            <w:color w:val="000000"/>
                            <w:sz w:val="20"/>
                          </w:rPr>
                          <w:t>Tier IA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8848"/>
                  <w:tcBorders>
                    <w:bottom w:sz="12.0" w:val="single" w:color="#000000"/>
                  </w:tcBorders>
                  <w:shd w:fill="ecece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0" w:after="0"/>
                    <w:ind w:left="100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Variants of Strong Clinical Significance: Biomarkers that predict response or resistance to US FDA-</w:t>
                  </w:r>
                </w:p>
              </w:tc>
            </w:tr>
            <w:tr>
              <w:trPr>
                <w:trHeight w:hRule="exact" w:val="721"/>
              </w:trPr>
              <w:tc>
                <w:tcPr>
                  <w:tcW w:type="dxa" w:w="1854"/>
                  <w:tcBorders>
                    <w:top w:sz="12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8848"/>
                  <w:tcBorders>
                    <w:top w:sz="12.0" w:val="single" w:color="#000000"/>
                  </w:tcBorders>
                  <w:shd w:fill="ecece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60" w:after="0"/>
                    <w:ind w:left="100" w:right="576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 xml:space="preserve">approved therapies for a specific type of tumor or have been included in professional guidelines as 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therapeutic, diagnostic, and/or prognostic biomarkers for specific types of tumors.</w:t>
                  </w:r>
                </w:p>
              </w:tc>
            </w:tr>
            <w:tr>
              <w:trPr>
                <w:trHeight w:hRule="exact" w:val="461"/>
              </w:trPr>
              <w:tc>
                <w:tcPr>
                  <w:tcW w:type="dxa" w:w="1854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74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/>
                      <w:i w:val="0"/>
                      <w:color w:val="000000"/>
                      <w:sz w:val="20"/>
                    </w:rPr>
                    <w:t>Tier IB</w:t>
                  </w:r>
                </w:p>
              </w:tc>
              <w:tc>
                <w:tcPr>
                  <w:tcW w:type="dxa" w:w="8848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22" w:after="0"/>
                    <w:ind w:left="100" w:right="576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 xml:space="preserve">Variants of Strong Clinical Significance: Biomarkers that predict response or resistance to a therapy 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based on well-powered studies with consensus from experts in the field, or have diagnostic and/or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40" w:lineRule="auto" w:before="546" w:after="0"/>
        <w:ind w:left="0" w:right="802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142999" cy="1115059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142999" cy="11150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18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300" w:after="2724"/>
        <w:ind w:left="0" w:right="518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648460" cy="6477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48460" cy="6477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10.0" w:type="dxa"/>
      </w:tblPr>
      <w:tblGrid>
        <w:gridCol w:w="4519"/>
        <w:gridCol w:w="4519"/>
      </w:tblGrid>
      <w:tr>
        <w:trPr>
          <w:trHeight w:hRule="exact" w:val="507"/>
        </w:trPr>
        <w:tc>
          <w:tcPr>
            <w:tcW w:type="dxa" w:w="1858"/>
            <w:tcBorders>
              <w:start w:sz="12.0" w:val="single" w:color="#000000"/>
              <w:top w:sz="12.0" w:val="single" w:color="#000000"/>
              <w:end w:sz="12.0" w:val="single" w:color="#000000"/>
            </w:tcBorders>
            <w:shd w:fill="1f497d"/>
            <w:tcMar>
              <w:start w:w="0" w:type="dxa"/>
              <w:end w:w="0" w:type="dxa"/>
            </w:tcMar>
          </w:tcPr>
          <w:p/>
        </w:tc>
        <w:tc>
          <w:tcPr>
            <w:tcW w:type="dxa" w:w="8848"/>
            <w:tcBorders>
              <w:start w:sz="12.0" w:val="single" w:color="#000000"/>
              <w:top w:sz="12.0" w:val="single" w:color="#000000"/>
              <w:end w:sz="12.0" w:val="single" w:color="#000000"/>
            </w:tcBorders>
            <w:shd w:fill="1f497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9" w:lineRule="auto" w:before="72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/>
                <w:i w:val="0"/>
                <w:color w:val="FFFFFF"/>
                <w:sz w:val="19"/>
              </w:rPr>
              <w:t xml:space="preserve">prognostic significance of certain diseases based on well-powered studies with expert consensus.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prognostic significance of certain diseases based on well-powered studies with expert consensus.</w:t>
            </w:r>
          </w:p>
        </w:tc>
      </w:tr>
      <w:tr>
        <w:trPr>
          <w:trHeight w:hRule="exact" w:val="1185"/>
        </w:trPr>
        <w:tc>
          <w:tcPr>
            <w:tcW w:type="dxa" w:w="1858"/>
            <w:tcBorders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.000000000000014" w:type="dxa"/>
            </w:tblPr>
            <w:tblGrid>
              <w:gridCol w:w="1858"/>
            </w:tblGrid>
            <w:tr>
              <w:trPr>
                <w:trHeight w:hRule="exact" w:val="1150"/>
              </w:trPr>
              <w:tc>
                <w:tcPr>
                  <w:tcW w:type="dxa" w:w="1828"/>
                  <w:tcBorders/>
                  <w:shd w:fill="ecece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66" w:after="0"/>
                    <w:ind w:left="100" w:right="0" w:firstLine="0"/>
                    <w:jc w:val="left"/>
                  </w:pPr>
                  <w:r>
                    <w:rPr>
                      <w:rFonts w:ascii="Cambria" w:hAnsi="Cambria" w:eastAsia="Cambria"/>
                      <w:b/>
                      <w:i w:val="0"/>
                      <w:color w:val="000000"/>
                      <w:sz w:val="20"/>
                    </w:rPr>
                    <w:t>Tier IIC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8848"/>
            <w:tcBorders/>
            <w:shd w:fill="ecec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2" w:after="0"/>
              <w:ind w:left="98" w:right="432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Variants of Potential Clinical Significance: biomarkers that predict response or resistance to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therapies approved by FDA or professional societies for a different tumor type (i.e., off-label use of a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drug), serve as inclusion criteria for clinical trials, or have diagnostic and/or prognostic significance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based on the results of multiple small studies.</w:t>
            </w:r>
          </w:p>
        </w:tc>
      </w:tr>
      <w:tr>
        <w:trPr>
          <w:trHeight w:hRule="exact" w:val="947"/>
        </w:trPr>
        <w:tc>
          <w:tcPr>
            <w:tcW w:type="dxa" w:w="185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/>
                <w:i w:val="0"/>
                <w:color w:val="000000"/>
                <w:sz w:val="20"/>
              </w:rPr>
              <w:t>Tier IID</w:t>
            </w:r>
          </w:p>
        </w:tc>
        <w:tc>
          <w:tcPr>
            <w:tcW w:type="dxa" w:w="884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0" w:after="0"/>
              <w:ind w:left="98" w:right="576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Variants of Potential Clinical Significance: Biomarkers that show plausible therapeutic significance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based on preclinical studies or may assist disease diagnosis and/or prognosis themselves or along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with other biomarkers based on small studies or multiple case reports with no consensus.</w:t>
            </w:r>
          </w:p>
        </w:tc>
      </w:tr>
      <w:tr>
        <w:trPr>
          <w:trHeight w:hRule="exact" w:val="702"/>
        </w:trPr>
        <w:tc>
          <w:tcPr>
            <w:tcW w:type="dxa" w:w="1858"/>
            <w:tcBorders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.000000000000014" w:type="dxa"/>
            </w:tblPr>
            <w:tblGrid>
              <w:gridCol w:w="1858"/>
            </w:tblGrid>
            <w:tr>
              <w:trPr>
                <w:trHeight w:hRule="exact" w:val="686"/>
              </w:trPr>
              <w:tc>
                <w:tcPr>
                  <w:tcW w:type="dxa" w:w="1828"/>
                  <w:tcBorders/>
                  <w:shd w:fill="ecece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66" w:after="0"/>
                    <w:ind w:left="100" w:right="0" w:firstLine="0"/>
                    <w:jc w:val="left"/>
                  </w:pPr>
                  <w:r>
                    <w:rPr>
                      <w:rFonts w:ascii="Cambria" w:hAnsi="Cambria" w:eastAsia="Cambria"/>
                      <w:b/>
                      <w:i w:val="0"/>
                      <w:color w:val="000000"/>
                      <w:sz w:val="20"/>
                    </w:rPr>
                    <w:t>Tier III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8848"/>
            <w:tcBorders/>
            <w:shd w:fill="ecec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" w:after="0"/>
              <w:ind w:left="98" w:right="432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Variants of Unknown clinical significance (VUS): Not observed at a significant allele frequency in the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general or specific subpopulation or pancancer or tumor specific variant databases. No convincing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published evidence of cancer Association</w:t>
            </w:r>
          </w:p>
        </w:tc>
      </w:tr>
    </w:tbl>
    <w:p>
      <w:pPr>
        <w:autoSpaceDN w:val="0"/>
        <w:autoSpaceDE w:val="0"/>
        <w:widowControl/>
        <w:spacing w:line="240" w:lineRule="auto" w:before="288" w:after="0"/>
        <w:ind w:left="716" w:right="0" w:firstLine="0"/>
        <w:jc w:val="left"/>
      </w:pPr>
      <w:r>
        <w:rPr>
          <w:rFonts w:ascii="Cambria" w:hAnsi="Cambria" w:eastAsia="Cambria"/>
          <w:b/>
          <w:i w:val="0"/>
          <w:color w:val="008080"/>
          <w:sz w:val="20"/>
        </w:rPr>
        <w:t>References:</w:t>
      </w:r>
    </w:p>
    <w:p>
      <w:pPr>
        <w:autoSpaceDN w:val="0"/>
        <w:tabs>
          <w:tab w:pos="1076" w:val="left"/>
        </w:tabs>
        <w:autoSpaceDE w:val="0"/>
        <w:widowControl/>
        <w:spacing w:line="259" w:lineRule="auto" w:before="126" w:after="0"/>
        <w:ind w:left="716" w:right="864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1. </w:t>
      </w:r>
      <w:r>
        <w:tab/>
      </w:r>
      <w:r>
        <w:rPr>
          <w:rFonts w:ascii="Cambria" w:hAnsi="Cambria" w:eastAsia="Cambria"/>
          <w:b w:val="0"/>
          <w:i/>
          <w:color w:val="000000"/>
          <w:sz w:val="20"/>
        </w:rPr>
        <w:t xml:space="preserve">O&amp;#x27;Leary et al. Reference sequence (RefSeq) database at NCBI: current status, taxonomic expansion, and functional </w:t>
      </w:r>
      <w:r>
        <w:tab/>
      </w:r>
      <w:r>
        <w:rPr>
          <w:rFonts w:ascii="Cambria" w:hAnsi="Cambria" w:eastAsia="Cambria"/>
          <w:b w:val="0"/>
          <w:i/>
          <w:color w:val="000000"/>
          <w:sz w:val="20"/>
        </w:rPr>
        <w:t>annotation. Nucleic Acids Res. 2016 Jan 4;44(D1):D733-45. PMID: 26553804</w:t>
      </w:r>
    </w:p>
    <w:p>
      <w:pPr>
        <w:autoSpaceDN w:val="0"/>
        <w:autoSpaceDE w:val="0"/>
        <w:widowControl/>
        <w:spacing w:line="240" w:lineRule="auto" w:before="112" w:after="0"/>
        <w:ind w:left="716" w:right="0" w:firstLine="0"/>
        <w:jc w:val="left"/>
      </w:pPr>
      <w:r>
        <w:rPr>
          <w:rFonts w:ascii="Cambria" w:hAnsi="Cambria" w:eastAsia="Cambria"/>
          <w:b w:val="0"/>
          <w:i/>
          <w:color w:val="000000"/>
          <w:sz w:val="20"/>
        </w:rPr>
        <w:t>Nag et al. The MDM2-p53 pathway revisited. J Biomed Res. 2013 Jul;27(4):254-71. PMID: 23885265</w:t>
      </w:r>
    </w:p>
    <w:p>
      <w:pPr>
        <w:autoSpaceDN w:val="0"/>
        <w:tabs>
          <w:tab w:pos="1076" w:val="left"/>
        </w:tabs>
        <w:autoSpaceDE w:val="0"/>
        <w:widowControl/>
        <w:spacing w:line="259" w:lineRule="auto" w:before="126" w:after="0"/>
        <w:ind w:left="716" w:right="1152" w:firstLine="0"/>
        <w:jc w:val="left"/>
      </w:pPr>
      <w:r>
        <w:rPr>
          <w:rFonts w:ascii="Cambria" w:hAnsi="Cambria" w:eastAsia="Cambria"/>
          <w:b w:val="0"/>
          <w:i/>
          <w:color w:val="000000"/>
          <w:sz w:val="20"/>
        </w:rPr>
        <w:t xml:space="preserve">Muller et al. Mutant p53 in cancer: new functions and therapeutic opportunities. Cancer Cell. 2014 Mar 17;25(3):304-17. </w:t>
      </w:r>
      <w:r>
        <w:tab/>
      </w:r>
      <w:r>
        <w:rPr>
          <w:rFonts w:ascii="Cambria" w:hAnsi="Cambria" w:eastAsia="Cambria"/>
          <w:b w:val="0"/>
          <w:i/>
          <w:color w:val="000000"/>
          <w:sz w:val="20"/>
        </w:rPr>
        <w:t>PMID: 24651012</w:t>
      </w:r>
    </w:p>
    <w:p>
      <w:pPr>
        <w:autoSpaceDN w:val="0"/>
        <w:tabs>
          <w:tab w:pos="1076" w:val="left"/>
        </w:tabs>
        <w:autoSpaceDE w:val="0"/>
        <w:widowControl/>
        <w:spacing w:line="259" w:lineRule="auto" w:before="110" w:after="0"/>
        <w:ind w:left="716" w:right="864" w:firstLine="0"/>
        <w:jc w:val="left"/>
      </w:pPr>
      <w:r>
        <w:rPr>
          <w:rFonts w:ascii="Cambria" w:hAnsi="Cambria" w:eastAsia="Cambria"/>
          <w:b w:val="0"/>
          <w:i/>
          <w:color w:val="000000"/>
          <w:sz w:val="20"/>
        </w:rPr>
        <w:t xml:space="preserve">Olivier et al. TP53 mutations in human cancers: origins, consequences, and clinical use. Cold Spring Harb Perspect Biol. 2010 </w:t>
      </w:r>
      <w:r>
        <w:tab/>
      </w:r>
      <w:r>
        <w:rPr>
          <w:rFonts w:ascii="Cambria" w:hAnsi="Cambria" w:eastAsia="Cambria"/>
          <w:b w:val="0"/>
          <w:i/>
          <w:color w:val="000000"/>
          <w:sz w:val="20"/>
        </w:rPr>
        <w:t>Jan;2(1):a001008. PMID: 20182602</w:t>
      </w:r>
    </w:p>
    <w:p>
      <w:pPr>
        <w:autoSpaceDN w:val="0"/>
        <w:tabs>
          <w:tab w:pos="1076" w:val="left"/>
        </w:tabs>
        <w:autoSpaceDE w:val="0"/>
        <w:widowControl/>
        <w:spacing w:line="259" w:lineRule="auto" w:before="112" w:after="0"/>
        <w:ind w:left="716" w:right="720" w:firstLine="0"/>
        <w:jc w:val="left"/>
      </w:pPr>
      <w:r>
        <w:rPr>
          <w:rFonts w:ascii="Cambria" w:hAnsi="Cambria" w:eastAsia="Cambria"/>
          <w:b w:val="0"/>
          <w:i/>
          <w:color w:val="000000"/>
          <w:sz w:val="20"/>
        </w:rPr>
        <w:t xml:space="preserve">Guha et al. Inherited TP53 Mutations and the Li-Fraumeni Syndrome. Cold Spring Harb Perspect Med. 2017 Apr 3;7(4). PMID: </w:t>
      </w:r>
      <w:r>
        <w:tab/>
      </w:r>
      <w:r>
        <w:rPr>
          <w:rFonts w:ascii="Cambria" w:hAnsi="Cambria" w:eastAsia="Cambria"/>
          <w:b w:val="0"/>
          <w:i/>
          <w:color w:val="000000"/>
          <w:sz w:val="20"/>
        </w:rPr>
        <w:t>28270529</w:t>
      </w:r>
    </w:p>
    <w:p>
      <w:pPr>
        <w:autoSpaceDN w:val="0"/>
        <w:tabs>
          <w:tab w:pos="1076" w:val="left"/>
        </w:tabs>
        <w:autoSpaceDE w:val="0"/>
        <w:widowControl/>
        <w:spacing w:line="259" w:lineRule="auto" w:before="110" w:after="0"/>
        <w:ind w:left="716" w:right="720" w:firstLine="0"/>
        <w:jc w:val="left"/>
      </w:pPr>
      <w:r>
        <w:rPr>
          <w:rFonts w:ascii="Cambria" w:hAnsi="Cambria" w:eastAsia="Cambria"/>
          <w:b w:val="0"/>
          <w:i/>
          <w:color w:val="000000"/>
          <w:sz w:val="20"/>
        </w:rPr>
        <w:t xml:space="preserve">Cerami et al. The cBio cancer genomics portal: an open platform for exploring multidimensional cancer genomics data. Cancer </w:t>
      </w:r>
      <w:r>
        <w:tab/>
      </w:r>
      <w:r>
        <w:rPr>
          <w:rFonts w:ascii="Cambria" w:hAnsi="Cambria" w:eastAsia="Cambria"/>
          <w:b w:val="0"/>
          <w:i/>
          <w:color w:val="000000"/>
          <w:sz w:val="20"/>
        </w:rPr>
        <w:t>Discov. 2012 May;2(5):401-4. PMID: 22588877</w:t>
      </w:r>
    </w:p>
    <w:p>
      <w:pPr>
        <w:autoSpaceDN w:val="0"/>
        <w:autoSpaceDE w:val="0"/>
        <w:widowControl/>
        <w:spacing w:line="240" w:lineRule="auto" w:before="126" w:after="0"/>
        <w:ind w:left="0" w:right="0" w:firstLine="0"/>
        <w:jc w:val="center"/>
      </w:pPr>
      <w:r>
        <w:rPr>
          <w:rFonts w:ascii="Cambria" w:hAnsi="Cambria" w:eastAsia="Cambria"/>
          <w:b w:val="0"/>
          <w:i/>
          <w:color w:val="000000"/>
          <w:sz w:val="20"/>
        </w:rPr>
        <w:t>Weinstein et al. The Cancer Genome Atlas Pan-Cancer analysis project. Nat. Genet. 2013 Oct;45(10):1113-20. PMID: 24071849</w:t>
      </w:r>
    </w:p>
    <w:p>
      <w:pPr>
        <w:autoSpaceDN w:val="0"/>
        <w:tabs>
          <w:tab w:pos="1076" w:val="left"/>
        </w:tabs>
        <w:autoSpaceDE w:val="0"/>
        <w:widowControl/>
        <w:spacing w:line="259" w:lineRule="auto" w:before="112" w:after="0"/>
        <w:ind w:left="716" w:right="864" w:firstLine="0"/>
        <w:jc w:val="left"/>
      </w:pPr>
      <w:r>
        <w:rPr>
          <w:rFonts w:ascii="Cambria" w:hAnsi="Cambria" w:eastAsia="Cambria"/>
          <w:b w:val="0"/>
          <w:i/>
          <w:color w:val="000000"/>
          <w:sz w:val="20"/>
        </w:rPr>
        <w:t xml:space="preserve">Peter et al. Comprehensive genomic characterization of squamous cell lung cancers. Nature. 2012 Sep 27;489(7417):519-25. </w:t>
      </w:r>
      <w:r>
        <w:tab/>
      </w:r>
      <w:r>
        <w:rPr>
          <w:rFonts w:ascii="Cambria" w:hAnsi="Cambria" w:eastAsia="Cambria"/>
          <w:b w:val="0"/>
          <w:i/>
          <w:color w:val="000000"/>
          <w:sz w:val="20"/>
        </w:rPr>
        <w:t>PMID: 22960745</w:t>
      </w:r>
    </w:p>
    <w:p>
      <w:pPr>
        <w:autoSpaceDN w:val="0"/>
        <w:tabs>
          <w:tab w:pos="1076" w:val="left"/>
        </w:tabs>
        <w:autoSpaceDE w:val="0"/>
        <w:widowControl/>
        <w:spacing w:line="259" w:lineRule="auto" w:before="110" w:after="0"/>
        <w:ind w:left="716" w:right="720" w:firstLine="0"/>
        <w:jc w:val="left"/>
      </w:pPr>
      <w:r>
        <w:rPr>
          <w:rFonts w:ascii="Cambria" w:hAnsi="Cambria" w:eastAsia="Cambria"/>
          <w:b w:val="0"/>
          <w:i/>
          <w:color w:val="000000"/>
          <w:sz w:val="20"/>
        </w:rPr>
        <w:t xml:space="preserve">Cancer Genome Atlas Network. Comprehensive genomic characterization of head and neck squamous cell carcinomas. Nature. </w:t>
      </w:r>
      <w:r>
        <w:tab/>
      </w:r>
      <w:r>
        <w:rPr>
          <w:rFonts w:ascii="Cambria" w:hAnsi="Cambria" w:eastAsia="Cambria"/>
          <w:b w:val="0"/>
          <w:i/>
          <w:color w:val="000000"/>
          <w:sz w:val="20"/>
        </w:rPr>
        <w:t>2015 Jan 29;517(7536):576-82. PMID: 25631445</w:t>
      </w:r>
    </w:p>
    <w:p>
      <w:pPr>
        <w:autoSpaceDN w:val="0"/>
        <w:tabs>
          <w:tab w:pos="1076" w:val="left"/>
        </w:tabs>
        <w:autoSpaceDE w:val="0"/>
        <w:widowControl/>
        <w:spacing w:line="259" w:lineRule="auto" w:before="126" w:after="0"/>
        <w:ind w:left="716" w:right="720" w:firstLine="0"/>
        <w:jc w:val="left"/>
      </w:pPr>
      <w:r>
        <w:rPr>
          <w:rFonts w:ascii="Cambria" w:hAnsi="Cambria" w:eastAsia="Cambria"/>
          <w:b w:val="0"/>
          <w:i/>
          <w:color w:val="000000"/>
          <w:sz w:val="20"/>
        </w:rPr>
        <w:t xml:space="preserve">Campbell et al. Distinct patterns of somatic genome alterations in lung adenocarcinomas and squamous cell carcinomas. Nat. </w:t>
      </w:r>
      <w:r>
        <w:tab/>
      </w:r>
      <w:r>
        <w:rPr>
          <w:rFonts w:ascii="Cambria" w:hAnsi="Cambria" w:eastAsia="Cambria"/>
          <w:b w:val="0"/>
          <w:i/>
          <w:color w:val="000000"/>
          <w:sz w:val="20"/>
        </w:rPr>
        <w:t>Genet. 2016 Jun;48(6):607-16. PMID: 27158780</w:t>
      </w:r>
    </w:p>
    <w:p>
      <w:pPr>
        <w:autoSpaceDN w:val="0"/>
        <w:autoSpaceDE w:val="0"/>
        <w:widowControl/>
        <w:spacing w:line="240" w:lineRule="auto" w:before="900" w:after="0"/>
        <w:ind w:left="0" w:right="802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142999" cy="1115059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142999" cy="11150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18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300" w:after="0"/>
        <w:ind w:left="0" w:right="518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648460" cy="6477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48460" cy="647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1074" w:val="left"/>
        </w:tabs>
        <w:autoSpaceDE w:val="0"/>
        <w:widowControl/>
        <w:spacing w:line="259" w:lineRule="auto" w:before="2826" w:after="0"/>
        <w:ind w:left="716" w:right="1008" w:firstLine="0"/>
        <w:jc w:val="left"/>
      </w:pPr>
      <w:r>
        <w:rPr>
          <w:rFonts w:ascii="Cambria" w:hAnsi="Cambria" w:eastAsia="Cambria"/>
          <w:b w:val="0"/>
          <w:i/>
          <w:color w:val="000000"/>
          <w:sz w:val="20"/>
        </w:rPr>
        <w:t xml:space="preserve">Cancer Genome Atlas Research Network. Integrated genomic characterization of oesophageal carcinoma. Nature. 2017 Jan </w:t>
      </w:r>
      <w:r>
        <w:tab/>
      </w:r>
      <w:r>
        <w:rPr>
          <w:rFonts w:ascii="Cambria" w:hAnsi="Cambria" w:eastAsia="Cambria"/>
          <w:b w:val="0"/>
          <w:i/>
          <w:color w:val="000000"/>
          <w:sz w:val="20"/>
        </w:rPr>
        <w:t>12;541(7636):169-175. doi: 10.1038/nature20805. Epub 2017 Jan 4. PMID: 28052061</w:t>
      </w:r>
    </w:p>
    <w:p>
      <w:pPr>
        <w:autoSpaceDN w:val="0"/>
        <w:tabs>
          <w:tab w:pos="1074" w:val="left"/>
        </w:tabs>
        <w:autoSpaceDE w:val="0"/>
        <w:widowControl/>
        <w:spacing w:line="259" w:lineRule="auto" w:before="110" w:after="0"/>
        <w:ind w:left="714" w:right="1296" w:firstLine="0"/>
        <w:jc w:val="left"/>
      </w:pPr>
      <w:r>
        <w:rPr>
          <w:rFonts w:ascii="Cambria" w:hAnsi="Cambria" w:eastAsia="Cambria"/>
          <w:b w:val="0"/>
          <w:i/>
          <w:color w:val="000000"/>
          <w:sz w:val="20"/>
        </w:rPr>
        <w:t xml:space="preserve">Olivier et al. The IARC TP53 database: new online mutation analysis and recommendations to users. Hum. Mutat. 2002 </w:t>
      </w:r>
      <w:r>
        <w:tab/>
      </w:r>
      <w:r>
        <w:rPr>
          <w:rFonts w:ascii="Cambria" w:hAnsi="Cambria" w:eastAsia="Cambria"/>
          <w:b w:val="0"/>
          <w:i/>
          <w:color w:val="000000"/>
          <w:sz w:val="20"/>
        </w:rPr>
        <w:t>Jun;19(6):607-14. PMID: 12007217</w:t>
      </w:r>
    </w:p>
    <w:p>
      <w:pPr>
        <w:autoSpaceDN w:val="0"/>
        <w:tabs>
          <w:tab w:pos="1074" w:val="left"/>
        </w:tabs>
        <w:autoSpaceDE w:val="0"/>
        <w:widowControl/>
        <w:spacing w:line="259" w:lineRule="auto" w:before="112" w:after="0"/>
        <w:ind w:left="714" w:right="864" w:firstLine="0"/>
        <w:jc w:val="left"/>
      </w:pPr>
      <w:r>
        <w:rPr>
          <w:rFonts w:ascii="Cambria" w:hAnsi="Cambria" w:eastAsia="Cambria"/>
          <w:b w:val="0"/>
          <w:i/>
          <w:color w:val="000000"/>
          <w:sz w:val="20"/>
        </w:rPr>
        <w:t xml:space="preserve">Rivlin et al. Mutations in the p53 Tumor Suppressor Gene: Important Milestones at the Various Steps of Tumorigenesis. Genes </w:t>
      </w:r>
      <w:r>
        <w:tab/>
      </w:r>
      <w:r>
        <w:rPr>
          <w:rFonts w:ascii="Cambria" w:hAnsi="Cambria" w:eastAsia="Cambria"/>
          <w:b w:val="0"/>
          <w:i/>
          <w:color w:val="000000"/>
          <w:sz w:val="20"/>
        </w:rPr>
        <w:t>Cancer. 2011 Apr;2(4):466-74. PMID: 21779514</w:t>
      </w:r>
    </w:p>
    <w:p>
      <w:pPr>
        <w:autoSpaceDN w:val="0"/>
        <w:tabs>
          <w:tab w:pos="1074" w:val="left"/>
        </w:tabs>
        <w:autoSpaceDE w:val="0"/>
        <w:widowControl/>
        <w:spacing w:line="259" w:lineRule="auto" w:before="110" w:after="0"/>
        <w:ind w:left="716" w:right="1440" w:firstLine="0"/>
        <w:jc w:val="left"/>
      </w:pPr>
      <w:r>
        <w:rPr>
          <w:rFonts w:ascii="Cambria" w:hAnsi="Cambria" w:eastAsia="Cambria"/>
          <w:b w:val="0"/>
          <w:i/>
          <w:color w:val="000000"/>
          <w:sz w:val="20"/>
        </w:rPr>
        <w:t xml:space="preserve">Petitjean et al. TP53 mutations in human cancers: functional selection and impact on cancer prognosis and outcomes. </w:t>
      </w:r>
      <w:r>
        <w:tab/>
      </w:r>
      <w:r>
        <w:rPr>
          <w:rFonts w:ascii="Cambria" w:hAnsi="Cambria" w:eastAsia="Cambria"/>
          <w:b w:val="0"/>
          <w:i/>
          <w:color w:val="000000"/>
          <w:sz w:val="20"/>
        </w:rPr>
        <w:t>Oncogene. 2007 Apr 2;26(15):2157-65. PMID: 17401424</w:t>
      </w:r>
    </w:p>
    <w:p>
      <w:pPr>
        <w:autoSpaceDN w:val="0"/>
        <w:tabs>
          <w:tab w:pos="1074" w:val="left"/>
        </w:tabs>
        <w:autoSpaceDE w:val="0"/>
        <w:widowControl/>
        <w:spacing w:line="259" w:lineRule="auto" w:before="126" w:after="0"/>
        <w:ind w:left="714" w:right="864" w:firstLine="0"/>
        <w:jc w:val="left"/>
      </w:pPr>
      <w:r>
        <w:rPr>
          <w:rFonts w:ascii="Cambria" w:hAnsi="Cambria" w:eastAsia="Cambria"/>
          <w:b w:val="0"/>
          <w:i/>
          <w:color w:val="000000"/>
          <w:sz w:val="20"/>
        </w:rPr>
        <w:t xml:space="preserve">Soussi et al. Recommendations for analyzing and reporting TP53 gene variants in the high-throughput sequencing era. Hum. </w:t>
      </w:r>
      <w:r>
        <w:tab/>
      </w:r>
      <w:r>
        <w:rPr>
          <w:rFonts w:ascii="Cambria" w:hAnsi="Cambria" w:eastAsia="Cambria"/>
          <w:b w:val="0"/>
          <w:i/>
          <w:color w:val="000000"/>
          <w:sz w:val="20"/>
        </w:rPr>
        <w:t>Mutat. 2014 Jun;35(6):766-78. PMID: 24729566</w:t>
      </w:r>
    </w:p>
    <w:p>
      <w:pPr>
        <w:autoSpaceDN w:val="0"/>
        <w:autoSpaceDE w:val="0"/>
        <w:widowControl/>
        <w:spacing w:line="264" w:lineRule="auto" w:before="112" w:after="0"/>
        <w:ind w:left="1074" w:right="1440" w:hanging="360"/>
        <w:jc w:val="left"/>
      </w:pPr>
      <w:r>
        <w:rPr>
          <w:rFonts w:ascii="Cambria" w:hAnsi="Cambria" w:eastAsia="Cambria"/>
          <w:b w:val="0"/>
          <w:i/>
          <w:color w:val="000000"/>
          <w:sz w:val="20"/>
        </w:rPr>
        <w:t>https://www.globenewswire.com/news-release/2020/10/13/2107498/0/en/PMV-Pharma-Granted-FDA-Fast-Track-</w:t>
      </w:r>
      <w:r>
        <w:rPr>
          <w:rFonts w:ascii="Cambria" w:hAnsi="Cambria" w:eastAsia="Cambria"/>
          <w:b w:val="0"/>
          <w:i/>
          <w:color w:val="000000"/>
          <w:sz w:val="20"/>
        </w:rPr>
        <w:t>Designation-of-PC14586-for-the-Treatment-of-Advanced-Cancer-Patients-that-have-Tumors-with-a-p53-Y220C-</w:t>
      </w:r>
      <w:r>
        <w:rPr>
          <w:rFonts w:ascii="Cambria" w:hAnsi="Cambria" w:eastAsia="Cambria"/>
          <w:b w:val="0"/>
          <w:i/>
          <w:color w:val="000000"/>
          <w:sz w:val="20"/>
        </w:rPr>
        <w:t>Mutation.html</w:t>
      </w:r>
    </w:p>
    <w:p>
      <w:pPr>
        <w:autoSpaceDN w:val="0"/>
        <w:autoSpaceDE w:val="0"/>
        <w:widowControl/>
        <w:spacing w:line="240" w:lineRule="auto" w:before="110" w:after="0"/>
        <w:ind w:left="714" w:right="0" w:firstLine="0"/>
        <w:jc w:val="left"/>
      </w:pPr>
      <w:r>
        <w:rPr>
          <w:rFonts w:ascii="Cambria" w:hAnsi="Cambria" w:eastAsia="Cambria"/>
          <w:b w:val="0"/>
          <w:i/>
          <w:color w:val="000000"/>
          <w:sz w:val="20"/>
        </w:rPr>
        <w:t>https://ir.aprea.com//news-releases/news-release-details/aprea-therapeutics-receives-fda-fast-track-designation</w:t>
      </w:r>
    </w:p>
    <w:p>
      <w:pPr>
        <w:autoSpaceDN w:val="0"/>
        <w:tabs>
          <w:tab w:pos="1074" w:val="left"/>
        </w:tabs>
        <w:autoSpaceDE w:val="0"/>
        <w:widowControl/>
        <w:spacing w:line="259" w:lineRule="auto" w:before="126" w:after="56"/>
        <w:ind w:left="714" w:right="1008" w:firstLine="0"/>
        <w:jc w:val="left"/>
      </w:pPr>
      <w:r>
        <w:rPr>
          <w:rFonts w:ascii="Cambria" w:hAnsi="Cambria" w:eastAsia="Cambria"/>
          <w:b w:val="0"/>
          <w:i/>
          <w:color w:val="000000"/>
          <w:sz w:val="20"/>
        </w:rPr>
        <w:t>http://vp280.alertir.com/en/pressreleases/karolinska-development%27s-portfolio-company-aprea-therapeutics-receives-</w:t>
      </w:r>
      <w:r>
        <w:tab/>
      </w:r>
      <w:r>
        <w:rPr>
          <w:rFonts w:ascii="Cambria" w:hAnsi="Cambria" w:eastAsia="Cambria"/>
          <w:b w:val="0"/>
          <w:i/>
          <w:color w:val="000000"/>
          <w:sz w:val="20"/>
        </w:rPr>
        <w:t>fda-breakthrough-therapy-designation-1769167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40.0" w:type="dxa"/>
      </w:tblPr>
      <w:tblGrid>
        <w:gridCol w:w="565"/>
        <w:gridCol w:w="565"/>
        <w:gridCol w:w="565"/>
        <w:gridCol w:w="565"/>
        <w:gridCol w:w="565"/>
        <w:gridCol w:w="565"/>
        <w:gridCol w:w="565"/>
        <w:gridCol w:w="565"/>
        <w:gridCol w:w="565"/>
        <w:gridCol w:w="565"/>
        <w:gridCol w:w="565"/>
        <w:gridCol w:w="565"/>
        <w:gridCol w:w="565"/>
        <w:gridCol w:w="565"/>
        <w:gridCol w:w="565"/>
        <w:gridCol w:w="565"/>
      </w:tblGrid>
      <w:tr>
        <w:trPr>
          <w:trHeight w:hRule="exact" w:val="308"/>
        </w:trPr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6" w:after="0"/>
              <w:ind w:left="0" w:right="66" w:firstLine="0"/>
              <w:jc w:val="right"/>
            </w:pPr>
            <w:r>
              <w:rPr>
                <w:rFonts w:ascii="Cambria" w:hAnsi="Cambria" w:eastAsia="Cambria"/>
                <w:b w:val="0"/>
                <w:i/>
                <w:color w:val="000000"/>
                <w:sz w:val="20"/>
              </w:rPr>
              <w:t>Parrales</w:t>
            </w:r>
          </w:p>
        </w:tc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6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/>
                <w:color w:val="000000"/>
                <w:sz w:val="20"/>
              </w:rPr>
              <w:t>et</w:t>
            </w:r>
          </w:p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6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/>
                <w:color w:val="000000"/>
                <w:sz w:val="20"/>
              </w:rPr>
              <w:t>al.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6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/>
                <w:color w:val="000000"/>
                <w:sz w:val="20"/>
              </w:rPr>
              <w:t>Targeting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6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/>
                <w:color w:val="000000"/>
                <w:sz w:val="20"/>
              </w:rPr>
              <w:t>Oncogenic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6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/>
                <w:color w:val="000000"/>
                <w:sz w:val="20"/>
              </w:rPr>
              <w:t>Mutant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6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/>
                <w:color w:val="000000"/>
                <w:sz w:val="20"/>
              </w:rPr>
              <w:t>p53</w:t>
            </w:r>
          </w:p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6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/>
                <w:color w:val="000000"/>
                <w:sz w:val="20"/>
              </w:rPr>
              <w:t>for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6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/>
                <w:color w:val="000000"/>
                <w:sz w:val="20"/>
              </w:rPr>
              <w:t>Cancer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6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/>
                <w:color w:val="000000"/>
                <w:sz w:val="20"/>
              </w:rPr>
              <w:t>Therapy.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6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/>
                <w:color w:val="000000"/>
                <w:sz w:val="20"/>
              </w:rPr>
              <w:t>Front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6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/>
                <w:color w:val="000000"/>
                <w:sz w:val="20"/>
              </w:rPr>
              <w:t>Oncol.</w:t>
            </w:r>
          </w:p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6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/>
                <w:color w:val="000000"/>
                <w:sz w:val="20"/>
              </w:rPr>
              <w:t>2015</w:t>
            </w:r>
          </w:p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6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/>
                <w:color w:val="000000"/>
                <w:sz w:val="20"/>
              </w:rPr>
              <w:t>Dec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6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/>
                <w:color w:val="000000"/>
                <w:sz w:val="20"/>
              </w:rPr>
              <w:t>21;5:288.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6" w:after="0"/>
              <w:ind w:left="92" w:right="0" w:firstLine="0"/>
              <w:jc w:val="left"/>
            </w:pPr>
            <w:r>
              <w:rPr>
                <w:rFonts w:ascii="Cambria" w:hAnsi="Cambria" w:eastAsia="Cambria"/>
                <w:b w:val="0"/>
                <w:i/>
                <w:color w:val="000000"/>
                <w:sz w:val="20"/>
              </w:rPr>
              <w:t>doi:</w:t>
            </w:r>
          </w:p>
        </w:tc>
      </w:tr>
    </w:tbl>
    <w:p>
      <w:pPr>
        <w:autoSpaceDN w:val="0"/>
        <w:autoSpaceDE w:val="0"/>
        <w:widowControl/>
        <w:spacing w:line="240" w:lineRule="auto" w:before="18" w:after="0"/>
        <w:ind w:left="1074" w:right="0" w:firstLine="0"/>
        <w:jc w:val="left"/>
      </w:pPr>
      <w:r>
        <w:rPr>
          <w:rFonts w:ascii="Cambria" w:hAnsi="Cambria" w:eastAsia="Cambria"/>
          <w:b w:val="0"/>
          <w:i/>
          <w:color w:val="000000"/>
          <w:sz w:val="20"/>
        </w:rPr>
        <w:t>10.3389/fonc.2015.00288. eCollection 2015. PMID: 26732534</w:t>
      </w:r>
    </w:p>
    <w:p>
      <w:pPr>
        <w:autoSpaceDN w:val="0"/>
        <w:tabs>
          <w:tab w:pos="1074" w:val="left"/>
        </w:tabs>
        <w:autoSpaceDE w:val="0"/>
        <w:widowControl/>
        <w:spacing w:line="259" w:lineRule="auto" w:before="110" w:after="0"/>
        <w:ind w:left="714" w:right="1152" w:firstLine="0"/>
        <w:jc w:val="left"/>
      </w:pPr>
      <w:r>
        <w:rPr>
          <w:rFonts w:ascii="Cambria" w:hAnsi="Cambria" w:eastAsia="Cambria"/>
          <w:b w:val="0"/>
          <w:i/>
          <w:color w:val="000000"/>
          <w:sz w:val="20"/>
        </w:rPr>
        <w:t xml:space="preserve">Zhao et al. Molecularly targeted therapies for p53-mutant cancers. Cell. Mol. Life Sci. 2017 Nov;74(22):4171-4187. PMID: </w:t>
      </w:r>
      <w:r>
        <w:tab/>
      </w:r>
      <w:r>
        <w:rPr>
          <w:rFonts w:ascii="Cambria" w:hAnsi="Cambria" w:eastAsia="Cambria"/>
          <w:b w:val="0"/>
          <w:i/>
          <w:color w:val="000000"/>
          <w:sz w:val="20"/>
        </w:rPr>
        <w:t>28643165</w:t>
      </w:r>
    </w:p>
    <w:p>
      <w:pPr>
        <w:autoSpaceDN w:val="0"/>
        <w:tabs>
          <w:tab w:pos="1074" w:val="left"/>
        </w:tabs>
        <w:autoSpaceDE w:val="0"/>
        <w:widowControl/>
        <w:spacing w:line="259" w:lineRule="auto" w:before="112" w:after="0"/>
        <w:ind w:left="714" w:right="1440" w:firstLine="0"/>
        <w:jc w:val="left"/>
      </w:pPr>
      <w:r>
        <w:rPr>
          <w:rFonts w:ascii="Cambria" w:hAnsi="Cambria" w:eastAsia="Cambria"/>
          <w:b w:val="0"/>
          <w:i/>
          <w:color w:val="000000"/>
          <w:sz w:val="20"/>
        </w:rPr>
        <w:t xml:space="preserve">Louis et al. The 2021 WHO Classification of Tumors of the Central Nervous System: a summary. Neuro Oncol. 2021 Aug </w:t>
      </w:r>
      <w:r>
        <w:tab/>
      </w:r>
      <w:r>
        <w:rPr>
          <w:rFonts w:ascii="Cambria" w:hAnsi="Cambria" w:eastAsia="Cambria"/>
          <w:b w:val="0"/>
          <w:i/>
          <w:color w:val="000000"/>
          <w:sz w:val="20"/>
        </w:rPr>
        <w:t>2;23(8):1231-1251. PMID: 34185076</w:t>
      </w:r>
    </w:p>
    <w:p>
      <w:pPr>
        <w:autoSpaceDN w:val="0"/>
        <w:autoSpaceDE w:val="0"/>
        <w:widowControl/>
        <w:spacing w:line="240" w:lineRule="auto" w:before="126" w:after="0"/>
        <w:ind w:left="714" w:right="0" w:firstLine="0"/>
        <w:jc w:val="left"/>
      </w:pPr>
      <w:r>
        <w:rPr>
          <w:rFonts w:ascii="Cambria" w:hAnsi="Cambria" w:eastAsia="Cambria"/>
          <w:b w:val="0"/>
          <w:i/>
          <w:color w:val="000000"/>
          <w:sz w:val="20"/>
        </w:rPr>
        <w:t>NCCN Guidelines&amp;amp;reg; - NCCN-Acute Myeloid Leukemia [Version 2.2025]</w:t>
      </w:r>
    </w:p>
    <w:p>
      <w:pPr>
        <w:autoSpaceDN w:val="0"/>
        <w:tabs>
          <w:tab w:pos="1074" w:val="left"/>
        </w:tabs>
        <w:autoSpaceDE w:val="0"/>
        <w:widowControl/>
        <w:spacing w:line="259" w:lineRule="auto" w:before="110" w:after="0"/>
        <w:ind w:left="714" w:right="1152" w:firstLine="0"/>
        <w:jc w:val="left"/>
      </w:pPr>
      <w:r>
        <w:rPr>
          <w:rFonts w:ascii="Cambria" w:hAnsi="Cambria" w:eastAsia="Cambria"/>
          <w:b w:val="0"/>
          <w:i/>
          <w:color w:val="000000"/>
          <w:sz w:val="20"/>
        </w:rPr>
        <w:t xml:space="preserve">Döhner et al. Diagnosis and management of AML in adults: 2022 recommendations from an international expert panel on </w:t>
      </w:r>
      <w:r>
        <w:tab/>
      </w:r>
      <w:r>
        <w:rPr>
          <w:rFonts w:ascii="Cambria" w:hAnsi="Cambria" w:eastAsia="Cambria"/>
          <w:b w:val="0"/>
          <w:i/>
          <w:color w:val="000000"/>
          <w:sz w:val="20"/>
        </w:rPr>
        <w:t>behalf of the ELN. Blood. 2022 Sep 22;140(12):1345-1377. PMID: 35797463</w:t>
      </w:r>
    </w:p>
    <w:p>
      <w:pPr>
        <w:autoSpaceDN w:val="0"/>
        <w:autoSpaceDE w:val="0"/>
        <w:widowControl/>
        <w:spacing w:line="240" w:lineRule="auto" w:before="112" w:after="0"/>
        <w:ind w:left="714" w:right="0" w:firstLine="0"/>
        <w:jc w:val="left"/>
      </w:pPr>
      <w:r>
        <w:rPr>
          <w:rFonts w:ascii="Cambria" w:hAnsi="Cambria" w:eastAsia="Cambria"/>
          <w:b w:val="0"/>
          <w:i/>
          <w:color w:val="000000"/>
          <w:sz w:val="20"/>
        </w:rPr>
        <w:t>NCCN Guidelines&amp;amp;reg; - NCCN-Myelodysplastic Syndromes [Version 2.2025]</w:t>
      </w:r>
    </w:p>
    <w:p>
      <w:pPr>
        <w:autoSpaceDN w:val="0"/>
        <w:autoSpaceDE w:val="0"/>
        <w:widowControl/>
        <w:spacing w:line="240" w:lineRule="auto" w:before="126" w:after="0"/>
        <w:ind w:left="714" w:right="0" w:firstLine="0"/>
        <w:jc w:val="left"/>
      </w:pPr>
      <w:r>
        <w:rPr>
          <w:rFonts w:ascii="Cambria" w:hAnsi="Cambria" w:eastAsia="Cambria"/>
          <w:b w:val="0"/>
          <w:i/>
          <w:color w:val="000000"/>
          <w:sz w:val="20"/>
        </w:rPr>
        <w:t>NCCN Guidelines&amp;amp;reg; - NCCN-Myeloproliferative Neoplasms [Version 1.2025]</w:t>
      </w:r>
    </w:p>
    <w:p>
      <w:pPr>
        <w:autoSpaceDN w:val="0"/>
        <w:autoSpaceDE w:val="0"/>
        <w:widowControl/>
        <w:spacing w:line="240" w:lineRule="auto" w:before="110" w:after="0"/>
        <w:ind w:left="714" w:right="0" w:firstLine="0"/>
        <w:jc w:val="left"/>
      </w:pPr>
      <w:r>
        <w:rPr>
          <w:rFonts w:ascii="Cambria" w:hAnsi="Cambria" w:eastAsia="Cambria"/>
          <w:b w:val="0"/>
          <w:i/>
          <w:color w:val="000000"/>
          <w:sz w:val="20"/>
        </w:rPr>
        <w:t>NCCN Guidelines&amp;amp;reg; - NCCN-Chronic Lymphocytic Leukemia/Small Lymphocytic Lymphoma [Version 3.2025]</w:t>
      </w:r>
    </w:p>
    <w:p>
      <w:pPr>
        <w:autoSpaceDN w:val="0"/>
        <w:autoSpaceDE w:val="0"/>
        <w:widowControl/>
        <w:spacing w:line="240" w:lineRule="auto" w:before="112" w:after="0"/>
        <w:ind w:left="714" w:right="0" w:firstLine="0"/>
        <w:jc w:val="left"/>
      </w:pPr>
      <w:r>
        <w:rPr>
          <w:rFonts w:ascii="Cambria" w:hAnsi="Cambria" w:eastAsia="Cambria"/>
          <w:b w:val="0"/>
          <w:i/>
          <w:color w:val="000000"/>
          <w:sz w:val="20"/>
        </w:rPr>
        <w:t>NCCN Guidelines&amp;amp;reg; - NCCN-Acute Lymphoblastic Leukemia [Version 3.2024]</w:t>
      </w:r>
    </w:p>
    <w:p>
      <w:pPr>
        <w:autoSpaceDN w:val="0"/>
        <w:autoSpaceDE w:val="0"/>
        <w:widowControl/>
        <w:spacing w:line="240" w:lineRule="auto" w:before="126" w:after="0"/>
        <w:ind w:left="714" w:right="0" w:firstLine="0"/>
        <w:jc w:val="left"/>
      </w:pPr>
      <w:r>
        <w:rPr>
          <w:rFonts w:ascii="Cambria" w:hAnsi="Cambria" w:eastAsia="Cambria"/>
          <w:b w:val="0"/>
          <w:i/>
          <w:color w:val="000000"/>
          <w:sz w:val="20"/>
        </w:rPr>
        <w:t>NCCN Guidelines&amp;amp;reg; - NCCN-B-Cell Lymphomas [Version 2.2025]</w:t>
      </w:r>
    </w:p>
    <w:p>
      <w:pPr>
        <w:autoSpaceDN w:val="0"/>
        <w:autoSpaceDE w:val="0"/>
        <w:widowControl/>
        <w:spacing w:line="240" w:lineRule="auto" w:before="944" w:after="0"/>
        <w:ind w:left="0" w:right="802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142999" cy="1115059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142999" cy="11150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18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300" w:after="0"/>
        <w:ind w:left="0" w:right="518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648460" cy="6477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48460" cy="647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2826" w:after="0"/>
        <w:ind w:left="716" w:right="0" w:firstLine="0"/>
        <w:jc w:val="left"/>
      </w:pPr>
      <w:r>
        <w:rPr>
          <w:rFonts w:ascii="Cambria" w:hAnsi="Cambria" w:eastAsia="Cambria"/>
          <w:b w:val="0"/>
          <w:i/>
          <w:color w:val="000000"/>
          <w:sz w:val="20"/>
        </w:rPr>
        <w:t>Bernard et al. Implications of TP53 allelic state for genome stability, clinical presentation and outcomes in myelodysplastic</w:t>
      </w:r>
    </w:p>
    <w:p>
      <w:pPr>
        <w:autoSpaceDN w:val="0"/>
        <w:autoSpaceDE w:val="0"/>
        <w:widowControl/>
        <w:spacing w:line="240" w:lineRule="auto" w:before="36" w:after="0"/>
        <w:ind w:left="1076" w:right="0" w:firstLine="0"/>
        <w:jc w:val="left"/>
      </w:pPr>
      <w:r>
        <w:rPr>
          <w:rFonts w:ascii="Cambria" w:hAnsi="Cambria" w:eastAsia="Cambria"/>
          <w:b w:val="0"/>
          <w:i/>
          <w:color w:val="000000"/>
          <w:sz w:val="20"/>
        </w:rPr>
        <w:t>syndromes. Nat. Med. 2020 Aug 3. PMID: 32747829</w:t>
      </w:r>
    </w:p>
    <w:p>
      <w:pPr>
        <w:autoSpaceDN w:val="0"/>
        <w:autoSpaceDE w:val="0"/>
        <w:widowControl/>
        <w:spacing w:line="240" w:lineRule="auto" w:before="576" w:after="0"/>
        <w:ind w:left="0" w:right="0" w:firstLine="0"/>
        <w:jc w:val="center"/>
      </w:pPr>
      <w:r>
        <w:rPr>
          <w:rFonts w:ascii="Cambria" w:hAnsi="Cambria" w:eastAsia="Cambria"/>
          <w:b w:val="0"/>
          <w:i w:val="0"/>
          <w:color w:val="000000"/>
          <w:sz w:val="20"/>
        </w:rPr>
        <w:t>------------------ End Of Report ------------------</w:t>
      </w:r>
    </w:p>
    <w:p>
      <w:pPr>
        <w:autoSpaceDN w:val="0"/>
        <w:autoSpaceDE w:val="0"/>
        <w:widowControl/>
        <w:spacing w:line="240" w:lineRule="auto" w:before="9044" w:after="0"/>
        <w:ind w:left="0" w:right="802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142999" cy="1115059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142999" cy="1115059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18" w:h="16838"/>
      <w:pgMar w:top="0" w:right="0" w:bottom="0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