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734" w:after="658"/>
        <w:ind w:left="0" w:right="0" w:firstLine="0"/>
        <w:jc w:val="center"/>
      </w:pPr>
      <w:r>
        <w:rPr>
          <w:rFonts w:ascii="Cambria" w:hAnsi="Cambria" w:eastAsia="Cambria"/>
          <w:b/>
          <w:i/>
          <w:color w:val="008080"/>
          <w:sz w:val="28"/>
        </w:rPr>
        <w:t>TEST NAME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480"/>
        </w:trPr>
        <w:tc>
          <w:tcPr>
            <w:tcW w:type="dxa" w:w="10702"/>
            <w:tcBorders>
              <w:start w:sz="12.0" w:val="single" w:color="#000000"/>
              <w:top w:sz="6.400000000000091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84" w:right="8208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Clinical Indication: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Metastatic Adenocarcinoma</w:t>
            </w:r>
          </w:p>
        </w:tc>
      </w:tr>
    </w:tbl>
    <w:p>
      <w:pPr>
        <w:autoSpaceDN w:val="0"/>
        <w:autoSpaceDE w:val="0"/>
        <w:widowControl/>
        <w:spacing w:line="2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616"/>
        </w:trPr>
        <w:tc>
          <w:tcPr>
            <w:tcW w:type="dxa" w:w="10702"/>
            <w:tcBorders>
              <w:start w:sz="12.0" w:val="single" w:color="#000000"/>
              <w:top w:sz="6.400000000000091" w:val="single" w:color="#000000"/>
              <w:end w:sz="5.600000000000364" w:val="single" w:color="#000000"/>
              <w:bottom w:sz="6.400000000000091" w:val="single" w:color="#000000"/>
            </w:tcBorders>
            <w:shd w:fill="ff0000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10" w:val="left"/>
              </w:tabs>
              <w:autoSpaceDE w:val="0"/>
              <w:widowControl/>
              <w:spacing w:line="245" w:lineRule="auto" w:before="50" w:after="0"/>
              <w:ind w:left="3662" w:right="3456" w:firstLine="0"/>
              <w:jc w:val="left"/>
            </w:pPr>
            <w:r>
              <w:tab/>
            </w:r>
            <w:r>
              <w:rPr>
                <w:rFonts w:ascii="Cambria" w:hAnsi="Cambria" w:eastAsia="Cambria"/>
                <w:b/>
                <w:i w:val="0"/>
                <w:color w:val="C00000"/>
                <w:sz w:val="28"/>
              </w:rPr>
              <w:t xml:space="preserve">Positive </w:t>
            </w:r>
            <w:r>
              <w:br/>
            </w:r>
            <w:r>
              <w:rPr>
                <w:rFonts w:ascii="Cambria" w:hAnsi="Cambria" w:eastAsia="Cambria"/>
                <w:b/>
                <w:i w:val="0"/>
                <w:color w:val="C00000"/>
                <w:sz w:val="20"/>
              </w:rPr>
              <w:t>(Clinically significant Variant detected)</w:t>
            </w:r>
          </w:p>
        </w:tc>
      </w:tr>
    </w:tbl>
    <w:p>
      <w:pPr>
        <w:autoSpaceDN w:val="0"/>
        <w:autoSpaceDE w:val="0"/>
        <w:widowControl/>
        <w:spacing w:line="240" w:lineRule="auto" w:before="296" w:after="164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C00000"/>
          <w:sz w:val="24"/>
        </w:rPr>
        <w:t>Report Highlights: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66"/>
        </w:trPr>
        <w:tc>
          <w:tcPr>
            <w:tcW w:type="dxa" w:w="1364"/>
            <w:tcBorders>
              <w:start w:sz="12.0" w:val="single" w:color="#000000"/>
              <w:top w:sz="12.0" w:val="single" w:color="#000000"/>
              <w:end w:sz="12.0" w:val="single" w:color="#000000"/>
              <w:bottom w:sz="5.599999999999909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Tier 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Tier I</w:t>
            </w:r>
          </w:p>
        </w:tc>
        <w:tc>
          <w:tcPr>
            <w:tcW w:type="dxa" w:w="13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Tier II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Tier II</w:t>
            </w:r>
          </w:p>
        </w:tc>
        <w:tc>
          <w:tcPr>
            <w:tcW w:type="dxa" w:w="141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III </w:t>
            </w: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>Tier III</w:t>
            </w:r>
          </w:p>
        </w:tc>
        <w:tc>
          <w:tcPr>
            <w:tcW w:type="dxa" w:w="144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MSI </w:t>
            </w: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>MSI</w:t>
            </w:r>
          </w:p>
        </w:tc>
        <w:tc>
          <w:tcPr>
            <w:tcW w:type="dxa" w:w="201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Therapies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Therapies</w:t>
            </w:r>
          </w:p>
        </w:tc>
        <w:tc>
          <w:tcPr>
            <w:tcW w:type="dxa" w:w="3102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Clinical Trials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Clinical Trials</w:t>
            </w:r>
          </w:p>
        </w:tc>
      </w:tr>
      <w:tr>
        <w:trPr>
          <w:trHeight w:hRule="exact" w:val="390"/>
        </w:trPr>
        <w:tc>
          <w:tcPr>
            <w:tcW w:type="dxa" w:w="1364"/>
            <w:tcBorders>
              <w:start w:sz="12.0" w:val="single" w:color="#000000"/>
              <w:top w:sz="5.599999999999909" w:val="single" w:color="#000000"/>
              <w:end w:sz="6.399999999999977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364"/>
            <w:tcBorders>
              <w:start w:sz="6.399999999999977" w:val="single" w:color="#000000"/>
              <w:top w:sz="12.0" w:val="single" w:color="#000000"/>
              <w:end w:sz="6.400000000000091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410"/>
            <w:tcBorders>
              <w:start w:sz="6.400000000000091" w:val="single" w:color="#000000"/>
              <w:top w:sz="12.0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440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008000"/>
                <w:sz w:val="20"/>
              </w:rPr>
              <w:t>Stable</w:t>
            </w:r>
          </w:p>
        </w:tc>
        <w:tc>
          <w:tcPr>
            <w:tcW w:type="dxa" w:w="2010"/>
            <w:tcBorders>
              <w:start w:sz="5.599999999999909" w:val="single" w:color="#000000"/>
              <w:top w:sz="12.0" w:val="single" w:color="#000000"/>
              <w:end w:sz="6.400000000000091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3102"/>
            <w:tcBorders>
              <w:start w:sz="6.400000000000091" w:val="single" w:color="#000000"/>
              <w:top w:sz="12.0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43</w:t>
            </w:r>
          </w:p>
        </w:tc>
      </w:tr>
    </w:tbl>
    <w:p>
      <w:pPr>
        <w:autoSpaceDN w:val="0"/>
        <w:autoSpaceDE w:val="0"/>
        <w:widowControl/>
        <w:spacing w:line="240" w:lineRule="auto" w:before="274" w:after="164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Key Findings: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463"/>
        </w:trPr>
        <w:tc>
          <w:tcPr>
            <w:tcW w:type="dxa" w:w="1516"/>
            <w:tcBorders>
              <w:start w:sz="12.0" w:val="single" w:color="#000000"/>
              <w:top w:sz="12.0" w:val="single" w:color="#000000"/>
              <w:end w:sz="12.0" w:val="single" w:color="#000000"/>
              <w:bottom w:sz="12.800000000000182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Tier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Tier</w:t>
            </w:r>
          </w:p>
        </w:tc>
        <w:tc>
          <w:tcPr>
            <w:tcW w:type="dxa" w:w="2818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Gene &amp; Transcript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Gene &amp; Transcript</w:t>
            </w:r>
          </w:p>
        </w:tc>
        <w:tc>
          <w:tcPr>
            <w:tcW w:type="dxa" w:w="2642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Variant</w:t>
            </w:r>
          </w:p>
        </w:tc>
        <w:tc>
          <w:tcPr>
            <w:tcW w:type="dxa" w:w="1568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Exon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Exon</w:t>
            </w:r>
          </w:p>
        </w:tc>
        <w:tc>
          <w:tcPr>
            <w:tcW w:type="dxa" w:w="214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Coverage/VAF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Coverage/ VAF</w:t>
            </w:r>
          </w:p>
        </w:tc>
      </w:tr>
      <w:tr>
        <w:trPr>
          <w:trHeight w:hRule="exact" w:val="617"/>
        </w:trPr>
        <w:tc>
          <w:tcPr>
            <w:tcW w:type="dxa" w:w="1516"/>
            <w:tcBorders>
              <w:start w:sz="12.0" w:val="single" w:color="#000000"/>
              <w:top w:sz="12.800000000000182" w:val="single" w:color="#000000"/>
              <w:end w:sz="12.0" w:val="single" w:color="#000000"/>
              <w:bottom w:sz="5.599999999999909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IIC</w:t>
            </w:r>
          </w:p>
        </w:tc>
        <w:tc>
          <w:tcPr>
            <w:tcW w:type="dxa" w:w="2818"/>
            <w:tcBorders>
              <w:start w:sz="12.0" w:val="single" w:color="#000000"/>
              <w:top w:sz="12.0" w:val="single" w:color="#000000"/>
              <w:end w:sz="5.599999999999909" w:val="single" w:color="#000000"/>
              <w:bottom w:sz="5.599999999999909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4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NM_000546.6</w:t>
            </w:r>
          </w:p>
        </w:tc>
        <w:tc>
          <w:tcPr>
            <w:tcW w:type="dxa" w:w="2642"/>
            <w:tcBorders>
              <w:start w:sz="5.599999999999909" w:val="single" w:color="#000000"/>
              <w:top w:sz="12.0" w:val="single" w:color="#000000"/>
              <w:end w:sz="12.0" w:val="single" w:color="#000000"/>
              <w:bottom w:sz="5.599999999999909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4" w:after="0"/>
              <w:ind w:left="864" w:right="864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1568"/>
            <w:tcBorders>
              <w:start w:sz="12.0" w:val="single" w:color="#000000"/>
              <w:top w:sz="12.0" w:val="single" w:color="#000000"/>
              <w:end w:sz="6.400000000000091" w:val="single" w:color="#000000"/>
              <w:bottom w:sz="5.599999999999909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146"/>
            <w:tcBorders>
              <w:start w:sz="6.400000000000091" w:val="single" w:color="#000000"/>
              <w:top w:sz="12.0" w:val="single" w:color="#000000"/>
              <w:end w:sz="5.600000000000364" w:val="single" w:color="#000000"/>
              <w:bottom w:sz="5.599999999999909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4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691x /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93.13%</w:t>
            </w:r>
          </w:p>
        </w:tc>
      </w:tr>
    </w:tbl>
    <w:p>
      <w:pPr>
        <w:autoSpaceDN w:val="0"/>
        <w:autoSpaceDE w:val="0"/>
        <w:widowControl/>
        <w:spacing w:line="259" w:lineRule="auto" w:before="44" w:after="0"/>
        <w:ind w:left="714" w:right="3024" w:firstLine="2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*Genetic test results are reported based on the recommendations of AMP-ASCO-CAP guidelines. </w:t>
      </w:r>
      <w:r>
        <w:rPr>
          <w:rFonts w:ascii="Cambria" w:hAnsi="Cambria" w:eastAsia="Cambria"/>
          <w:b w:val="0"/>
          <w:i/>
          <w:color w:val="000000"/>
          <w:sz w:val="20"/>
        </w:rPr>
        <w:t>**Public data sources included in relevant targeted therapies, guidelines: EMA, FDA, ESMO, NCCN.</w:t>
      </w:r>
    </w:p>
    <w:p>
      <w:pPr>
        <w:autoSpaceDN w:val="0"/>
        <w:autoSpaceDE w:val="0"/>
        <w:widowControl/>
        <w:spacing w:line="240" w:lineRule="auto" w:before="222" w:after="176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Multi-Gene Biomarkers Results: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3013"/>
        <w:gridCol w:w="3013"/>
        <w:gridCol w:w="3013"/>
      </w:tblGrid>
      <w:tr>
        <w:trPr>
          <w:trHeight w:hRule="exact" w:val="447"/>
        </w:trPr>
        <w:tc>
          <w:tcPr>
            <w:tcW w:type="dxa" w:w="4428"/>
            <w:tcBorders>
              <w:start w:sz="12.0" w:val="single" w:color="#000000"/>
              <w:top w:sz="12.0" w:val="single" w:color="#000000"/>
              <w:end w:sz="12.0" w:val="single" w:color="#000000"/>
              <w:bottom w:sz="12.799999999999272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Assay Biomarker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Assay Biomarker</w:t>
            </w:r>
          </w:p>
        </w:tc>
        <w:tc>
          <w:tcPr>
            <w:tcW w:type="dxa" w:w="3048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Result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Result</w:t>
            </w:r>
          </w:p>
        </w:tc>
        <w:tc>
          <w:tcPr>
            <w:tcW w:type="dxa" w:w="321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Interpretation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Interpretation</w:t>
            </w:r>
          </w:p>
        </w:tc>
      </w:tr>
      <w:tr>
        <w:trPr>
          <w:trHeight w:hRule="exact" w:val="485"/>
        </w:trPr>
        <w:tc>
          <w:tcPr>
            <w:tcW w:type="dxa" w:w="4428"/>
            <w:tcBorders>
              <w:start w:sz="12.0" w:val="single" w:color="#000000"/>
              <w:top w:sz="12.799999999999272" w:val="single" w:color="#000000"/>
              <w:end w:sz="12.0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Microsatellite Instability (MSI)</w:t>
            </w:r>
          </w:p>
        </w:tc>
        <w:tc>
          <w:tcPr>
            <w:tcW w:type="dxa" w:w="3048"/>
            <w:tcBorders>
              <w:start w:sz="12.0" w:val="single" w:color="#000000"/>
              <w:top w:sz="12.0" w:val="single" w:color="#000000"/>
              <w:end w:sz="12.800000000000182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008000"/>
                <w:sz w:val="20"/>
              </w:rPr>
              <w:t>Stable</w:t>
            </w:r>
          </w:p>
        </w:tc>
        <w:tc>
          <w:tcPr>
            <w:tcW w:type="dxa" w:w="3214"/>
            <w:tcBorders>
              <w:start w:sz="12.800000000000182" w:val="single" w:color="#000000"/>
              <w:top w:sz="12.0" w:val="single" w:color="#000000"/>
              <w:end w:sz="5.600000000000364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32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C00000"/>
                <w:sz w:val="20"/>
              </w:rPr>
              <w:t>Stable Microsatellite detected</w:t>
            </w:r>
          </w:p>
        </w:tc>
      </w:tr>
    </w:tbl>
    <w:p>
      <w:pPr>
        <w:autoSpaceDN w:val="0"/>
        <w:autoSpaceDE w:val="0"/>
        <w:widowControl/>
        <w:spacing w:line="259" w:lineRule="auto" w:before="42" w:after="0"/>
        <w:ind w:left="714" w:right="1296" w:firstLine="2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# Correlation of the genetic findings with the clinical condition of the patient is required to arrive at accurate diagnosis, </w:t>
      </w:r>
      <w:r>
        <w:rPr>
          <w:rFonts w:ascii="Cambria" w:hAnsi="Cambria" w:eastAsia="Cambria"/>
          <w:b w:val="0"/>
          <w:i/>
          <w:color w:val="000000"/>
          <w:sz w:val="20"/>
        </w:rPr>
        <w:t>prognosis or therapeutic decisions.</w:t>
      </w:r>
    </w:p>
    <w:p>
      <w:pPr>
        <w:autoSpaceDN w:val="0"/>
        <w:autoSpaceDE w:val="0"/>
        <w:widowControl/>
        <w:spacing w:line="240" w:lineRule="auto" w:before="1874" w:after="0"/>
        <w:ind w:left="0" w:right="80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142999" cy="111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2999" cy="111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802" w:after="180"/>
        <w:ind w:left="95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Clinical Significance: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3013"/>
        <w:gridCol w:w="3013"/>
        <w:gridCol w:w="3013"/>
      </w:tblGrid>
      <w:tr>
        <w:trPr>
          <w:trHeight w:hRule="exact" w:val="513"/>
        </w:trPr>
        <w:tc>
          <w:tcPr>
            <w:tcW w:type="dxa" w:w="3554"/>
            <w:tcBorders>
              <w:start w:sz="12.0" w:val="single" w:color="#000000"/>
              <w:top w:sz="12.0" w:val="single" w:color="#000000"/>
              <w:end w:sz="12.0" w:val="single" w:color="#000000"/>
              <w:bottom w:sz="5.599999999999909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Variant</w:t>
            </w:r>
          </w:p>
        </w:tc>
        <w:tc>
          <w:tcPr>
            <w:tcW w:type="dxa" w:w="7134"/>
            <w:gridSpan w:val="2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Therapy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Therapy</w:t>
            </w:r>
          </w:p>
        </w:tc>
      </w:tr>
      <w:tr>
        <w:trPr>
          <w:trHeight w:hRule="exact" w:val="521"/>
        </w:trPr>
        <w:tc>
          <w:tcPr>
            <w:tcW w:type="dxa" w:w="3554"/>
            <w:tcBorders>
              <w:start w:sz="12.0" w:val="single" w:color="#000000"/>
              <w:top w:sz="5.599999999999909" w:val="single" w:color="#000000"/>
              <w:end w:sz="12.0" w:val="single" w:color="#000000"/>
              <w:bottom w:sz="12.800000000000182" w:val="single" w:color="#000000"/>
            </w:tcBorders>
            <w:shd w:fill="a5a6a5"/>
            <w:tcMar>
              <w:start w:w="0" w:type="dxa"/>
              <w:end w:w="0" w:type="dxa"/>
            </w:tcMar>
          </w:tcPr>
          <w:p/>
        </w:tc>
        <w:tc>
          <w:tcPr>
            <w:tcW w:type="dxa" w:w="356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a5a6a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7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>In This Cancer</w:t>
            </w:r>
          </w:p>
        </w:tc>
        <w:tc>
          <w:tcPr>
            <w:tcW w:type="dxa" w:w="3574"/>
            <w:tcBorders>
              <w:start w:sz="12.0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shd w:fill="a5a6a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7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>In Other Cancer</w:t>
            </w:r>
          </w:p>
        </w:tc>
      </w:tr>
      <w:tr>
        <w:trPr>
          <w:trHeight w:hRule="exact" w:val="977"/>
        </w:trPr>
        <w:tc>
          <w:tcPr>
            <w:tcW w:type="dxa" w:w="3554"/>
            <w:tcBorders>
              <w:start w:sz="12.0" w:val="single" w:color="#000000"/>
              <w:top w:sz="12.800000000000182" w:val="single" w:color="#000000"/>
              <w:end w:sz="12.0" w:val="single" w:color="#000000"/>
              <w:bottom w:sz="5.599999999999909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30" w:after="0"/>
              <w:ind w:left="1296" w:right="1296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IIC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356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34" w:after="0"/>
              <w:ind w:left="9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6666"/>
                <w:sz w:val="24"/>
              </w:rPr>
              <w:t>▪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None*</w:t>
            </w:r>
          </w:p>
        </w:tc>
        <w:tc>
          <w:tcPr>
            <w:tcW w:type="dxa" w:w="357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34" w:after="0"/>
              <w:ind w:left="10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6666"/>
                <w:sz w:val="24"/>
              </w:rPr>
              <w:t>▪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None*</w:t>
            </w:r>
          </w:p>
        </w:tc>
      </w:tr>
    </w:tbl>
    <w:p>
      <w:pPr>
        <w:autoSpaceDN w:val="0"/>
        <w:autoSpaceDE w:val="0"/>
        <w:widowControl/>
        <w:spacing w:line="3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3013"/>
        <w:gridCol w:w="3013"/>
        <w:gridCol w:w="3013"/>
      </w:tblGrid>
      <w:tr>
        <w:trPr>
          <w:trHeight w:hRule="exact" w:val="462"/>
        </w:trPr>
        <w:tc>
          <w:tcPr>
            <w:tcW w:type="dxa" w:w="2770"/>
            <w:tcBorders>
              <w:start w:sz="12.0" w:val="single" w:color="#000000"/>
              <w:top w:sz="12.0" w:val="single" w:color="#000000"/>
              <w:end w:sz="12.0" w:val="single" w:color="#000000"/>
              <w:bottom w:sz="5.599999999999909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8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Variant</w:t>
            </w:r>
          </w:p>
        </w:tc>
        <w:tc>
          <w:tcPr>
            <w:tcW w:type="dxa" w:w="3952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8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Diagnostic Significance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Diagnostic Significance</w:t>
            </w:r>
          </w:p>
        </w:tc>
        <w:tc>
          <w:tcPr>
            <w:tcW w:type="dxa" w:w="3968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8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Prognostic Significance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Prognostic Significance</w:t>
            </w:r>
          </w:p>
        </w:tc>
      </w:tr>
      <w:tr>
        <w:trPr>
          <w:trHeight w:hRule="exact" w:val="618"/>
        </w:trPr>
        <w:tc>
          <w:tcPr>
            <w:tcW w:type="dxa" w:w="2770"/>
            <w:tcBorders>
              <w:start w:sz="12.0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16" w:after="0"/>
              <w:ind w:left="864" w:right="864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3952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5.599999999999909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12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None*</w:t>
            </w:r>
          </w:p>
        </w:tc>
        <w:tc>
          <w:tcPr>
            <w:tcW w:type="dxa" w:w="3968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5.599999999999909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12" w:after="0"/>
              <w:ind w:left="10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None*</w:t>
            </w:r>
          </w:p>
        </w:tc>
      </w:tr>
    </w:tbl>
    <w:p>
      <w:pPr>
        <w:autoSpaceDN w:val="0"/>
        <w:autoSpaceDE w:val="0"/>
        <w:widowControl/>
        <w:spacing w:line="240" w:lineRule="auto" w:before="258" w:after="180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Biomarker Description: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4519"/>
        <w:gridCol w:w="4519"/>
      </w:tblGrid>
      <w:tr>
        <w:trPr>
          <w:trHeight w:hRule="exact" w:val="449"/>
        </w:trPr>
        <w:tc>
          <w:tcPr>
            <w:tcW w:type="dxa" w:w="2342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Variant</w:t>
            </w:r>
          </w:p>
        </w:tc>
        <w:tc>
          <w:tcPr>
            <w:tcW w:type="dxa" w:w="8348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Biomarker Description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Biomarker Description</w:t>
            </w:r>
          </w:p>
        </w:tc>
      </w:tr>
      <w:tr>
        <w:trPr>
          <w:trHeight w:hRule="exact" w:val="4538"/>
        </w:trPr>
        <w:tc>
          <w:tcPr>
            <w:tcW w:type="dxa" w:w="2342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799999999999272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22" w:after="0"/>
              <w:ind w:left="80" w:right="864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NM_000546.6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chr17:7578525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8348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2.799999999999272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18" w:after="0"/>
              <w:ind w:left="102" w:right="28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TP53 gene encodes the tumor suppressor protein p53, which binds to DNA and activates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transcription in response to diverse cellular stresses to induce cell cycle arrest, apoptosis, or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DNA repair[1]. In unstressed cells, TP53 is kept inactive by targeted degradation via MDM2,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substrate recognition factor for ubiquitin-dependent proteolysis[2]. Alterations in TP53 are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required for oncogenesis as they result in loss of protein function and gain of transforming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potential[3]. Germline mutations in TP53 are the underlying cause of Li-Fraumeni syndrome,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complex hereditary cancer predisposition disorder associated with early-onset cancers[4,5].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0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is the most frequently mutated gene in the cancer genome with approximately half of all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experiencing TP53 mutations. Ovarian, head and neck, esophageal, and lung squamous </w:t>
            </w:r>
            <w:r>
              <w:rPr>
                <w:rFonts w:ascii="Cambria" w:hAnsi="Cambria" w:eastAsia="Cambria"/>
                <w:b/>
                <w:i w:val="0"/>
                <w:color w:val="C00000"/>
                <w:sz w:val="20"/>
              </w:rPr>
              <w:t xml:space="preserve">cancers have particularly high TP53 mutation rates (60-90%)[6,7,8,9,10,11]. Approximately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two-thirds of TP53 mutations are missense mutations and several recurrent missense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mutations are common, including substitutions at codons R158, R175, Y220, R248, R273, and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R282[6,7]. Invariably, recurrent missense mutations in TP53 inactivate its ability to bind DNA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and activate transcription of target genes[12,13,14,15]. Alterations in TP53 are also observed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 pediatric cancers[6,7]. Somatic mutations are observed in 53% of non-Hodgkin lymphoma,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24% of soft tissue sarcoma, 19% of glioma, 13% of bone cancer, 9% of B-lymphoblastic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leukemia/lymphoma, 4% of embryonal tumors, 3% of Wilms tumor and leukemia, 2% of T-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lymphoblastic leukemia/lymphoma, and less than 1% of peripheral nervous system cancers (5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in 1158 cases )[6,7]. Biallelic loss of TP53 is observed in 10% of bone cancer, 2% of Wilms</w:t>
            </w:r>
          </w:p>
        </w:tc>
      </w:tr>
    </w:tbl>
    <w:p>
      <w:pPr>
        <w:autoSpaceDN w:val="0"/>
        <w:autoSpaceDE w:val="0"/>
        <w:widowControl/>
        <w:spacing w:line="240" w:lineRule="auto" w:before="690" w:after="0"/>
        <w:ind w:left="0" w:right="80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142999" cy="1115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2999" cy="111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24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4519"/>
        <w:gridCol w:w="4519"/>
      </w:tblGrid>
      <w:tr>
        <w:trPr>
          <w:trHeight w:hRule="exact" w:val="4569"/>
        </w:trPr>
        <w:tc>
          <w:tcPr>
            <w:tcW w:type="dxa" w:w="2342"/>
            <w:tcBorders>
              <w:start w:sz="12.0" w:val="single" w:color="#000000"/>
              <w:top w:sz="12.0" w:val="single" w:color="#000000"/>
              <w:end w:sz="12.0" w:val="single" w:color="#000000"/>
              <w:bottom w:sz="6.400000000000091" w:val="single" w:color="#000000"/>
            </w:tcBorders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834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9" w:lineRule="auto" w:before="72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tumor, and less than 1% of B-lymphoblastic leukemia/lymphoma (2 in 731 cases) and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tumor, and less than 1% of B-lymphoblastic leukemia/lymphoma (2 in 731 cases) and</w:t>
            </w:r>
          </w:p>
          <w:p>
            <w:pPr>
              <w:autoSpaceDN w:val="0"/>
              <w:tabs>
                <w:tab w:pos="136" w:val="left"/>
                <w:tab w:pos="2298" w:val="left"/>
                <w:tab w:pos="3908" w:val="left"/>
                <w:tab w:pos="5498" w:val="left"/>
                <w:tab w:pos="7252" w:val="left"/>
              </w:tabs>
              <w:autoSpaceDE w:val="0"/>
              <w:widowControl/>
              <w:spacing w:line="314" w:lineRule="auto" w:before="0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leukemia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leukemia (1 in 250 cases)[6,7]. The small molecule p53 reactivator, PC14586[16] (2020),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(1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250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cases)[6,7].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small molecule p53 reactivator, PC14586[16] (2020), received a fast track designation by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received a fast track designation by the FDA for advanced tumors harboring a TP53 Y220C</w:t>
            </w:r>
          </w:p>
          <w:p>
            <w:pPr>
              <w:autoSpaceDN w:val="0"/>
              <w:autoSpaceDE w:val="0"/>
              <w:widowControl/>
              <w:spacing w:line="286" w:lineRule="auto" w:before="0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FDA for advanced tumors harboring a TP53 Y220C mutation. The FDA has granted fast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mutation. The FDA has granted fast track designation to the p53 reactivator,</w:t>
            </w:r>
          </w:p>
          <w:p>
            <w:pPr>
              <w:autoSpaceDN w:val="0"/>
              <w:autoSpaceDE w:val="0"/>
              <w:widowControl/>
              <w:spacing w:line="269" w:lineRule="auto" w:before="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track designation to the p53 reactivator, eprenetapopt[17], (2019) and breakthrough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eprenetapopt[17], (2019) and breakthrough designation[18] (2020) in combination with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designation[18] (2020) in combination with azacitidine or azacitidine and venetoclax for acute</w:t>
            </w:r>
          </w:p>
          <w:p>
            <w:pPr>
              <w:autoSpaceDN w:val="0"/>
              <w:autoSpaceDE w:val="0"/>
              <w:widowControl/>
              <w:spacing w:line="242" w:lineRule="auto" w:before="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myelodysplastic syndrome (MDS) harboring a TP53 mutation, respectively. In addition to</w:t>
            </w:r>
          </w:p>
          <w:p>
            <w:pPr>
              <w:autoSpaceDN w:val="0"/>
              <w:autoSpaceDE w:val="0"/>
              <w:widowControl/>
              <w:spacing w:line="262" w:lineRule="auto" w:before="0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mutation, respectively. In addition to investigational therapies aimed at restoring wild-type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investigational therapies aimed at restoring wild-type TP53 activity, compounds that</w:t>
            </w:r>
          </w:p>
          <w:p>
            <w:pPr>
              <w:autoSpaceDN w:val="0"/>
              <w:tabs>
                <w:tab w:pos="178" w:val="left"/>
                <w:tab w:pos="732" w:val="left"/>
                <w:tab w:pos="1592" w:val="left"/>
                <w:tab w:pos="2776" w:val="left"/>
                <w:tab w:pos="3306" w:val="left"/>
                <w:tab w:pos="4066" w:val="left"/>
                <w:tab w:pos="5036" w:val="left"/>
                <w:tab w:pos="5928" w:val="left"/>
                <w:tab w:pos="6392" w:val="left"/>
                <w:tab w:pos="6922" w:val="left"/>
                <w:tab w:pos="7622" w:val="left"/>
              </w:tabs>
              <w:autoSpaceDE w:val="0"/>
              <w:widowControl/>
              <w:spacing w:line="259" w:lineRule="auto" w:before="0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induce synthetic lethality are also under clinical evaluation[19,20]. TP53 mutation are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activity,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compounds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that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induce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synthetic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lethality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are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also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under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clinical</w:t>
            </w:r>
          </w:p>
          <w:p>
            <w:pPr>
              <w:autoSpaceDN w:val="0"/>
              <w:autoSpaceDE w:val="0"/>
              <w:widowControl/>
              <w:spacing w:line="290" w:lineRule="auto" w:before="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evaluation[19,20]. TP53 mutation are a diagnostic marker of SHH-activated, TP53-mutant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diagnostic marker of SHH-activated, TP53-mutant medulloblastoma[21]. TP53 mutations</w:t>
            </w:r>
          </w:p>
          <w:p>
            <w:pPr>
              <w:autoSpaceDN w:val="0"/>
              <w:autoSpaceDE w:val="0"/>
              <w:widowControl/>
              <w:spacing w:line="307" w:lineRule="auto" w:before="0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medulloblastoma[21]. TP53 mutations confer poor prognosis and poor risk in multiple blood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confer poor prognosis and poor risk in multiple blood cancers including AML, MDS,</w:t>
            </w:r>
          </w:p>
          <w:p>
            <w:pPr>
              <w:autoSpaceDN w:val="0"/>
              <w:autoSpaceDE w:val="0"/>
              <w:widowControl/>
              <w:spacing w:line="307" w:lineRule="auto" w:before="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including AML, MDS, myeloproliferative neoplasms (MPN), and chronic lymphocytic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myeloproliferative neoplasms (MPN), and chronic lymphocytic leukemia (CLL), and acute</w:t>
            </w:r>
          </w:p>
          <w:p>
            <w:pPr>
              <w:autoSpaceDN w:val="0"/>
              <w:autoSpaceDE w:val="0"/>
              <w:widowControl/>
              <w:spacing w:line="338" w:lineRule="auto" w:before="0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leukemia (CLL), and acute lymphoblastic leukemia (ALL)[22,23,24,25,26,27]. In mantle cell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lymphoblastic leukemia (ALL)[22,23,24,25,26,27]. In mantle cell lymphoma, TP53</w:t>
            </w:r>
          </w:p>
          <w:p>
            <w:pPr>
              <w:autoSpaceDN w:val="0"/>
              <w:autoSpaceDE w:val="0"/>
              <w:widowControl/>
              <w:spacing w:line="444" w:lineRule="auto" w:before="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including hematopoietic cell transplant[28]. Mono- and bi-allelic mutations in TP53 confer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lymphoma, TP53 mutations are associated with poor prognosis when treated with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mutations are associated with poor prognosis when treated with conventional therapy</w:t>
            </w:r>
          </w:p>
          <w:p>
            <w:pPr>
              <w:autoSpaceDN w:val="0"/>
              <w:autoSpaceDE w:val="0"/>
              <w:widowControl/>
              <w:spacing w:line="329" w:lineRule="auto" w:before="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conventional therapy including hematopoietic cell transplant[28]. Mono- and bi-allelic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unique characteristics in MDS, with multi-hit patients also experiencing associations with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complex karyotype, few co-occurring mutations, and high-risk disease presentation as well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mutations in TP53 confer unique characteristics in MDS, with multi-hit patients also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C00000"/>
                <w:sz w:val="20"/>
              </w:rPr>
              <w:t xml:space="preserve">experiencing associations with complex karyotype, few co-occurring mutations, and high-ris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as predicted death and leukemic transformation independent of the IPSS-R staging</w:t>
            </w:r>
          </w:p>
          <w:p>
            <w:pPr>
              <w:autoSpaceDN w:val="0"/>
              <w:autoSpaceDE w:val="0"/>
              <w:widowControl/>
              <w:spacing w:line="269" w:lineRule="auto" w:before="0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disease presentation as well as predicted death and leukemic transformation independent of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system[29].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the IPSS-R staging system[29].</w:t>
            </w:r>
          </w:p>
        </w:tc>
      </w:tr>
    </w:tbl>
    <w:p>
      <w:pPr>
        <w:autoSpaceDN w:val="0"/>
        <w:autoSpaceDE w:val="0"/>
        <w:widowControl/>
        <w:spacing w:line="240" w:lineRule="auto" w:before="282" w:after="0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Therapy &amp; Clinical Trials:</w:t>
      </w:r>
    </w:p>
    <w:p>
      <w:pPr>
        <w:autoSpaceDN w:val="0"/>
        <w:autoSpaceDE w:val="0"/>
        <w:widowControl/>
        <w:spacing w:line="240" w:lineRule="auto" w:before="402" w:after="8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TP53 p.(C135*) c.405C&gt;A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64"/>
        </w:trPr>
        <w:tc>
          <w:tcPr>
            <w:tcW w:type="dxa" w:w="5412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Therapy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FDA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FDA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NCCN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NCCN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EMA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EMA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ESMO </w:t>
            </w: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>ESMO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 xml:space="preserve">Trials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Trials</w:t>
            </w:r>
          </w:p>
        </w:tc>
      </w:tr>
      <w:tr>
        <w:trPr>
          <w:trHeight w:hRule="exact" w:val="420"/>
        </w:trPr>
        <w:tc>
          <w:tcPr>
            <w:tcW w:type="dxa" w:w="5412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6"/>
        </w:trPr>
        <w:tc>
          <w:tcPr>
            <w:tcW w:type="dxa" w:w="5412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6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atezolizumab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66"/>
        </w:trPr>
        <w:tc>
          <w:tcPr>
            <w:tcW w:type="dxa" w:w="5412"/>
            <w:tcBorders>
              <w:start w:sz="12.0" w:val="single" w:color="#000000"/>
              <w:top w:sz="12.0" w:val="single" w:color="#000000"/>
              <w:end w:sz="12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azenosertib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600000000000364" w:val="single" w:color="#000000"/>
              <w:end w:sz="12.0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ART-6043, olaparib, niraparib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6.399999999999636" w:val="single" w:color="#000000"/>
              <w:end w:sz="12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ATRN-119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600000000000364" w:val="single" w:color="#000000"/>
              <w:end w:sz="12.0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GSK-101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6.399999999999636" w:val="single" w:color="#000000"/>
              <w:end w:sz="12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VB-15010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6"/>
        </w:trPr>
        <w:tc>
          <w:tcPr>
            <w:tcW w:type="dxa" w:w="5412"/>
            <w:tcBorders>
              <w:start w:sz="12.0" w:val="single" w:color="#000000"/>
              <w:top w:sz="5.600000000000364" w:val="single" w:color="#000000"/>
              <w:end w:sz="12.0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GenSci-122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240" w:lineRule="auto" w:before="576" w:after="0"/>
        <w:ind w:left="0" w:right="80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142999" cy="11150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2999" cy="111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36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66"/>
        </w:trPr>
        <w:tc>
          <w:tcPr>
            <w:tcW w:type="dxa" w:w="5412"/>
            <w:tcBorders>
              <w:start w:sz="12.0" w:val="single" w:color="#000000"/>
              <w:top w:sz="12.0" w:val="single" w:color="#000000"/>
              <w:end w:sz="12.0" w:val="single" w:color="#000000"/>
              <w:bottom w:sz="5.599999999999909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88" w:val="left"/>
              </w:tabs>
              <w:autoSpaceDE w:val="0"/>
              <w:widowControl/>
              <w:spacing w:line="307" w:lineRule="auto" w:before="98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GH-2616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GH-2616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599999999999909" w:val="single" w:color="#000000"/>
              <w:end w:sz="12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HRS-1167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45"/>
        </w:trPr>
        <w:tc>
          <w:tcPr>
            <w:tcW w:type="dxa" w:w="5412"/>
            <w:tcBorders>
              <w:start w:sz="12.0" w:val="single" w:color="#000000"/>
              <w:top w:sz="6.400000000000091" w:val="single" w:color="#000000"/>
              <w:end w:sz="12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HS-10502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599999999999909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SIM-0501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talazoparib, palbociclib, axitinib, crizotinib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65"/>
        </w:trPr>
        <w:tc>
          <w:tcPr>
            <w:tcW w:type="dxa" w:w="5412"/>
            <w:tcBorders>
              <w:start w:sz="12.0" w:val="single" w:color="#000000"/>
              <w:top w:sz="12.0" w:val="single" w:color="#000000"/>
              <w:end w:sz="12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XL-309, olaparib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599999999999909" w:val="single" w:color="#000000"/>
              <w:end w:sz="12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pembrolizumab, chemotherapy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IV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6.400000000000091" w:val="single" w:color="#000000"/>
              <w:end w:sz="12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hormone therapy, chemotherapy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599999999999909" w:val="single" w:color="#000000"/>
              <w:end w:sz="12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chemotherapy, radiation 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6.400000000000091" w:val="single" w:color="#000000"/>
              <w:end w:sz="12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saruparib, hormone 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599999999999909" w:val="single" w:color="#000000"/>
              <w:end w:sz="12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radiation 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6.400000000000091" w:val="single" w:color="#000000"/>
              <w:end w:sz="12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 + chemotherapy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645"/>
        </w:trPr>
        <w:tc>
          <w:tcPr>
            <w:tcW w:type="dxa" w:w="5412"/>
            <w:tcBorders>
              <w:start w:sz="12.0" w:val="single" w:color="#000000"/>
              <w:top w:sz="5.599999999999909" w:val="single" w:color="#000000"/>
              <w:end w:sz="12.0" w:val="single" w:color="#000000"/>
              <w:bottom w:sz="6.400000000000091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6" w:after="0"/>
              <w:ind w:left="78" w:right="28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abiraterone + niraparib, hormone therapy, radiation therapy,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steroid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5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9"/>
        </w:trPr>
        <w:tc>
          <w:tcPr>
            <w:tcW w:type="dxa" w:w="5412"/>
            <w:tcBorders>
              <w:start w:sz="12.0" w:val="single" w:color="#000000"/>
              <w:top w:sz="6.400000000000091" w:val="single" w:color="#000000"/>
              <w:end w:sz="12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camrelizumab, fluzoparib, chemotherapy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600000000000364" w:val="single" w:color="#000000"/>
              <w:end w:sz="12.0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eflornithine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6.399999999999636" w:val="single" w:color="#000000"/>
              <w:end w:sz="12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hormone therapy, hormone therapy + chemotherapy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600000000000364" w:val="single" w:color="#000000"/>
              <w:end w:sz="12.0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lunresertib, trastuzumab, chemotherapy, camonsertib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6.399999999999636" w:val="single" w:color="#000000"/>
              <w:end w:sz="12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dostarlimab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600000000000364" w:val="single" w:color="#000000"/>
              <w:end w:sz="12.0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6.399999999999636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 + hormone 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2"/>
        </w:trPr>
        <w:tc>
          <w:tcPr>
            <w:tcW w:type="dxa" w:w="5412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chemotherapy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240" w:lineRule="auto" w:before="756" w:after="0"/>
        <w:ind w:left="0" w:right="80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142999" cy="11150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2999" cy="111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36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66"/>
        </w:trPr>
        <w:tc>
          <w:tcPr>
            <w:tcW w:type="dxa" w:w="5412"/>
            <w:tcBorders>
              <w:start w:sz="12.0" w:val="single" w:color="#000000"/>
              <w:top w:sz="12.0" w:val="single" w:color="#000000"/>
              <w:end w:sz="12.0" w:val="single" w:color="#000000"/>
              <w:bottom w:sz="5.599999999999909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98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olaparib, durvalumab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olaparib, durvalumab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II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599999999999909" w:val="single" w:color="#000000"/>
              <w:end w:sz="12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pembrolizumab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5"/>
        </w:trPr>
        <w:tc>
          <w:tcPr>
            <w:tcW w:type="dxa" w:w="5412"/>
            <w:tcBorders>
              <w:start w:sz="12.0" w:val="single" w:color="#000000"/>
              <w:top w:sz="6.400000000000091" w:val="single" w:color="#000000"/>
              <w:end w:sz="12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sintilimab, chemotherapy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599999999999909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fluzoparib, camrelizumab, chemotherapy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IMP-1734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65"/>
        </w:trPr>
        <w:tc>
          <w:tcPr>
            <w:tcW w:type="dxa" w:w="5412"/>
            <w:tcBorders>
              <w:start w:sz="12.0" w:val="single" w:color="#000000"/>
              <w:top w:sz="12.0" w:val="single" w:color="#000000"/>
              <w:end w:sz="12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tislelizumab, radiation therapy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599999999999909" w:val="single" w:color="#000000"/>
              <w:end w:sz="12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A2A-252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6.400000000000091" w:val="single" w:color="#000000"/>
              <w:end w:sz="12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GB-3010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2"/>
            <w:tcBorders>
              <w:start w:sz="12.0" w:val="single" w:color="#000000"/>
              <w:top w:sz="5.599999999999909" w:val="single" w:color="#000000"/>
              <w:end w:sz="12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lunresertib, camonsertib, Debio-0123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41"/>
        </w:trPr>
        <w:tc>
          <w:tcPr>
            <w:tcW w:type="dxa" w:w="5412"/>
            <w:tcBorders>
              <w:start w:sz="12.0" w:val="single" w:color="#000000"/>
              <w:top w:sz="6.400000000000091" w:val="single" w:color="#000000"/>
              <w:end w:sz="12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7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SC0245</w:t>
            </w:r>
          </w:p>
        </w:tc>
        <w:tc>
          <w:tcPr>
            <w:tcW w:type="dxa" w:w="1020"/>
            <w:tcBorders>
              <w:start w:sz="12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000000"/>
              <w:top w:sz="12.0" w:val="single" w:color="#000000"/>
              <w:end w:sz="11.199999999999818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0"/>
            <w:tcBorders>
              <w:start w:sz="11.199999999999818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76"/>
            <w:tcBorders>
              <w:start w:sz="5.600000000000364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266" w:lineRule="exact" w:before="62" w:after="0"/>
        <w:ind w:left="716" w:right="0" w:firstLine="0"/>
        <w:jc w:val="left"/>
      </w:pPr>
      <w:r>
        <w:rPr>
          <w:rFonts w:ascii="Type3 (22 0 R)" w:hAnsi="Type3 (22 0 R)" w:eastAsia="Type3 (22 0 R)"/>
          <w:b w:val="0"/>
          <w:i w:val="0"/>
          <w:color w:val="000000"/>
          <w:sz w:val="20"/>
        </w:rPr>
        <w:t>📝</w:t>
      </w:r>
      <w:r>
        <w:rPr>
          <w:rFonts w:ascii="Cambria" w:hAnsi="Cambria" w:eastAsia="Cambria"/>
          <w:b w:val="0"/>
          <w:i w:val="0"/>
          <w:color w:val="000000"/>
          <w:sz w:val="20"/>
        </w:rPr>
        <w:t>Note: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this Cancer Type,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Other Cancer Type,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both In this and Other Cancer Type,</w:t>
      </w:r>
      <w:r>
        <w:rPr>
          <w:rFonts w:ascii="Cambria" w:hAnsi="Cambria" w:eastAsia="Cambria"/>
          <w:b w:val="0"/>
          <w:i w:val="0"/>
          <w:color w:val="808080"/>
          <w:sz w:val="20"/>
        </w:rPr>
        <w:t xml:space="preserve"> X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No Evidence.</w:t>
      </w:r>
      <w:r>
        <w:rPr>
          <w:rFonts w:ascii="Type3 (24 0 R)" w:hAnsi="Type3 (24 0 R)" w:eastAsia="Type3 (24 0 R)"/>
          <w:b w:val="0"/>
          <w:i w:val="0"/>
          <w:color w:val="EE0000"/>
          <w:sz w:val="20"/>
        </w:rPr>
        <w:t>⚠️</w:t>
      </w:r>
      <w:r>
        <w:rPr>
          <w:rFonts w:ascii="Cambria" w:hAnsi="Cambria" w:eastAsia="Cambria"/>
          <w:b w:val="0"/>
          <w:i w:val="0"/>
          <w:color w:val="000000"/>
          <w:sz w:val="20"/>
        </w:rPr>
        <w:t>:</w:t>
      </w:r>
    </w:p>
    <w:p>
      <w:pPr>
        <w:autoSpaceDN w:val="0"/>
        <w:autoSpaceDE w:val="0"/>
        <w:widowControl/>
        <w:spacing w:line="240" w:lineRule="auto" w:before="0" w:after="180"/>
        <w:ind w:left="716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>Caution for Use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264"/>
        </w:trPr>
        <w:tc>
          <w:tcPr>
            <w:tcW w:type="dxa" w:w="10702"/>
            <w:tcBorders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0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>Test Description</w:t>
            </w:r>
          </w:p>
        </w:tc>
      </w:tr>
      <w:tr>
        <w:trPr>
          <w:trHeight w:hRule="exact" w:val="2834"/>
        </w:trPr>
        <w:tc>
          <w:tcPr>
            <w:tcW w:type="dxa" w:w="10702"/>
            <w:tcBorders>
              <w:start w:sz="12.0" w:val="single" w:color="#000000"/>
              <w:top w:sz="6.400000000000091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4" w:after="0"/>
              <w:ind w:left="84" w:right="4032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TEST NAME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is advancing precision oncology research through the analysis of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multiple relevant biomarkers in a single next-generation sequencing (NGS) test.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84" w:right="432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The Liquidseq Actionable Genomic Profiling assay analyses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34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unique genes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28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DNA +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6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Fusions driver genes) for single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gene and multiple gene biomarker insights, detects single gene biomarkers from all variant types including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SNVs, indels, 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CNVs, known and novel fusions, and splice variants.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Analyze complex multi-gene biomarkers for mutational signatures,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including microsatellite instability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MSI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) for immunotherapy research.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84" w:right="1152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performance of the panel was verified using both commercially sourced reference controls and cell-free DNA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(cfTNA)samples.</w:t>
            </w:r>
          </w:p>
        </w:tc>
      </w:tr>
    </w:tbl>
    <w:p>
      <w:pPr>
        <w:autoSpaceDN w:val="0"/>
        <w:autoSpaceDE w:val="0"/>
        <w:widowControl/>
        <w:spacing w:line="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256"/>
        </w:trPr>
        <w:tc>
          <w:tcPr>
            <w:tcW w:type="dxa" w:w="10702"/>
            <w:tcBorders>
              <w:end w:sz="5.600000000000364" w:val="single" w:color="#000000"/>
              <w:bottom w:sz="12.79999999999927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10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>Test Methodology</w:t>
            </w:r>
          </w:p>
        </w:tc>
      </w:tr>
      <w:tr>
        <w:trPr>
          <w:trHeight w:hRule="exact" w:val="990"/>
        </w:trPr>
        <w:tc>
          <w:tcPr>
            <w:tcW w:type="dxa" w:w="10702"/>
            <w:tcBorders>
              <w:start w:sz="12.0" w:val="single" w:color="#000000"/>
              <w:top w:sz="12.799999999999272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0" w:after="0"/>
              <w:ind w:left="82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Extraction &amp; Library Preparation: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Cell free Total Nucleic acid (cfTNA) extracted from the liquid biopsy sample is used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for targeted gene capture using a custom designed hybrid capture panel. In process quality controls were determined for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prepared library.</w:t>
            </w:r>
          </w:p>
        </w:tc>
      </w:tr>
    </w:tbl>
    <w:p>
      <w:pPr>
        <w:autoSpaceDN w:val="0"/>
        <w:autoSpaceDE w:val="0"/>
        <w:widowControl/>
        <w:spacing w:line="240" w:lineRule="auto" w:before="554" w:after="0"/>
        <w:ind w:left="0" w:right="80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142999" cy="11150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2999" cy="111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44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2566"/>
        </w:trPr>
        <w:tc>
          <w:tcPr>
            <w:tcW w:type="dxa" w:w="10702"/>
            <w:tcBorders>
              <w:start w:sz="12.0" w:val="single" w:color="#000000"/>
              <w:top w:sz="6.400000000000091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6" w:after="0"/>
              <w:ind w:left="84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Sequencing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: The libraries were sequenced at mean depth: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&gt;25,000x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on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Illumina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Novaseq- next generation sequencing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platform.</w:t>
            </w:r>
          </w:p>
          <w:p>
            <w:pPr>
              <w:autoSpaceDN w:val="0"/>
              <w:autoSpaceDE w:val="0"/>
              <w:widowControl/>
              <w:spacing w:line="245" w:lineRule="auto" w:before="260" w:after="0"/>
              <w:ind w:left="82" w:right="288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Data Analysis: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Sequencing data analyzed using a customized and validated bioinformatics pipeline capable of detecting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various classes of genomic alterations, including single nucleotide variants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),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Indels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, copy number variations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CNVs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fusions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. As part of the streamlined bioinformatics workflow, Multi-gene Biomarkers such as Microsatellite Instability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MSI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Score is calculated. Reportable genomic alterations and fusions are prioritized, classified, and reported based on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AMP-ASCO-CAP guidelines and NCCN guidelines.</w:t>
            </w:r>
          </w:p>
          <w:p>
            <w:pPr>
              <w:autoSpaceDN w:val="0"/>
              <w:autoSpaceDE w:val="0"/>
              <w:widowControl/>
              <w:spacing w:line="245" w:lineRule="auto" w:before="80" w:after="0"/>
              <w:ind w:left="84" w:right="432" w:hanging="2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Limit of Detection (LOD): The LOD for SNVs and Short InDels is 0.1% Variant allele Frequency (VAF) and for Fusions is 05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supporting reads.</w:t>
            </w:r>
          </w:p>
        </w:tc>
      </w:tr>
    </w:tbl>
    <w:p>
      <w:pPr>
        <w:autoSpaceDN w:val="0"/>
        <w:autoSpaceDE w:val="0"/>
        <w:widowControl/>
        <w:spacing w:line="2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262"/>
        </w:trPr>
        <w:tc>
          <w:tcPr>
            <w:tcW w:type="dxa" w:w="10708"/>
            <w:tcBorders>
              <w:end w:sz="12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1F497D"/>
                <w:sz w:val="20"/>
              </w:rPr>
              <w:t>Notes</w:t>
            </w:r>
          </w:p>
        </w:tc>
      </w:tr>
      <w:tr>
        <w:trPr>
          <w:trHeight w:hRule="exact" w:val="6676"/>
        </w:trPr>
        <w:tc>
          <w:tcPr>
            <w:tcW w:type="dxa" w:w="10708"/>
            <w:tcBorders>
              <w:start w:sz="12.0" w:val="single" w:color="#000000"/>
              <w:top w:sz="5.599999999999909" w:val="single" w:color="#000000"/>
              <w:end w:sz="12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6" w:after="0"/>
              <w:ind w:left="82" w:right="72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Treatment decisions should not be based solely on the results of this test. Findings must be interpreted in the context of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patient’s complete clinical profile—including pathological, radiological, and family history—to guide diagnosis,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prognosis, and therapeutic decisions.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82" w:right="576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Therapy-related information in this report is derived from multiple sources including FDA-approved drug data, NCCN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guidelines, peer-reviewed literature, standard clinical databases, and biomarker evidence strength. However, therapy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options listed may not be suitable or beneficial for all patients. This report aims to provide a summary of potentially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effective treatments, therapies that may pose increased risks, and those that may have limited benefit, based on genomic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alterations identified. Prognostic and diagnostic biomarkers relevant to the disease context may also be reported.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82" w:right="1296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Laboratory does not guarantee completeness, accuracy, or eligibility for trial enrollment. Physicians must verify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eligibility criteria for specific trials independently.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82" w:right="432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Identification of a genomic alteration does not guarantee therapeutic efficacy or predict ineffectiveness. Final decisions on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treatment should rest with the treating physician. The absence of reported therapeutic options does not imply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ineffectiveness or lack of safety of any medication selected independently.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82" w:right="864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All variant classifications and related clinical information are based on the latest evidence from peer-reviewed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publications, public clinical databases, and medical guidelines (e.g., NCCN, ASCO, AMP) available at the time of report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generation. However, literature is continuously evolving, and classification may change with emerging evidence.</w:t>
            </w:r>
          </w:p>
          <w:p>
            <w:pPr>
              <w:autoSpaceDN w:val="0"/>
              <w:autoSpaceDE w:val="0"/>
              <w:widowControl/>
              <w:spacing w:line="245" w:lineRule="auto" w:before="396" w:after="0"/>
              <w:ind w:left="82" w:right="576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assay is designed and validated for somatic variant detection, it does not differentiate between somatic and germline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variants. If indicated, germline testing and genetic counselling are recommended.</w:t>
            </w:r>
          </w:p>
        </w:tc>
      </w:tr>
    </w:tbl>
    <w:p>
      <w:pPr>
        <w:autoSpaceDN w:val="0"/>
        <w:autoSpaceDE w:val="0"/>
        <w:widowControl/>
        <w:spacing w:line="240" w:lineRule="auto" w:before="666" w:after="0"/>
        <w:ind w:left="0" w:right="80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142999" cy="11150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2999" cy="111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44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556"/>
        </w:trPr>
        <w:tc>
          <w:tcPr>
            <w:tcW w:type="dxa" w:w="10708"/>
            <w:tcBorders>
              <w:start w:sz="12.0" w:val="single" w:color="#000000"/>
              <w:top w:sz="6.400000000000091" w:val="single" w:color="#000000"/>
              <w:end w:sz="12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8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Poor-quality cfDNA/ Previous or Ongoing therapy may fail QC thresholds at various stages such as cfDNA extraction,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8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library preparation, or bioinformatics, and may result in assay failure or compromised results, such as low gene coverage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8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or shallow variant depth.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8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with lower allele frequencies may be reported if they are of strong or potential clinical relevance, or if previously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8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detected in the same patient. False positives or negatives below assay sensitivity cannot be ruled out.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8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CNVs/gene amplifications reported, Confirmation using orthogonal methods such as DDPCR is recommended when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8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clinically indicated.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8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in non-coding regions or deep intronic sequences are not assessed in this assay.</w:t>
            </w:r>
          </w:p>
          <w:p>
            <w:pPr>
              <w:autoSpaceDN w:val="0"/>
              <w:autoSpaceDE w:val="0"/>
              <w:widowControl/>
              <w:spacing w:line="240" w:lineRule="auto" w:before="80" w:after="0"/>
              <w:ind w:left="82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This assay is under the scope of NABL as Liquidseq Actionable Panel.</w:t>
            </w:r>
          </w:p>
        </w:tc>
      </w:tr>
    </w:tbl>
    <w:p>
      <w:pPr>
        <w:autoSpaceDN w:val="0"/>
        <w:autoSpaceDE w:val="0"/>
        <w:widowControl/>
        <w:spacing w:line="2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9038"/>
      </w:tblGrid>
      <w:tr>
        <w:trPr>
          <w:trHeight w:hRule="exact" w:val="6114"/>
        </w:trPr>
        <w:tc>
          <w:tcPr>
            <w:tcW w:type="dxa" w:w="11024"/>
            <w:tcBorders>
              <w:bottom w:sz="5.600000000000364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22.0" w:type="dxa"/>
            </w:tblPr>
            <w:tblGrid>
              <w:gridCol w:w="2205"/>
              <w:gridCol w:w="2205"/>
              <w:gridCol w:w="2205"/>
              <w:gridCol w:w="2205"/>
              <w:gridCol w:w="2205"/>
            </w:tblGrid>
            <w:tr>
              <w:trPr>
                <w:trHeight w:hRule="exact" w:val="240"/>
              </w:trPr>
              <w:tc>
                <w:tcPr>
                  <w:tcW w:type="dxa" w:w="10682"/>
                  <w:gridSpan w:val="5"/>
                  <w:tcBorders>
                    <w:start w:sz="12.0" w:val="single" w:color="#000000"/>
                    <w:top w:sz="6.400000000000091" w:val="single" w:color="#000000"/>
                    <w:end w:sz="12.0" w:val="single" w:color="#000000"/>
                    <w:bottom w:sz="6.400000000000091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1F497D"/>
                      <w:sz w:val="20"/>
                    </w:rPr>
                    <w:t>DNA Gene List</w:t>
                  </w:r>
                </w:p>
              </w:tc>
            </w:tr>
            <w:tr>
              <w:trPr>
                <w:trHeight w:hRule="exact" w:val="236"/>
              </w:trPr>
              <w:tc>
                <w:tcPr>
                  <w:tcW w:type="dxa" w:w="2130"/>
                  <w:tcBorders>
                    <w:start w:sz="12.0" w:val="single" w:color="#000000"/>
                    <w:top w:sz="6.400000000000091" w:val="single" w:color="#000000"/>
                    <w:end w:sz="12.0" w:val="single" w:color="#000000"/>
                    <w:bottom w:sz="12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AKT1</w:t>
                  </w:r>
                </w:p>
              </w:tc>
              <w:tc>
                <w:tcPr>
                  <w:tcW w:type="dxa" w:w="214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APC</w:t>
                  </w:r>
                </w:p>
              </w:tc>
              <w:tc>
                <w:tcPr>
                  <w:tcW w:type="dxa" w:w="214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ATM</w:t>
                  </w:r>
                </w:p>
              </w:tc>
              <w:tc>
                <w:tcPr>
                  <w:tcW w:type="dxa" w:w="211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BRAF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>
                    <w:start w:sz="12.0" w:val="single" w:color="#000000"/>
                    <w:top w:sz="12.800000000000182" w:val="single" w:color="#000000"/>
                    <w:end w:sz="12.0" w:val="single" w:color="#000000"/>
                    <w:bottom w:sz="6.40000000000009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BRCA1</w:t>
                  </w:r>
                </w:p>
              </w:tc>
              <w:tc>
                <w:tcPr>
                  <w:tcW w:type="dxa" w:w="214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BRCA2</w:t>
                  </w:r>
                </w:p>
              </w:tc>
              <w:tc>
                <w:tcPr>
                  <w:tcW w:type="dxa" w:w="2144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CTNNB1</w:t>
                  </w:r>
                </w:p>
              </w:tc>
              <w:tc>
                <w:tcPr>
                  <w:tcW w:type="dxa" w:w="214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EGFR</w:t>
                  </w:r>
                </w:p>
              </w:tc>
              <w:tc>
                <w:tcPr>
                  <w:tcW w:type="dxa" w:w="211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ERBB2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>
                    <w:start w:sz="12.0" w:val="single" w:color="#000000"/>
                    <w:top w:sz="6.400000000000091" w:val="single" w:color="#000000"/>
                    <w:end w:sz="12.800000000000182" w:val="single" w:color="#000000"/>
                    <w:bottom w:sz="6.40000000000009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ERBB3</w:t>
                  </w:r>
                </w:p>
              </w:tc>
              <w:tc>
                <w:tcPr>
                  <w:tcW w:type="dxa" w:w="2146"/>
                  <w:tcBorders>
                    <w:start w:sz="12.800000000000182" w:val="single" w:color="#000000"/>
                    <w:top w:sz="12.0" w:val="single" w:color="#000000"/>
                    <w:end w:sz="5.599999999999909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ESR1</w:t>
                  </w:r>
                </w:p>
              </w:tc>
              <w:tc>
                <w:tcPr>
                  <w:tcW w:type="dxa" w:w="2144"/>
                  <w:tcBorders>
                    <w:start w:sz="5.599999999999909" w:val="single" w:color="#000000"/>
                    <w:top w:sz="12.0" w:val="single" w:color="#000000"/>
                    <w:end w:sz="5.599999999999909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FOXL2</w:t>
                  </w:r>
                </w:p>
              </w:tc>
              <w:tc>
                <w:tcPr>
                  <w:tcW w:type="dxa" w:w="2146"/>
                  <w:tcBorders>
                    <w:start w:sz="5.599999999999909" w:val="single" w:color="#000000"/>
                    <w:top w:sz="12.0" w:val="single" w:color="#000000"/>
                    <w:end w:sz="6.400000000000091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GNA11</w:t>
                  </w:r>
                </w:p>
              </w:tc>
              <w:tc>
                <w:tcPr>
                  <w:tcW w:type="dxa" w:w="2116"/>
                  <w:tcBorders>
                    <w:start w:sz="6.400000000000091" w:val="single" w:color="#000000"/>
                    <w:top w:sz="12.0" w:val="single" w:color="#000000"/>
                    <w:end w:sz="5.600000000000364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GNAQ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>
                    <w:start w:sz="12.0" w:val="single" w:color="#000000"/>
                    <w:top w:sz="6.400000000000091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HRAS</w:t>
                  </w:r>
                </w:p>
              </w:tc>
              <w:tc>
                <w:tcPr>
                  <w:tcW w:type="dxa" w:w="214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IDH1</w:t>
                  </w:r>
                </w:p>
              </w:tc>
              <w:tc>
                <w:tcPr>
                  <w:tcW w:type="dxa" w:w="2144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IDH2</w:t>
                  </w:r>
                </w:p>
              </w:tc>
              <w:tc>
                <w:tcPr>
                  <w:tcW w:type="dxa" w:w="214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KIT</w:t>
                  </w:r>
                </w:p>
              </w:tc>
              <w:tc>
                <w:tcPr>
                  <w:tcW w:type="dxa" w:w="211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KRAS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5.59999999999990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NRAS</w:t>
                  </w:r>
                </w:p>
              </w:tc>
              <w:tc>
                <w:tcPr>
                  <w:tcW w:type="dxa" w:w="2144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PDGFRA</w:t>
                  </w:r>
                </w:p>
              </w:tc>
              <w:tc>
                <w:tcPr>
                  <w:tcW w:type="dxa" w:w="214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PIK3CA</w:t>
                  </w:r>
                </w:p>
              </w:tc>
              <w:tc>
                <w:tcPr>
                  <w:tcW w:type="dxa" w:w="211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POLE</w:t>
                  </w:r>
                </w:p>
              </w:tc>
            </w:tr>
            <w:tr>
              <w:trPr>
                <w:trHeight w:hRule="exact" w:val="231"/>
              </w:trPr>
              <w:tc>
                <w:tcPr>
                  <w:tcW w:type="dxa" w:w="2130"/>
                  <w:tcBorders>
                    <w:start w:sz="12.0" w:val="single" w:color="#000000"/>
                    <w:top w:sz="5.599999999999909" w:val="single" w:color="#000000"/>
                    <w:end w:sz="12.800000000000182" w:val="single" w:color="#000000"/>
                    <w:bottom w:sz="5.599999999999909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>
                    <w:start w:sz="12.800000000000182" w:val="single" w:color="#000000"/>
                    <w:top w:sz="12.0" w:val="single" w:color="#000000"/>
                    <w:end w:sz="5.599999999999909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>
                    <w:start w:sz="5.599999999999909" w:val="single" w:color="#000000"/>
                    <w:top w:sz="12.0" w:val="single" w:color="#000000"/>
                    <w:end w:sz="5.599999999999909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>
                    <w:start w:sz="5.599999999999909" w:val="single" w:color="#000000"/>
                    <w:top w:sz="12.0" w:val="single" w:color="#000000"/>
                    <w:end w:sz="6.400000000000091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16"/>
                  <w:tcBorders>
                    <w:start w:sz="6.400000000000091" w:val="single" w:color="#000000"/>
                    <w:top w:sz="12.0" w:val="single" w:color="#000000"/>
                    <w:end w:sz="5.600000000000364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2556" w:val="left"/>
                <w:tab w:pos="4698" w:val="left"/>
              </w:tabs>
              <w:autoSpaceDE w:val="0"/>
              <w:widowControl/>
              <w:spacing w:line="240" w:lineRule="auto" w:before="0" w:after="226"/>
              <w:ind w:left="4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RAF1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RET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TP53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22.0" w:type="dxa"/>
            </w:tblPr>
            <w:tblGrid>
              <w:gridCol w:w="2205"/>
              <w:gridCol w:w="2205"/>
              <w:gridCol w:w="2205"/>
              <w:gridCol w:w="2205"/>
              <w:gridCol w:w="2205"/>
            </w:tblGrid>
            <w:tr>
              <w:trPr>
                <w:trHeight w:hRule="exact" w:val="240"/>
              </w:trPr>
              <w:tc>
                <w:tcPr>
                  <w:tcW w:type="dxa" w:w="10684"/>
                  <w:gridSpan w:val="5"/>
                  <w:tcBorders>
                    <w:start w:sz="12.0" w:val="single" w:color="#000000"/>
                    <w:top w:sz="6.400000000000091" w:val="single" w:color="#000000"/>
                    <w:end w:sz="5.600000000000364" w:val="single" w:color="#000000"/>
                    <w:bottom w:sz="6.400000000000091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1F497D"/>
                      <w:sz w:val="20"/>
                    </w:rPr>
                    <w:t>RNA Gene List</w:t>
                  </w:r>
                </w:p>
              </w:tc>
            </w:tr>
            <w:tr>
              <w:trPr>
                <w:trHeight w:hRule="exact" w:val="234"/>
              </w:trPr>
              <w:tc>
                <w:tcPr>
                  <w:tcW w:type="dxa" w:w="2128"/>
                  <w:tcBorders>
                    <w:start w:sz="12.0" w:val="single" w:color="#000000"/>
                    <w:top w:sz="6.400000000000091" w:val="single" w:color="#000000"/>
                    <w:end w:sz="12.800000000000182" w:val="single" w:color="#000000"/>
                    <w:bottom w:sz="6.39999999999963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>
                    <w:start w:sz="12.800000000000182" w:val="single" w:color="#000000"/>
                    <w:top w:sz="12.0" w:val="single" w:color="#000000"/>
                    <w:end w:sz="5.599999999999909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>
                    <w:start w:sz="5.599999999999909" w:val="single" w:color="#000000"/>
                    <w:top w:sz="12.0" w:val="single" w:color="#000000"/>
                    <w:end w:sz="5.599999999999909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NTRK1</w:t>
                  </w:r>
                </w:p>
              </w:tc>
              <w:tc>
                <w:tcPr>
                  <w:tcW w:type="dxa" w:w="2142"/>
                  <w:tcBorders>
                    <w:start w:sz="5.599999999999909" w:val="single" w:color="#000000"/>
                    <w:top w:sz="12.0" w:val="single" w:color="#000000"/>
                    <w:end w:sz="6.400000000000091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NTRK2</w:t>
                  </w:r>
                </w:p>
              </w:tc>
              <w:tc>
                <w:tcPr>
                  <w:tcW w:type="dxa" w:w="2124"/>
                  <w:tcBorders>
                    <w:start w:sz="6.400000000000091" w:val="single" w:color="#000000"/>
                    <w:top w:sz="12.0" w:val="single" w:color="#000000"/>
                    <w:end w:sz="5.600000000000364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NTRK3</w:t>
                  </w:r>
                </w:p>
              </w:tc>
            </w:tr>
            <w:tr>
              <w:trPr>
                <w:trHeight w:hRule="exact" w:val="244"/>
              </w:trPr>
              <w:tc>
                <w:tcPr>
                  <w:tcW w:type="dxa" w:w="2128"/>
                  <w:tcBorders>
                    <w:start w:sz="12.0" w:val="single" w:color="#000000"/>
                    <w:top w:sz="6.399999999999636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2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24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204"/>
              <w:ind w:left="41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ROS1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22.0" w:type="dxa"/>
            </w:tblPr>
            <w:tblGrid>
              <w:gridCol w:w="5512"/>
              <w:gridCol w:w="5512"/>
            </w:tblGrid>
            <w:tr>
              <w:trPr>
                <w:trHeight w:hRule="exact" w:val="246"/>
              </w:trPr>
              <w:tc>
                <w:tcPr>
                  <w:tcW w:type="dxa" w:w="4692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799999999999272" w:val="single" w:color="#00000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2150" w:val="left"/>
                    </w:tabs>
                    <w:autoSpaceDE w:val="0"/>
                    <w:widowControl/>
                    <w:spacing w:line="286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1F497D"/>
                      <w:sz w:val="20"/>
                    </w:rPr>
                    <w:t xml:space="preserve">MSI </w:t>
                  </w:r>
                  <w:r>
                    <w:tab/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MSI</w:t>
                  </w:r>
                </w:p>
              </w:tc>
              <w:tc>
                <w:tcPr>
                  <w:tcW w:type="dxa" w:w="5992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799999999999272" w:val="single" w:color="#00000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2154" w:val="left"/>
                    </w:tabs>
                    <w:autoSpaceDE w:val="0"/>
                    <w:widowControl/>
                    <w:spacing w:line="286" w:lineRule="auto" w:before="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8000"/>
                      <w:sz w:val="20"/>
                    </w:rPr>
                    <w:t xml:space="preserve">% of Unstable Loci </w:t>
                  </w:r>
                  <w:r>
                    <w:tab/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% of Unstable Loci</w:t>
                  </w:r>
                </w:p>
              </w:tc>
            </w:tr>
            <w:tr>
              <w:trPr>
                <w:trHeight w:hRule="exact" w:val="221"/>
              </w:trPr>
              <w:tc>
                <w:tcPr>
                  <w:tcW w:type="dxa" w:w="4692"/>
                  <w:tcBorders>
                    <w:start w:sz="12.0" w:val="single" w:color="#000000"/>
                    <w:top w:sz="12.799999999999272" w:val="single" w:color="#000000"/>
                    <w:end w:sz="12.0" w:val="single" w:color="#000000"/>
                    <w:bottom w:sz="6.399999999999636" w:val="single" w:color="#00000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8000"/>
                      <w:sz w:val="20"/>
                    </w:rPr>
                    <w:t>MSI - Stable</w:t>
                  </w:r>
                </w:p>
              </w:tc>
              <w:tc>
                <w:tcPr>
                  <w:tcW w:type="dxa" w:w="5992"/>
                  <w:tcBorders>
                    <w:start w:sz="12.0" w:val="single" w:color="#000000"/>
                    <w:top w:sz="12.799999999999272" w:val="single" w:color="#000000"/>
                    <w:end w:sz="12.0" w:val="single" w:color="#000000"/>
                    <w:bottom w:sz="12.0" w:val="single" w:color="#00000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0-19%</w:t>
                  </w:r>
                </w:p>
              </w:tc>
            </w:tr>
            <w:tr>
              <w:trPr>
                <w:trHeight w:hRule="exact" w:val="261"/>
              </w:trPr>
              <w:tc>
                <w:tcPr>
                  <w:tcW w:type="dxa" w:w="4692"/>
                  <w:tcBorders>
                    <w:start w:sz="12.0" w:val="single" w:color="#000000"/>
                    <w:top w:sz="6.399999999999636" w:val="single" w:color="#000000"/>
                    <w:end w:sz="12.0" w:val="single" w:color="#000000"/>
                    <w:bottom w:sz="6.399999999999636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Low / Intermediate</w:t>
                  </w:r>
                </w:p>
              </w:tc>
              <w:tc>
                <w:tcPr>
                  <w:tcW w:type="dxa" w:w="5992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20-30%</w:t>
                  </w:r>
                </w:p>
              </w:tc>
            </w:tr>
            <w:tr>
              <w:trPr>
                <w:trHeight w:hRule="exact" w:val="237"/>
              </w:trPr>
              <w:tc>
                <w:tcPr>
                  <w:tcW w:type="dxa" w:w="4692"/>
                  <w:tcBorders>
                    <w:start w:sz="12.0" w:val="single" w:color="#000000"/>
                    <w:top w:sz="6.399999999999636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992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5122" w:val="left"/>
              </w:tabs>
              <w:autoSpaceDE w:val="0"/>
              <w:widowControl/>
              <w:spacing w:line="240" w:lineRule="auto" w:before="0" w:after="220"/>
              <w:ind w:left="41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C00000"/>
                <w:sz w:val="20"/>
              </w:rPr>
              <w:t xml:space="preserve">MSI - High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&gt;30%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20.0" w:type="dxa"/>
            </w:tblPr>
            <w:tblGrid>
              <w:gridCol w:w="5512"/>
              <w:gridCol w:w="5512"/>
            </w:tblGrid>
            <w:tr>
              <w:trPr>
                <w:trHeight w:hRule="exact" w:val="246"/>
              </w:trPr>
              <w:tc>
                <w:tcPr>
                  <w:tcW w:type="dxa" w:w="1842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799999999999272" w:val="single" w:color="#00000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710" w:val="left"/>
                    </w:tabs>
                    <w:autoSpaceDE w:val="0"/>
                    <w:widowControl/>
                    <w:spacing w:line="286" w:lineRule="auto" w:before="0" w:after="0"/>
                    <w:ind w:left="8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1F497D"/>
                      <w:sz w:val="20"/>
                    </w:rPr>
                    <w:t xml:space="preserve">Tier </w:t>
                  </w:r>
                  <w:r>
                    <w:tab/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Tier</w:t>
                  </w:r>
                </w:p>
              </w:tc>
              <w:tc>
                <w:tcPr>
                  <w:tcW w:type="dxa" w:w="8848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799999999999272" w:val="single" w:color="#00000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3752" w:val="left"/>
                    </w:tabs>
                    <w:autoSpaceDE w:val="0"/>
                    <w:widowControl/>
                    <w:spacing w:line="286" w:lineRule="auto" w:before="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1F497D"/>
                      <w:sz w:val="20"/>
                    </w:rPr>
                    <w:t xml:space="preserve">Interpretation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Interpretation</w:t>
                  </w:r>
                </w:p>
              </w:tc>
            </w:tr>
            <w:tr>
              <w:trPr>
                <w:trHeight w:hRule="exact" w:val="216"/>
              </w:trPr>
              <w:tc>
                <w:tcPr>
                  <w:tcW w:type="dxa" w:w="1842"/>
                  <w:tcBorders>
                    <w:start w:sz="12.0" w:val="single" w:color="#000000"/>
                    <w:top w:sz="12.799999999999272" w:val="single" w:color="#000000"/>
                    <w:end w:sz="12.0" w:val="single" w:color="#000000"/>
                    <w:bottom w:sz="12.0" w:val="single" w:color="#00000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8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IA</w:t>
                  </w:r>
                </w:p>
              </w:tc>
              <w:tc>
                <w:tcPr>
                  <w:tcW w:type="dxa" w:w="8848"/>
                  <w:tcBorders>
                    <w:start w:sz="12.0" w:val="single" w:color="#000000"/>
                    <w:top w:sz="12.799999999999272" w:val="single" w:color="#000000"/>
                    <w:end w:sz="12.0" w:val="single" w:color="#000000"/>
                    <w:bottom w:sz="12.0" w:val="single" w:color="#00000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Variants of Strong Clinical Significance: Biomarkers that predict response or resistance to US FDA-</w:t>
                  </w:r>
                </w:p>
              </w:tc>
            </w:tr>
            <w:tr>
              <w:trPr>
                <w:trHeight w:hRule="exact" w:val="722"/>
              </w:trPr>
              <w:tc>
                <w:tcPr>
                  <w:tcW w:type="dxa" w:w="1842"/>
                  <w:tcBorders>
                    <w:start w:sz="12.0" w:val="single" w:color="#000000"/>
                    <w:top w:sz="12.0" w:val="single" w:color="#000000"/>
                    <w:end w:sz="6.399999999999977" w:val="single" w:color="#000000"/>
                    <w:bottom w:sz="12.0" w:val="single" w:color="#00000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48"/>
                  <w:tcBorders>
                    <w:start w:sz="6.399999999999977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60" w:after="0"/>
                    <w:ind w:left="96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approved therapies for a specific type of tumor or have been included in professional guidelines as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therapeutic, diagnostic, and/or prognostic biomarkers for specific types of tumors.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1842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8" w:after="0"/>
                    <w:ind w:left="8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IB</w:t>
                  </w:r>
                </w:p>
              </w:tc>
              <w:tc>
                <w:tcPr>
                  <w:tcW w:type="dxa" w:w="8848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0" w:after="0"/>
                    <w:ind w:left="90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Strong Clinical Significance: Biomarkers that predict response or resistance to a therapy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well-powered studies with consensus from experts in the field, or have diagnostic and/or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40" w:lineRule="auto" w:before="546" w:after="0"/>
        <w:ind w:left="0" w:right="80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142999" cy="11150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2999" cy="111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664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9038"/>
      </w:tblGrid>
      <w:tr>
        <w:trPr>
          <w:trHeight w:hRule="exact" w:val="3530"/>
        </w:trPr>
        <w:tc>
          <w:tcPr>
            <w:tcW w:type="dxa" w:w="11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22.0" w:type="dxa"/>
            </w:tblPr>
            <w:tblGrid>
              <w:gridCol w:w="5650"/>
              <w:gridCol w:w="5650"/>
            </w:tblGrid>
            <w:tr>
              <w:trPr>
                <w:trHeight w:hRule="exact" w:val="498"/>
              </w:trPr>
              <w:tc>
                <w:tcPr>
                  <w:tcW w:type="dxa" w:w="1840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6.400000000000091" w:val="single" w:color="#00000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44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7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prognostic significance of certain diseases based on well-powered studies with expert consensus.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prognostic significance of certain diseases based on well-powered studies with expert consensus.</w:t>
                  </w:r>
                </w:p>
              </w:tc>
            </w:tr>
            <w:tr>
              <w:trPr>
                <w:trHeight w:hRule="exact" w:val="1196"/>
              </w:trPr>
              <w:tc>
                <w:tcPr>
                  <w:tcW w:type="dxa" w:w="1840"/>
                  <w:tcBorders>
                    <w:start w:sz="12.0" w:val="single" w:color="#000000"/>
                    <w:top w:sz="6.400000000000091" w:val="single" w:color="#000000"/>
                    <w:end w:sz="6.399999999999977" w:val="single" w:color="#000000"/>
                    <w:bottom w:sz="6.400000000000091" w:val="single" w:color="#00000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2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IIC</w:t>
                  </w:r>
                </w:p>
              </w:tc>
              <w:tc>
                <w:tcPr>
                  <w:tcW w:type="dxa" w:w="8844"/>
                  <w:tcBorders>
                    <w:start w:sz="6.399999999999977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54" w:after="0"/>
                    <w:ind w:left="96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Potential Clinical Significance: biomarkers that predict response or resistance to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therapies approved by FDA or professional societies for a different tumor type (i.e., off-label use of a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drug), serve as inclusion criteria for clinical trials, or have diagnostic and/or prognostic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the results of multiple small studies.</w:t>
                  </w:r>
                </w:p>
              </w:tc>
            </w:tr>
            <w:tr>
              <w:trPr>
                <w:trHeight w:hRule="exact" w:val="941"/>
              </w:trPr>
              <w:tc>
                <w:tcPr>
                  <w:tcW w:type="dxa" w:w="1840"/>
                  <w:tcBorders>
                    <w:start w:sz="12.0" w:val="single" w:color="#000000"/>
                    <w:top w:sz="6.400000000000091" w:val="single" w:color="#000000"/>
                    <w:end w:sz="6.399999999999977" w:val="single" w:color="#000000"/>
                    <w:bottom w:sz="5.59999999999990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0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IID</w:t>
                  </w:r>
                </w:p>
              </w:tc>
              <w:tc>
                <w:tcPr>
                  <w:tcW w:type="dxa" w:w="8844"/>
                  <w:tcBorders>
                    <w:start w:sz="6.399999999999977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42" w:after="0"/>
                    <w:ind w:left="96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Potential Clinical Significance: Biomarkers that show plausible therapeutic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based on preclinical studies or may assist disease diagnosis and/or prognosis themselves or along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with other biomarkers based on small studies or multiple case reports with no consensus.</w:t>
                  </w:r>
                </w:p>
              </w:tc>
            </w:tr>
            <w:tr>
              <w:trPr>
                <w:trHeight w:hRule="exact" w:val="700"/>
              </w:trPr>
              <w:tc>
                <w:tcPr>
                  <w:tcW w:type="dxa" w:w="1840"/>
                  <w:tcBorders>
                    <w:start w:sz="12.0" w:val="single" w:color="#000000"/>
                    <w:top w:sz="5.599999999999909" w:val="single" w:color="#000000"/>
                    <w:end w:sz="12.0" w:val="single" w:color="#000000"/>
                    <w:bottom w:sz="11.199999999999818" w:val="single" w:color="#00000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6" w:after="0"/>
                    <w:ind w:left="7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III</w:t>
                  </w:r>
                </w:p>
              </w:tc>
              <w:tc>
                <w:tcPr>
                  <w:tcW w:type="dxa" w:w="8844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48" w:after="0"/>
                    <w:ind w:left="90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Unknown clinical significance (VUS): Not observed at a significant allele frequency in the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general or specific subpopulation or pancancer or tumor specific variant databases. No convincing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0"/>
              <w:ind w:left="226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published evidence of cancer Association</w:t>
            </w:r>
          </w:p>
        </w:tc>
      </w:tr>
    </w:tbl>
    <w:p>
      <w:pPr>
        <w:autoSpaceDN w:val="0"/>
        <w:autoSpaceDE w:val="0"/>
        <w:widowControl/>
        <w:spacing w:line="240" w:lineRule="auto" w:before="186" w:after="0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References: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 xml:space="preserve">O&amp;#x27;Leary et al. Reference sequence (RefSeq) database at NCBI: current status, taxonomic expansion, and functional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annotation. Nucleic Acids Res. 2016 Jan 4;44(D1):D733-45. PMID: 26553804</w:t>
      </w:r>
    </w:p>
    <w:p>
      <w:pPr>
        <w:autoSpaceDN w:val="0"/>
        <w:autoSpaceDE w:val="0"/>
        <w:widowControl/>
        <w:spacing w:line="240" w:lineRule="auto" w:before="112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Nag et al. The MDM2-p53 pathway revisited. J Biomed Res. 2013 Jul;27(4):254-71. PMID: 23885265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Muller et al. Mutant p53 in cancer: new functions and therapeutic opportunities. Cancer Cell. 2014 Mar 17;25(3):304-17.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24651012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TP53 mutations in human cancers: origins, consequences, and clinical use. Cold Spring Harb Perspect Biol. 2010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Jan;2(1):a001008. PMID: 20182602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Guha et al. Inherited TP53 Mutations and the Li-Fraumeni Syndrome. Cold Spring Harb Perspect Med. 2017 Apr 3;7(4).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28270529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Cerami et al. The cBio cancer genomics portal: an open platform for exploring multidimensional cancer genomics data. Cancer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Discov. 2012 May;2(5):401-4. PMID: 22588877</w:t>
      </w:r>
    </w:p>
    <w:p>
      <w:pPr>
        <w:autoSpaceDN w:val="0"/>
        <w:autoSpaceDE w:val="0"/>
        <w:widowControl/>
        <w:spacing w:line="240" w:lineRule="auto" w:before="126" w:after="0"/>
        <w:ind w:left="0" w:right="0" w:firstLine="0"/>
        <w:jc w:val="center"/>
      </w:pPr>
      <w:r>
        <w:rPr>
          <w:rFonts w:ascii="Cambria" w:hAnsi="Cambria" w:eastAsia="Cambria"/>
          <w:b w:val="0"/>
          <w:i/>
          <w:color w:val="000000"/>
          <w:sz w:val="20"/>
        </w:rPr>
        <w:t>Weinstein et al. The Cancer Genome Atlas Pan-Cancer analysis project. Nat. Genet. 2013 Oct;45(10):1113-20. PMID: 24071849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Peter et al. Comprehensive genomic characterization of squamous cell lung cancers. Nature. 2012 Sep 27;489(7417):519-25.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22960745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Network. Comprehensive genomic characterization of head and neck squamous cell carcinomas. Nature.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2015 Jan 29;517(7536):576-82. PMID: 25631445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Campbell et al. Distinct patterns of somatic genome alterations in lung adenocarcinomas and squamous cell carcinomas. Nat.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Genet. 2016 Jun;48(6):607-16. PMID: 27158780</w:t>
      </w:r>
    </w:p>
    <w:p>
      <w:pPr>
        <w:autoSpaceDN w:val="0"/>
        <w:autoSpaceDE w:val="0"/>
        <w:widowControl/>
        <w:spacing w:line="240" w:lineRule="auto" w:before="900" w:after="0"/>
        <w:ind w:left="0" w:right="80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142999" cy="11150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2999" cy="111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2826" w:after="0"/>
        <w:ind w:left="716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Research Network. Integrated genomic characterization of oesophageal carcinoma. Nature. 2017 Jan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12;541(7636):169-175. doi: 10.1038/nature20805. Epub 2017 Jan 4. PMID: 28052061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296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The IARC TP53 database: new online mutation analysis and recommendations to users. Hum. Mutat. 2002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Jun;19(6):607-14. PMID: 12007217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Rivlin et al. Mutations in the p53 Tumor Suppressor Gene: Important Milestones at the Various Steps of Tumorigenesis. Genes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Cancer. 2011 Apr;2(4):466-74. PMID: 21779514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6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Petitjean et al. TP53 mutations in human cancers: functional selection and impact on cancer prognosis and outcomes.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Oncogene. 2007 Apr 2;26(15):2157-65. PMID: 17401424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Soussi et al. Recommendations for analyzing and reporting TP53 gene variants in the high-throughput sequencing era. Hum.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Mutat. 2014 Jun;35(6):766-78. PMID: 24729566</w:t>
      </w:r>
    </w:p>
    <w:p>
      <w:pPr>
        <w:autoSpaceDN w:val="0"/>
        <w:autoSpaceDE w:val="0"/>
        <w:widowControl/>
        <w:spacing w:line="264" w:lineRule="auto" w:before="112" w:after="0"/>
        <w:ind w:left="1074" w:right="1440" w:hanging="36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https://www.globenewswire.com/news-release/2020/10/13/2107498/0/en/PMV-Pharma-Granted-FDA-Fast-Track-</w:t>
      </w:r>
      <w:r>
        <w:rPr>
          <w:rFonts w:ascii="Cambria" w:hAnsi="Cambria" w:eastAsia="Cambria"/>
          <w:b w:val="0"/>
          <w:i/>
          <w:color w:val="000000"/>
          <w:sz w:val="20"/>
        </w:rPr>
        <w:t>Designation-of-PC14586-for-the-Treatment-of-Advanced-Cancer-Patients-that-have-Tumors-with-a-p53-Y220C-</w:t>
      </w:r>
      <w:r>
        <w:rPr>
          <w:rFonts w:ascii="Cambria" w:hAnsi="Cambria" w:eastAsia="Cambria"/>
          <w:b w:val="0"/>
          <w:i/>
          <w:color w:val="000000"/>
          <w:sz w:val="20"/>
        </w:rPr>
        <w:t>Mutation.html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https://ir.aprea.com//news-releases/news-release-details/aprea-therapeutics-receives-fda-fast-track-designation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56"/>
        <w:ind w:left="714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http://vp280.alertir.com/en/pressreleases/karolinska-development%27s-portfolio-company-aprea-therapeutics-receives-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fda-breakthrough-therapy-designation-1769167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rHeight w:hRule="exact" w:val="308"/>
        </w:trPr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6" w:firstLine="0"/>
              <w:jc w:val="righ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Parrales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et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al.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Targeting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Oncogenic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Mutant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p53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for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Cancer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Therapy.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Front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Oncol.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2015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Dec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21;5:288.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doi:</w:t>
            </w:r>
          </w:p>
        </w:tc>
      </w:tr>
    </w:tbl>
    <w:p>
      <w:pPr>
        <w:autoSpaceDN w:val="0"/>
        <w:autoSpaceDE w:val="0"/>
        <w:widowControl/>
        <w:spacing w:line="240" w:lineRule="auto" w:before="18" w:after="0"/>
        <w:ind w:left="107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10.3389/fonc.2015.00288. eCollection 2015. PMID: 26732534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Zhao et al. Molecularly targeted therapies for p53-mutant cancers. Cell. Mol. Life Sci. 2017 Nov;74(22):4171-4187.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28643165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Louis et al. The 2021 WHO Classification of Tumors of the Central Nervous System: a summary. Neuro Oncol. 2021 Aug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2;23(8):1231-1251. PMID: 34185076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Myeloid Leukemia [Version 2.2025]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Döhner et al. Diagnosis and management of AML in adults: 2022 recommendations from an international expert panel on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behalf of the ELN. Blood. 2022 Sep 22;140(12):1345-1377. PMID: 35797463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NCCN-Myelodysplastic Syndromes [Version 2.2025]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NCCN-Myeloproliferative Neoplasms [Version 1.2025]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NCCN-Chronic Lymphocytic Leukemia/Small Lymphocytic Lymphoma [Version 3.2025]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Lymphoblastic Leukemia [Version 3.2024]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NCCN-B-Cell Lymphomas [Version 2.2025]</w:t>
      </w:r>
    </w:p>
    <w:p>
      <w:pPr>
        <w:autoSpaceDN w:val="0"/>
        <w:autoSpaceDE w:val="0"/>
        <w:widowControl/>
        <w:spacing w:line="240" w:lineRule="auto" w:before="944" w:after="0"/>
        <w:ind w:left="0" w:right="80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142999" cy="1115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2999" cy="111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826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Bernard et al. Implications of TP53 allelic state for genome stability, clinical presentation and outcomes in myelodysplastic</w:t>
      </w:r>
    </w:p>
    <w:p>
      <w:pPr>
        <w:autoSpaceDN w:val="0"/>
        <w:autoSpaceDE w:val="0"/>
        <w:widowControl/>
        <w:spacing w:line="240" w:lineRule="auto" w:before="36" w:after="0"/>
        <w:ind w:left="107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syndromes. Nat. Med. 2020 Aug 3. PMID: 32747829</w:t>
      </w:r>
    </w:p>
    <w:p>
      <w:pPr>
        <w:autoSpaceDN w:val="0"/>
        <w:autoSpaceDE w:val="0"/>
        <w:widowControl/>
        <w:spacing w:line="240" w:lineRule="auto" w:before="576" w:after="0"/>
        <w:ind w:left="0" w:right="0" w:firstLine="0"/>
        <w:jc w:val="center"/>
      </w:pPr>
      <w:r>
        <w:rPr>
          <w:rFonts w:ascii="Cambria" w:hAnsi="Cambria" w:eastAsia="Cambria"/>
          <w:b w:val="0"/>
          <w:i w:val="0"/>
          <w:color w:val="000000"/>
          <w:sz w:val="20"/>
        </w:rPr>
        <w:t>------------------ End Of Report ------------------</w:t>
      </w:r>
    </w:p>
    <w:p>
      <w:pPr>
        <w:autoSpaceDN w:val="0"/>
        <w:autoSpaceDE w:val="0"/>
        <w:widowControl/>
        <w:spacing w:line="240" w:lineRule="auto" w:before="9044" w:after="0"/>
        <w:ind w:left="0" w:right="80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142999" cy="11150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2999" cy="111505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18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