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tabs>
          <w:tab w:pos="4644" w:val="left"/>
        </w:tabs>
        <w:autoSpaceDE w:val="0"/>
        <w:widowControl/>
        <w:spacing w:line="304" w:lineRule="exact" w:before="0" w:after="696"/>
        <w:ind w:left="120" w:right="4752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 xml:space="preserve">: </w:t>
      </w:r>
      <w:r>
        <w:br/>
      </w:r>
      <w:r>
        <w:tab/>
      </w:r>
      <w:r>
        <w:rPr>
          <w:rFonts w:ascii="Cambria" w:hAnsi="Cambria" w:eastAsia="Cambria"/>
          <w:b/>
          <w:i/>
          <w:color w:val="008080"/>
          <w:sz w:val="28"/>
        </w:rPr>
        <w:t>TEST NAME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850"/>
      </w:tblGrid>
      <w:tr>
        <w:trPr>
          <w:trHeight w:hRule="exact" w:val="478"/>
        </w:trPr>
        <w:tc>
          <w:tcPr>
            <w:tcW w:type="dxa" w:w="1070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0284" w:type="dxa"/>
            </w:tblPr>
            <w:tblGrid>
              <w:gridCol w:w="10706"/>
            </w:tblGrid>
            <w:tr>
              <w:trPr>
                <w:trHeight w:hRule="exact" w:val="234"/>
              </w:trPr>
              <w:tc>
                <w:tcPr>
                  <w:tcW w:type="dxa" w:w="10696"/>
                  <w:tcBorders/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Clinical Indication: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Metastatic Adenocarcinoma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2498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850"/>
      </w:tblGrid>
      <w:tr>
        <w:trPr>
          <w:trHeight w:hRule="exact" w:val="2048"/>
        </w:trPr>
        <w:tc>
          <w:tcPr>
            <w:tcW w:type="dxa" w:w="573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84" w:lineRule="exact" w:before="1584" w:after="0"/>
              <w:ind w:left="1152" w:right="1152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8"/>
              </w:rPr>
              <w:t xml:space="preserve">Positive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FFFFFF"/>
                <w:sz w:val="20"/>
              </w:rPr>
              <w:t>(Clinically significant Variant detected)</w:t>
            </w:r>
          </w:p>
        </w:tc>
      </w:tr>
    </w:tbl>
    <w:p>
      <w:pPr>
        <w:autoSpaceDN w:val="0"/>
        <w:autoSpaceDE w:val="0"/>
        <w:widowControl/>
        <w:spacing w:line="282" w:lineRule="exact" w:before="260" w:after="200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Report Highlights: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8"/>
        <w:gridCol w:w="1808"/>
        <w:gridCol w:w="1808"/>
        <w:gridCol w:w="1808"/>
        <w:gridCol w:w="1808"/>
        <w:gridCol w:w="1808"/>
      </w:tblGrid>
      <w:tr>
        <w:trPr>
          <w:trHeight w:hRule="exact" w:val="452"/>
        </w:trPr>
        <w:tc>
          <w:tcPr>
            <w:tcW w:type="dxa" w:w="1368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 I</w:t>
            </w:r>
          </w:p>
        </w:tc>
        <w:tc>
          <w:tcPr>
            <w:tcW w:type="dxa" w:w="1370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 II</w:t>
            </w:r>
          </w:p>
        </w:tc>
        <w:tc>
          <w:tcPr>
            <w:tcW w:type="dxa" w:w="1406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 III</w:t>
            </w:r>
          </w:p>
        </w:tc>
        <w:tc>
          <w:tcPr>
            <w:tcW w:type="dxa" w:w="1438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MSI</w:t>
            </w:r>
          </w:p>
        </w:tc>
        <w:tc>
          <w:tcPr>
            <w:tcW w:type="dxa" w:w="2018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Therapies</w:t>
            </w:r>
          </w:p>
        </w:tc>
        <w:tc>
          <w:tcPr>
            <w:tcW w:type="dxa" w:w="3106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Clinical Trials</w:t>
            </w:r>
          </w:p>
        </w:tc>
      </w:tr>
      <w:tr>
        <w:trPr>
          <w:trHeight w:hRule="exact" w:val="406"/>
        </w:trPr>
        <w:tc>
          <w:tcPr>
            <w:tcW w:type="dxa" w:w="13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37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406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43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201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3106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43</w:t>
            </w:r>
          </w:p>
        </w:tc>
      </w:tr>
    </w:tbl>
    <w:p>
      <w:pPr>
        <w:autoSpaceDN w:val="0"/>
        <w:autoSpaceDE w:val="0"/>
        <w:widowControl/>
        <w:spacing w:line="280" w:lineRule="exact" w:before="260" w:after="202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Key Findings: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70"/>
        <w:gridCol w:w="2170"/>
        <w:gridCol w:w="2170"/>
        <w:gridCol w:w="2170"/>
        <w:gridCol w:w="2170"/>
      </w:tblGrid>
      <w:tr>
        <w:trPr>
          <w:trHeight w:hRule="exact" w:val="450"/>
        </w:trPr>
        <w:tc>
          <w:tcPr>
            <w:tcW w:type="dxa" w:w="1526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</w:t>
            </w:r>
          </w:p>
        </w:tc>
        <w:tc>
          <w:tcPr>
            <w:tcW w:type="dxa" w:w="2816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Gene &amp; Transcript</w:t>
            </w:r>
          </w:p>
        </w:tc>
        <w:tc>
          <w:tcPr>
            <w:tcW w:type="dxa" w:w="2646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1570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Exon</w:t>
            </w:r>
          </w:p>
        </w:tc>
        <w:tc>
          <w:tcPr>
            <w:tcW w:type="dxa" w:w="2148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Coverage/VAF</w:t>
            </w:r>
          </w:p>
        </w:tc>
      </w:tr>
      <w:tr>
        <w:trPr>
          <w:trHeight w:hRule="exact" w:val="640"/>
        </w:trPr>
        <w:tc>
          <w:tcPr>
            <w:tcW w:type="dxa" w:w="1526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IIC</w:t>
            </w:r>
          </w:p>
        </w:tc>
        <w:tc>
          <w:tcPr>
            <w:tcW w:type="dxa" w:w="2816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720" w:right="72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NM_000546.6</w:t>
            </w:r>
          </w:p>
        </w:tc>
        <w:tc>
          <w:tcPr>
            <w:tcW w:type="dxa" w:w="2646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864" w:right="86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c.405C&gt;A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157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14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720" w:right="72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691x /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93.13%</w:t>
            </w:r>
          </w:p>
        </w:tc>
      </w:tr>
    </w:tbl>
    <w:p>
      <w:pPr>
        <w:autoSpaceDN w:val="0"/>
        <w:autoSpaceDE w:val="0"/>
        <w:widowControl/>
        <w:spacing w:line="234" w:lineRule="exact" w:before="6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*Genetic test results are reported based on the recommendations of AMP-ASCO-CAP guidelines.</w:t>
      </w:r>
    </w:p>
    <w:p>
      <w:pPr>
        <w:autoSpaceDN w:val="0"/>
        <w:autoSpaceDE w:val="0"/>
        <w:widowControl/>
        <w:spacing w:line="234" w:lineRule="exact" w:before="36" w:after="0"/>
        <w:ind w:left="11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**Public data sources included in relevant targeted therapies, guidelines: EMA, FDA, ESMO, NCCN.</w:t>
      </w:r>
    </w:p>
    <w:p>
      <w:pPr>
        <w:autoSpaceDN w:val="0"/>
        <w:autoSpaceDE w:val="0"/>
        <w:widowControl/>
        <w:spacing w:line="282" w:lineRule="exact" w:before="256" w:after="200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Multi-Gene Biomarkers Results: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617"/>
        <w:gridCol w:w="3617"/>
        <w:gridCol w:w="3617"/>
      </w:tblGrid>
      <w:tr>
        <w:trPr>
          <w:trHeight w:hRule="exact" w:val="452"/>
        </w:trPr>
        <w:tc>
          <w:tcPr>
            <w:tcW w:type="dxa" w:w="4442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Assay Biomarker</w:t>
            </w:r>
          </w:p>
        </w:tc>
        <w:tc>
          <w:tcPr>
            <w:tcW w:type="dxa" w:w="3042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3222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Interpretation</w:t>
            </w:r>
          </w:p>
        </w:tc>
      </w:tr>
      <w:tr>
        <w:trPr>
          <w:trHeight w:hRule="exact" w:val="486"/>
        </w:trPr>
        <w:tc>
          <w:tcPr>
            <w:tcW w:type="dxa" w:w="4442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Microsatellite Instability (MSI)</w:t>
            </w:r>
          </w:p>
        </w:tc>
        <w:tc>
          <w:tcPr>
            <w:tcW w:type="dxa" w:w="3042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3222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 Microsatellite detected</w:t>
            </w:r>
          </w:p>
        </w:tc>
      </w:tr>
    </w:tbl>
    <w:p>
      <w:pPr>
        <w:autoSpaceDN w:val="0"/>
        <w:autoSpaceDE w:val="0"/>
        <w:widowControl/>
        <w:spacing w:line="234" w:lineRule="exact" w:before="4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# Correlation of the genetic findings with the clinical condition of the patient is required to arrive at accurate diagnosis,</w:t>
      </w:r>
    </w:p>
    <w:p>
      <w:pPr>
        <w:autoSpaceDN w:val="0"/>
        <w:autoSpaceDE w:val="0"/>
        <w:widowControl/>
        <w:spacing w:line="234" w:lineRule="exact" w:before="36" w:after="1156"/>
        <w:ind w:left="11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prognosis or therapeutic decisions.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23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1 of 10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</w:tr>
      <w:tr>
        <w:trPr>
          <w:trHeight w:hRule="exact" w:val="79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0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282" w:lineRule="exact" w:before="98" w:after="206"/>
        <w:ind w:left="35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Clinical Significance: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617"/>
        <w:gridCol w:w="3617"/>
        <w:gridCol w:w="3617"/>
      </w:tblGrid>
      <w:tr>
        <w:trPr>
          <w:trHeight w:hRule="exact" w:val="520"/>
        </w:trPr>
        <w:tc>
          <w:tcPr>
            <w:tcW w:type="dxa" w:w="3568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6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7138"/>
            <w:gridSpan w:val="2"/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6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Therapy</w:t>
            </w:r>
          </w:p>
        </w:tc>
      </w:tr>
      <w:tr>
        <w:trPr>
          <w:trHeight w:hRule="exact" w:val="522"/>
        </w:trPr>
        <w:tc>
          <w:tcPr>
            <w:tcW w:type="dxa" w:w="3568"/>
            <w:shd w:fill="a5a6a5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3572"/>
            <w:shd w:fill="a5a6a5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In This Cancer</w:t>
            </w:r>
          </w:p>
        </w:tc>
        <w:tc>
          <w:tcPr>
            <w:tcW w:type="dxa" w:w="3566"/>
            <w:shd w:fill="a5a6a5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In Other Cancer</w:t>
            </w:r>
          </w:p>
        </w:tc>
      </w:tr>
      <w:tr>
        <w:trPr>
          <w:trHeight w:hRule="exact" w:val="980"/>
        </w:trPr>
        <w:tc>
          <w:tcPr>
            <w:tcW w:type="dxa" w:w="3568"/>
            <w:shd w:fill="d8d9d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64" w:lineRule="auto" w:before="78" w:after="0"/>
              <w:ind w:left="1296" w:right="1296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IIC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3572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6666"/>
                <w:sz w:val="24"/>
              </w:rPr>
              <w:t>▪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  <w:tc>
          <w:tcPr>
            <w:tcW w:type="dxa" w:w="3566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6666"/>
                <w:sz w:val="24"/>
              </w:rPr>
              <w:t>▪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617"/>
        <w:gridCol w:w="3617"/>
        <w:gridCol w:w="3617"/>
      </w:tblGrid>
      <w:tr>
        <w:trPr>
          <w:trHeight w:hRule="exact" w:val="452"/>
        </w:trPr>
        <w:tc>
          <w:tcPr>
            <w:tcW w:type="dxa" w:w="2778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3964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Diagnostic Significance</w:t>
            </w:r>
          </w:p>
        </w:tc>
        <w:tc>
          <w:tcPr>
            <w:tcW w:type="dxa" w:w="3964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Prognostic Significance</w:t>
            </w:r>
          </w:p>
        </w:tc>
      </w:tr>
      <w:tr>
        <w:trPr>
          <w:trHeight w:hRule="exact" w:val="640"/>
        </w:trPr>
        <w:tc>
          <w:tcPr>
            <w:tcW w:type="dxa" w:w="2778"/>
            <w:shd w:fill="d8d9d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864" w:right="86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396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  <w:tc>
          <w:tcPr>
            <w:tcW w:type="dxa" w:w="396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5658"/>
        </w:trPr>
        <w:tc>
          <w:tcPr>
            <w:tcW w:type="dxa" w:w="10728"/>
            <w:gridSpan w:val="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82" w:lineRule="exact" w:before="16" w:after="202"/>
              <w:ind w:left="32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8080"/>
                <w:sz w:val="24"/>
              </w:rPr>
              <w:t>Biomarker Description: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86" w:type="dxa"/>
            </w:tblPr>
            <w:tblGrid>
              <w:gridCol w:w="5364"/>
              <w:gridCol w:w="5364"/>
            </w:tblGrid>
            <w:tr>
              <w:trPr>
                <w:trHeight w:hRule="exact" w:val="450"/>
              </w:trPr>
              <w:tc>
                <w:tcPr>
                  <w:tcW w:type="dxa" w:w="2358"/>
                  <w:tcBorders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Variant</w:t>
                  </w:r>
                </w:p>
              </w:tc>
              <w:tc>
                <w:tcPr>
                  <w:tcW w:type="dxa" w:w="8348"/>
                  <w:tcBorders>
                    <w:start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Biomarker Description</w:t>
                  </w:r>
                </w:p>
              </w:tc>
            </w:tr>
            <w:tr>
              <w:trPr>
                <w:trHeight w:hRule="exact" w:val="4548"/>
              </w:trPr>
              <w:tc>
                <w:tcPr>
                  <w:tcW w:type="dxa" w:w="235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682" w:after="0"/>
                    <w:ind w:left="106" w:right="864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TP53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NM_000546.6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chr17:7578525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c.405C&gt;A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p.(C135*)</w:t>
                  </w:r>
                </w:p>
              </w:tc>
              <w:tc>
                <w:tcPr>
                  <w:tcW w:type="dxa" w:w="834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0" w:after="0"/>
                    <w:ind w:left="100" w:right="102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encodes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suppressor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protein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p53,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which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binds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DNA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activates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transcription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response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diverse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cellular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stresses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induce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cell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cycle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arrest,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apoptosis,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or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DNA repair[1]. In unstressed cells, TP53 is kept inactive by targeted degradation via MDM2, 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substrate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recognition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factor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ubiquitin-dependent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proteolysis[2].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are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required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oncogenesis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result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loss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protein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function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gain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transforming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potential[3]. Germline mutations in TP53 are the underlying cause of Li-Fraumeni syndrome, 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complex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hereditary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predisposition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disorder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associated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with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early-onset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cancers[4,5].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TP53 is the most frequently mutated gene in the cancer genome with approximately half of all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cancers experiencing TP53 mutations. Ovarian, head and neck, esophageal, and lung squamous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have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particularly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high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rates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(60-90%)[6,7,8,9,10,11].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Approximately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two-thirds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missense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several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recurrent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missense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 common, including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substitutions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 codons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R158, R175, Y220, R248, R273, and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R282[6,7]. Invariably, recurrent missense mutations in TP53 inactivate its ability to bind DNA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activate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transcription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target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genes[12,13,14,15].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also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observed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pediatric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cancers[6,7].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Somatic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observed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53%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non-Hodgkin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lymphoma,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24%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soft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tissue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sarcoma,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19%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glioma,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13%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bone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9%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B-lymphoblastic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leukemia/lymphoma,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4%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embryonal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3%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Wilms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leukemia,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T-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lymphoblastic leukemia/lymphoma, and less than 1% of peripheral nervous system cancers (5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1158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cases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)[6,7].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Biallelic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loss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observed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bone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Wilms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2 of 10</w:t>
            </w:r>
          </w:p>
        </w:tc>
      </w:tr>
      <w:tr>
        <w:trPr>
          <w:trHeight w:hRule="exact" w:val="790"/>
        </w:trPr>
        <w:tc>
          <w:tcPr>
            <w:tcW w:type="dxa" w:w="249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9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496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4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25"/>
        <w:gridCol w:w="5425"/>
      </w:tblGrid>
      <w:tr>
        <w:trPr>
          <w:trHeight w:hRule="exact" w:val="4552"/>
        </w:trPr>
        <w:tc>
          <w:tcPr>
            <w:tcW w:type="dxa" w:w="2358"/>
            <w:shd w:fill="d8d9d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834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tabs>
                <w:tab w:pos="740" w:val="left"/>
                <w:tab w:pos="1600" w:val="left"/>
                <w:tab w:pos="2306" w:val="left"/>
                <w:tab w:pos="2784" w:val="left"/>
                <w:tab w:pos="3314" w:val="left"/>
                <w:tab w:pos="3916" w:val="left"/>
                <w:tab w:pos="4074" w:val="left"/>
                <w:tab w:pos="5044" w:val="left"/>
                <w:tab w:pos="5506" w:val="left"/>
                <w:tab w:pos="5936" w:val="left"/>
                <w:tab w:pos="6400" w:val="left"/>
                <w:tab w:pos="6930" w:val="left"/>
                <w:tab w:pos="7260" w:val="left"/>
                <w:tab w:pos="7630" w:val="left"/>
              </w:tabs>
              <w:autoSpaceDE w:val="0"/>
              <w:widowControl/>
              <w:spacing w:line="245" w:lineRule="auto" w:before="14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less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1%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B-lymphoblastic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leukemia/lymphoma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(2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731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cases)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and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leukemia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(1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250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cases)[6,7].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 small molecule p53 reactivator, PC14586[16] (2020), received a fast track designation by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FDA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advanced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harboring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Y220C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FDA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granted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fast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track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designation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reactivator,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eprenetapopt[17],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(2019)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breakthrough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designation[18] (2020) in combination with azacitidine or azacitidine and venetoclax for acute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myeloid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patients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(AML)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myelodysplastic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syndrome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(MDS)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harboring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respectively.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addition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investigational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aimed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restoring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wild-type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activity,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compounds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that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induce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synthetic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lethality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are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also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under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clinical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evaluation[19,20].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diagnostic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marker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SHH-activated,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TP53-mutant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medulloblastoma[21].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risk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multiple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blood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cancers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AML,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MDS,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myeloproliferative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neoplasms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(MPN),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chronic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lymphocytic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(CLL),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acute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lymphoblastic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(ALL)[22,23,24,25,26,27].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mantle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cell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lymphoma,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associated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when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treated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with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conventional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hematopoietic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cell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transplant[28].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Mono-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bi-allelic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unique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characteristics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MDS,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multi-hit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patients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also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experiencing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associations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complex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karyotype,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few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co-occurring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high-risk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disease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presentation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well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predicted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death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transformation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independent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 IPSS-R staging system[29].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5082"/>
        </w:trPr>
        <w:tc>
          <w:tcPr>
            <w:tcW w:type="dxa" w:w="10728"/>
            <w:gridSpan w:val="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tabs>
                <w:tab w:pos="320" w:val="left"/>
              </w:tabs>
              <w:autoSpaceDE w:val="0"/>
              <w:widowControl/>
              <w:spacing w:line="450" w:lineRule="exact" w:before="0" w:after="74"/>
              <w:ind w:left="106" w:right="7488" w:firstLine="0"/>
              <w:jc w:val="left"/>
            </w:pPr>
            <w:r>
              <w:tab/>
            </w:r>
            <w:r>
              <w:rPr>
                <w:rFonts w:ascii="Cambria,Bold" w:hAnsi="Cambria,Bold" w:eastAsia="Cambria,Bold"/>
                <w:b/>
                <w:i w:val="0"/>
                <w:color w:val="008080"/>
                <w:sz w:val="24"/>
              </w:rPr>
              <w:t xml:space="preserve">Therapy &amp; Clinical Trials: </w:t>
            </w:r>
            <w:r>
              <w:br/>
            </w:r>
            <w:r>
              <w:rPr>
                <w:rFonts w:ascii="Cambria,Bold" w:hAnsi="Cambria,Bold" w:eastAsia="Cambria,Bold"/>
                <w:b/>
                <w:i w:val="0"/>
                <w:color w:val="008080"/>
                <w:sz w:val="20"/>
              </w:rPr>
              <w:t>TP53 p.(C135*) c.405C&gt;A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86" w:type="dxa"/>
            </w:tblPr>
            <w:tblGrid>
              <w:gridCol w:w="1788"/>
              <w:gridCol w:w="1788"/>
              <w:gridCol w:w="1788"/>
              <w:gridCol w:w="1788"/>
              <w:gridCol w:w="1788"/>
              <w:gridCol w:w="1788"/>
            </w:tblGrid>
            <w:tr>
              <w:trPr>
                <w:trHeight w:hRule="exact" w:val="452"/>
              </w:trPr>
              <w:tc>
                <w:tcPr>
                  <w:tcW w:type="dxa" w:w="5430"/>
                  <w:tcBorders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Therapy</w:t>
                  </w:r>
                </w:p>
              </w:tc>
              <w:tc>
                <w:tcPr>
                  <w:tcW w:type="dxa" w:w="1010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FDA</w:t>
                  </w:r>
                </w:p>
              </w:tc>
              <w:tc>
                <w:tcPr>
                  <w:tcW w:type="dxa" w:w="1068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NCCN</w:t>
                  </w:r>
                </w:p>
              </w:tc>
              <w:tc>
                <w:tcPr>
                  <w:tcW w:type="dxa" w:w="1024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EMA</w:t>
                  </w:r>
                </w:p>
              </w:tc>
              <w:tc>
                <w:tcPr>
                  <w:tcW w:type="dxa" w:w="1084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ESMO</w:t>
                  </w:r>
                </w:p>
              </w:tc>
              <w:tc>
                <w:tcPr>
                  <w:tcW w:type="dxa" w:w="1090"/>
                  <w:tcBorders>
                    <w:start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Trials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niraparib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2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atezolizumab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azenosertib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4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ART-6043, olaparib, niraparib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ATRN-119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niraparib, GSK-101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4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VB-15010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GenSci-122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3 of 10</w:t>
            </w:r>
          </w:p>
        </w:tc>
      </w:tr>
      <w:tr>
        <w:trPr>
          <w:trHeight w:hRule="exact" w:val="790"/>
        </w:trPr>
        <w:tc>
          <w:tcPr>
            <w:tcW w:type="dxa" w:w="249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9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496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8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8"/>
        <w:gridCol w:w="1808"/>
        <w:gridCol w:w="1808"/>
        <w:gridCol w:w="1808"/>
        <w:gridCol w:w="1808"/>
        <w:gridCol w:w="1808"/>
      </w:tblGrid>
      <w:tr>
        <w:trPr>
          <w:trHeight w:hRule="exact" w:val="455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GH-2616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HRS-1167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HS-10502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SIM-0501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talazoparib, palbociclib, axitinib, crizotinib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XL-309, olaparib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pembrolizumab, chemotherapy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IV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hormone therapy, chemotherapy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chemotherapy, radiation therapy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saruparib, hormone therapy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niraparib, radiation therapy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II/III</w:t>
            </w:r>
          </w:p>
        </w:tc>
      </w:tr>
      <w:tr>
        <w:trPr>
          <w:trHeight w:hRule="exact" w:val="454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 + chemotherapy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II/III</w:t>
            </w:r>
          </w:p>
        </w:tc>
      </w:tr>
      <w:tr>
        <w:trPr>
          <w:trHeight w:hRule="exact" w:val="640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abiraterone + niraparib, hormone therapy, radiation therapy,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steroid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48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camrelizumab, fluzoparib, chemotherapy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eflornithine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4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hormone therapy, hormone therapy + chemotherapy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lunresertib, trastuzumab, chemotherapy, camonsertib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niraparib, dostarlimab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4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 + hormone therapy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chemotherapy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188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4 of 10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</w:tr>
      <w:tr>
        <w:trPr>
          <w:trHeight w:hRule="exact" w:val="79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8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8"/>
        <w:gridCol w:w="1808"/>
        <w:gridCol w:w="1808"/>
        <w:gridCol w:w="1808"/>
        <w:gridCol w:w="1808"/>
        <w:gridCol w:w="1808"/>
      </w:tblGrid>
      <w:tr>
        <w:trPr>
          <w:trHeight w:hRule="exact" w:val="455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durvalumab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pembrolizumab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sintilimab, chemotherapy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fluzoparib, camrelizumab, chemotherapy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IMP-1734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tislelizumab, radiation therapy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A2A-252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GB-3010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lunresertib, camonsertib, Debio-0123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SC0245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234" w:lineRule="exact" w:before="38" w:after="246"/>
        <w:ind w:left="120" w:right="57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📝Note:</w:t>
      </w:r>
      <w:r>
        <w:rPr>
          <w:rFonts w:ascii="SegoeUISymbol" w:hAnsi="SegoeUISymbol" w:eastAsia="SegoeUISymbol"/>
          <w:b w:val="0"/>
          <w:i w:val="0"/>
          <w:color w:val="00B050"/>
          <w:sz w:val="20"/>
        </w:rPr>
        <w:t xml:space="preserve"> 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In this Cancer Type,</w:t>
      </w:r>
      <w:r>
        <w:rPr>
          <w:rFonts w:ascii="SegoeUISymbol" w:hAnsi="SegoeUISymbol" w:eastAsia="SegoeUISymbol"/>
          <w:b w:val="0"/>
          <w:i w:val="0"/>
          <w:color w:val="FFC000"/>
          <w:sz w:val="20"/>
        </w:rPr>
        <w:t xml:space="preserve"> 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In Other Cancer Type,</w:t>
      </w:r>
      <w:r>
        <w:rPr>
          <w:rFonts w:ascii="SegoeUISymbol" w:hAnsi="SegoeUISymbol" w:eastAsia="SegoeUISymbol"/>
          <w:b w:val="0"/>
          <w:i w:val="0"/>
          <w:color w:val="00B050"/>
          <w:sz w:val="20"/>
        </w:rPr>
        <w:t xml:space="preserve"> ✓</w:t>
      </w:r>
      <w:r>
        <w:rPr>
          <w:rFonts w:ascii="SegoeUISymbol" w:hAnsi="SegoeUISymbol" w:eastAsia="SegoeUISymbol"/>
          <w:b w:val="0"/>
          <w:i w:val="0"/>
          <w:color w:val="FFC000"/>
          <w:sz w:val="20"/>
        </w:rPr>
        <w:t>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both In this and Other Cancer Type,</w:t>
      </w:r>
      <w:r>
        <w:rPr>
          <w:rFonts w:ascii="Cambria" w:hAnsi="Cambria" w:eastAsia="Cambria"/>
          <w:b w:val="0"/>
          <w:i w:val="0"/>
          <w:color w:val="808080"/>
          <w:sz w:val="20"/>
        </w:rPr>
        <w:t xml:space="preserve"> X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: No Evidence.</w:t>
      </w:r>
      <w:r>
        <w:rPr>
          <w:rFonts w:ascii="SegoeUISymbol" w:hAnsi="SegoeUISymbol" w:eastAsia="SegoeUISymbol"/>
          <w:b w:val="0"/>
          <w:i w:val="0"/>
          <w:color w:val="EE0000"/>
          <w:sz w:val="20"/>
        </w:rPr>
        <w:t>⚠️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: </w:t>
      </w:r>
      <w:r>
        <w:rPr>
          <w:rFonts w:ascii="Cambria" w:hAnsi="Cambria" w:eastAsia="Cambria"/>
          <w:b w:val="0"/>
          <w:i w:val="0"/>
          <w:color w:val="000000"/>
          <w:sz w:val="20"/>
        </w:rPr>
        <w:t>Caution for 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850"/>
      </w:tblGrid>
      <w:tr>
        <w:trPr>
          <w:trHeight w:hRule="exact" w:val="252"/>
        </w:trPr>
        <w:tc>
          <w:tcPr>
            <w:tcW w:type="dxa" w:w="10706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11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Test Description</w:t>
            </w:r>
          </w:p>
        </w:tc>
      </w:tr>
      <w:tr>
        <w:trPr>
          <w:trHeight w:hRule="exact" w:val="2834"/>
        </w:trPr>
        <w:tc>
          <w:tcPr>
            <w:tcW w:type="dxa" w:w="10706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8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Liquidseq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Actionable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Genomic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Profiling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Panel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advancing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precision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oncology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research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through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analysis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multiple relevant biomarkers in a single next-generation sequencing (NGS) test.</w:t>
            </w:r>
          </w:p>
          <w:p>
            <w:pPr>
              <w:autoSpaceDN w:val="0"/>
              <w:autoSpaceDE w:val="0"/>
              <w:widowControl/>
              <w:spacing w:line="234" w:lineRule="exact" w:before="394" w:after="0"/>
              <w:ind w:left="106" w:right="102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 Liquidseq Actionable Genomic Profiling assay analyses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34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unique genes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28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DNA +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6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Fusions driver genes) for single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 and multiple gene biomarker insights, detects single gene biomarkers from all variant types including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SNVs, indels, 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CNVs, known and novel fusions, and splice variants.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Analyze complex multi-gene biomarkers for mutational signatures,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 microsatellite instability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MSI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 for immunotherapy research.</w:t>
            </w:r>
          </w:p>
          <w:p>
            <w:pPr>
              <w:autoSpaceDN w:val="0"/>
              <w:autoSpaceDE w:val="0"/>
              <w:widowControl/>
              <w:spacing w:line="245" w:lineRule="auto" w:before="39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performance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panel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verified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both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commercially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sourced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reference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controls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cell-free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DNA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(cfTNA)samples.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850"/>
      </w:tblGrid>
      <w:tr>
        <w:trPr>
          <w:trHeight w:hRule="exact" w:val="252"/>
        </w:trPr>
        <w:tc>
          <w:tcPr>
            <w:tcW w:type="dxa" w:w="10706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11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Test Methodology</w:t>
            </w:r>
          </w:p>
        </w:tc>
      </w:tr>
      <w:tr>
        <w:trPr>
          <w:trHeight w:hRule="exact" w:val="992"/>
        </w:trPr>
        <w:tc>
          <w:tcPr>
            <w:tcW w:type="dxa" w:w="10706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102" w:firstLine="0"/>
              <w:jc w:val="both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Extraction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&amp;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Library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Preparation: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Cell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free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Total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Nucleic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acid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(cfTNA)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extracted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liquid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biopsy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sample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used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for targeted gene capture using a custom designed hybrid capture panel. In process quality controls were determined for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prepared library.</w:t>
            </w:r>
          </w:p>
          <w:p>
            <w:pPr>
              <w:autoSpaceDN w:val="0"/>
              <w:autoSpaceDE w:val="0"/>
              <w:widowControl/>
              <w:spacing w:line="178" w:lineRule="exact" w:before="106" w:after="0"/>
              <w:ind w:left="0" w:right="469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5 of 10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792"/>
        </w:trPr>
        <w:tc>
          <w:tcPr>
            <w:tcW w:type="dxa" w:w="240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6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0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40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/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6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850"/>
      </w:tblGrid>
      <w:tr>
        <w:trPr>
          <w:trHeight w:hRule="exact" w:val="2552"/>
        </w:trPr>
        <w:tc>
          <w:tcPr>
            <w:tcW w:type="dxa" w:w="10706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Sequencing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libraries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were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sequenced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mean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depth: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&gt;25,000x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Illumina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Novaseq-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next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generation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sequencing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platform.</w:t>
            </w:r>
          </w:p>
          <w:p>
            <w:pPr>
              <w:autoSpaceDN w:val="0"/>
              <w:autoSpaceDE w:val="0"/>
              <w:widowControl/>
              <w:spacing w:line="234" w:lineRule="exact" w:before="270" w:after="0"/>
              <w:ind w:left="104" w:right="102" w:firstLine="0"/>
              <w:jc w:val="both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Data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Analysis: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Sequencing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data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analyzed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customized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validated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bioinformatics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pipeline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capable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detecting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various classes of genomic alterations, including single nucleotide variants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SNVs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),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Indels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, copy number variations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CNVs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)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fusions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. As part of the streamlined bioinformatics workflow, Multi-gene Biomarkers such as Microsatellite Instability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MSI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Score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calculated.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Reportable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genomic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alterations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fusions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prioritized,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classified,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reported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AMP-ASCO-CAP guidelines and NCCN guidelines.</w:t>
            </w:r>
          </w:p>
          <w:p>
            <w:pPr>
              <w:autoSpaceDN w:val="0"/>
              <w:autoSpaceDE w:val="0"/>
              <w:widowControl/>
              <w:spacing w:line="245" w:lineRule="auto" w:before="80" w:after="0"/>
              <w:ind w:left="106" w:right="0" w:hanging="2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Limit of Detection (LOD): The LOD for SNVs and Short InDels is 0.1% Variant allele Frequency (VAF) and for Fusions is 05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supporting reads.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7042"/>
        </w:trPr>
        <w:tc>
          <w:tcPr>
            <w:tcW w:type="dxa" w:w="10730"/>
            <w:gridSpan w:val="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730"/>
            </w:tblGrid>
            <w:tr>
              <w:trPr>
                <w:trHeight w:hRule="exact" w:val="234"/>
              </w:trPr>
              <w:tc>
                <w:tcPr>
                  <w:tcW w:type="dxa" w:w="10698"/>
                  <w:tcBorders/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Notes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.0000000000000284" w:type="dxa"/>
            </w:tblPr>
            <w:tblGrid>
              <w:gridCol w:w="10730"/>
            </w:tblGrid>
            <w:tr>
              <w:trPr>
                <w:trHeight w:hRule="exact" w:val="3210"/>
              </w:trPr>
              <w:tc>
                <w:tcPr>
                  <w:tcW w:type="dxa" w:w="107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6.0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0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Treatment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decisions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should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 be based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solely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 the results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 this test. Findings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must be interpreted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 the context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of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patient’s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complete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profile—including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pathological,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radiological,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family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history—to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diagnosis,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prognosis, and therapeutic decisions.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Therapy-related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information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derived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from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multiple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sources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including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FDA-approved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drug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NCCN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guidelines,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peer-reviewed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literature,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standard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databases,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biomarker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evidence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strength.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However,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therapy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options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listed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may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suitable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beneficial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patients.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aims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provide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summary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potentially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effective treatments, therapies that may pose increased risks, and those that may have limited benefit, based on genomic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alterations identified. Prognostic and diagnostic biomarkers relevant to the disease context may also be reported.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78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Genelab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Pvt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Ltd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does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guarantee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completeness,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accuracy,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eligibility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trial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enrollment.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Physicians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must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verify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eligibility criteria for specific trials independently.</w:t>
                  </w:r>
                </w:p>
              </w:tc>
            </w:tr>
            <w:tr>
              <w:trPr>
                <w:trHeight w:hRule="exact" w:val="3466"/>
              </w:trPr>
              <w:tc>
                <w:tcPr>
                  <w:tcW w:type="dxa" w:w="10710"/>
                  <w:tcBorders>
                    <w:start w:sz="4.0" w:val="single" w:color="#DAEDF3"/>
                    <w:top w:sz="6.0" w:val="single" w:color="#FFFFFF"/>
                    <w:end w:sz="4.0" w:val="single" w:color="#DAEDF3"/>
                    <w:bottom w:sz="4.0" w:val="single" w:color="#DAEDF3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96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Identification of a genomic alteration does not guarantee therapeutic efficacy or predict ineffectiveness. Final decisions on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treatment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should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with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treating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physician.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absence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therapeutic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options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does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imply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ineffectiveness or lack of safety of any medication selected independently.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classifications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related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information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based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latest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evidence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from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peer-reviewed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publications,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public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databases,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medical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guidelines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(e.g.,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NCCN,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ASCO,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AMP)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available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time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report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generation. However, literature is continuously evolving, and classification may change with emerging evidence.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The assay is designed and validated for somatic variant detection, it does not differentiate between somatic and germline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variants. If indicated, germline testing and genetic counselling are recommended.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6 of 10</w:t>
            </w:r>
          </w:p>
        </w:tc>
      </w:tr>
      <w:tr>
        <w:trPr>
          <w:trHeight w:hRule="exact" w:val="790"/>
        </w:trPr>
        <w:tc>
          <w:tcPr>
            <w:tcW w:type="dxa" w:w="24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498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6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850"/>
      </w:tblGrid>
      <w:tr>
        <w:trPr>
          <w:trHeight w:hRule="exact" w:val="3544"/>
        </w:trPr>
        <w:tc>
          <w:tcPr>
            <w:tcW w:type="dxa" w:w="107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04" w:right="106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Poor-quality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cfDNA/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Previous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Ongoing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fail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QC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thresholds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various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stages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cfDNA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extraction,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library preparation, or bioinformatics, and may result in assay failure or compromised results, such as low gene coverage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 shallow variant depth.</w:t>
            </w:r>
          </w:p>
          <w:p>
            <w:pPr>
              <w:autoSpaceDN w:val="0"/>
              <w:autoSpaceDE w:val="0"/>
              <w:widowControl/>
              <w:spacing w:line="245" w:lineRule="auto" w:before="39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Variants with lower allele frequencies may be reported if they are of strong or potential clinical relevance, or if previously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detected in the same patient. False positives or negatives below assay sensitivity cannot be ruled out.</w:t>
            </w:r>
          </w:p>
          <w:p>
            <w:pPr>
              <w:autoSpaceDN w:val="0"/>
              <w:autoSpaceDE w:val="0"/>
              <w:widowControl/>
              <w:spacing w:line="245" w:lineRule="auto" w:before="396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CNVs/gene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amplifications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reported,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Confirmation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orthogonal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methods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DDPCR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recommended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when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clinically indicated.</w:t>
            </w:r>
          </w:p>
          <w:p>
            <w:pPr>
              <w:autoSpaceDN w:val="0"/>
              <w:autoSpaceDE w:val="0"/>
              <w:widowControl/>
              <w:spacing w:line="242" w:lineRule="auto" w:before="39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 in non-coding regions or deep intronic sequences are not assessed in this assay.</w:t>
            </w:r>
          </w:p>
          <w:p>
            <w:pPr>
              <w:autoSpaceDN w:val="0"/>
              <w:autoSpaceDE w:val="0"/>
              <w:widowControl/>
              <w:spacing w:line="234" w:lineRule="exact" w:before="8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This assay is under the scope of NABL as Liquidseq Actionable Panel.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70"/>
        <w:gridCol w:w="2170"/>
        <w:gridCol w:w="2170"/>
        <w:gridCol w:w="2170"/>
        <w:gridCol w:w="2170"/>
      </w:tblGrid>
      <w:tr>
        <w:trPr>
          <w:trHeight w:hRule="exact" w:val="246"/>
        </w:trPr>
        <w:tc>
          <w:tcPr>
            <w:tcW w:type="dxa" w:w="10706"/>
            <w:gridSpan w:val="5"/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DNA Gene List</w:t>
            </w:r>
          </w:p>
        </w:tc>
      </w:tr>
      <w:tr>
        <w:trPr>
          <w:trHeight w:hRule="exact" w:val="242"/>
        </w:trPr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AKT1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ALK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APC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ATM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BRAF</w:t>
            </w:r>
          </w:p>
        </w:tc>
      </w:tr>
      <w:tr>
        <w:trPr>
          <w:trHeight w:hRule="exact" w:val="246"/>
        </w:trPr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BRCA1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BRCA2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CTNNB1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EGFR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ERBB2</w:t>
            </w:r>
          </w:p>
        </w:tc>
      </w:tr>
      <w:tr>
        <w:trPr>
          <w:trHeight w:hRule="exact" w:val="244"/>
        </w:trPr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ERBB3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ESR1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FOXL2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GNA11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GNAQ</w:t>
            </w:r>
          </w:p>
        </w:tc>
      </w:tr>
      <w:tr>
        <w:trPr>
          <w:trHeight w:hRule="exact" w:val="244"/>
        </w:trPr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HRAS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IDH1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IDH2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KIT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KRAS</w:t>
            </w:r>
          </w:p>
        </w:tc>
      </w:tr>
      <w:tr>
        <w:trPr>
          <w:trHeight w:hRule="exact" w:val="246"/>
        </w:trPr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NRAS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PDGFRA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PIK3CA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POLE</w:t>
            </w:r>
          </w:p>
        </w:tc>
      </w:tr>
      <w:tr>
        <w:trPr>
          <w:trHeight w:hRule="exact" w:val="242"/>
        </w:trPr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RAF1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RET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70"/>
        <w:gridCol w:w="2170"/>
        <w:gridCol w:w="2170"/>
        <w:gridCol w:w="2170"/>
        <w:gridCol w:w="2170"/>
      </w:tblGrid>
      <w:tr>
        <w:trPr>
          <w:trHeight w:hRule="exact" w:val="246"/>
        </w:trPr>
        <w:tc>
          <w:tcPr>
            <w:tcW w:type="dxa" w:w="10706"/>
            <w:gridSpan w:val="5"/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RNA Gene List</w:t>
            </w:r>
          </w:p>
        </w:tc>
      </w:tr>
      <w:tr>
        <w:trPr>
          <w:trHeight w:hRule="exact" w:val="246"/>
        </w:trPr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ALK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NTRK1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NTRK2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NTRK3</w:t>
            </w:r>
          </w:p>
        </w:tc>
      </w:tr>
      <w:tr>
        <w:trPr>
          <w:trHeight w:hRule="exact" w:val="242"/>
        </w:trPr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ROS1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25"/>
        <w:gridCol w:w="5425"/>
      </w:tblGrid>
      <w:tr>
        <w:trPr>
          <w:trHeight w:hRule="exact" w:val="244"/>
        </w:trPr>
        <w:tc>
          <w:tcPr>
            <w:tcW w:type="dxa" w:w="4708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MSI</w:t>
            </w:r>
          </w:p>
        </w:tc>
        <w:tc>
          <w:tcPr>
            <w:tcW w:type="dxa" w:w="5998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% of Unstable Loci</w:t>
            </w:r>
          </w:p>
        </w:tc>
      </w:tr>
      <w:tr>
        <w:trPr>
          <w:trHeight w:hRule="exact" w:val="246"/>
        </w:trPr>
        <w:tc>
          <w:tcPr>
            <w:tcW w:type="dxa" w:w="4708"/>
            <w:shd w:fill="ececec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MSI - Stable</w:t>
            </w:r>
          </w:p>
        </w:tc>
        <w:tc>
          <w:tcPr>
            <w:tcW w:type="dxa" w:w="5998"/>
            <w:shd w:fill="ececec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0-19%</w:t>
            </w:r>
          </w:p>
        </w:tc>
      </w:tr>
      <w:tr>
        <w:trPr>
          <w:trHeight w:hRule="exact" w:val="244"/>
        </w:trPr>
        <w:tc>
          <w:tcPr>
            <w:tcW w:type="dxa" w:w="470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MSI - Low / Intermediate</w:t>
            </w:r>
          </w:p>
        </w:tc>
        <w:tc>
          <w:tcPr>
            <w:tcW w:type="dxa" w:w="59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20-30%</w:t>
            </w:r>
          </w:p>
        </w:tc>
      </w:tr>
      <w:tr>
        <w:trPr>
          <w:trHeight w:hRule="exact" w:val="244"/>
        </w:trPr>
        <w:tc>
          <w:tcPr>
            <w:tcW w:type="dxa" w:w="4708"/>
            <w:shd w:fill="ececec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MSI - High</w:t>
            </w:r>
          </w:p>
        </w:tc>
        <w:tc>
          <w:tcPr>
            <w:tcW w:type="dxa" w:w="5998"/>
            <w:shd w:fill="ececec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&gt;30%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1850"/>
        </w:trPr>
        <w:tc>
          <w:tcPr>
            <w:tcW w:type="dxa" w:w="10752"/>
            <w:gridSpan w:val="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5376"/>
              <w:gridCol w:w="5376"/>
            </w:tblGrid>
            <w:tr>
              <w:trPr>
                <w:trHeight w:hRule="exact" w:val="246"/>
              </w:trPr>
              <w:tc>
                <w:tcPr>
                  <w:tcW w:type="dxa" w:w="185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Tier</w:t>
                  </w:r>
                </w:p>
              </w:tc>
              <w:tc>
                <w:tcPr>
                  <w:tcW w:type="dxa" w:w="885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Interpretation</w:t>
                  </w:r>
                </w:p>
              </w:tc>
            </w:tr>
            <w:tr>
              <w:trPr>
                <w:trHeight w:hRule="exact" w:val="946"/>
              </w:trPr>
              <w:tc>
                <w:tcPr>
                  <w:tcW w:type="dxa" w:w="185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000000"/>
                      <w:sz w:val="20"/>
                    </w:rPr>
                    <w:t>Tier IA</w:t>
                  </w:r>
                </w:p>
              </w:tc>
              <w:tc>
                <w:tcPr>
                  <w:tcW w:type="dxa" w:w="885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Strong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Significance: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Biomarkers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that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predict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response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resistance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US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FDA-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approved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therapies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specific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type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have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been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included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professional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guidelines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therapeutic, diagnostic, and/or prognostic biomarkers for specific types of tumors.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85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000000"/>
                      <w:sz w:val="20"/>
                    </w:rPr>
                    <w:t>Tier IB</w:t>
                  </w:r>
                </w:p>
              </w:tc>
              <w:tc>
                <w:tcPr>
                  <w:tcW w:type="dxa" w:w="885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" w:after="0"/>
                    <w:ind w:left="0" w:right="144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Variants of Strong Clinical Significance: Biomarkers that predict response or resistance to a therapy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based on well-powered studies with consensus from experts in the field, or have diagnostic and/or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7 of 10</w:t>
            </w:r>
          </w:p>
        </w:tc>
      </w:tr>
      <w:tr>
        <w:trPr>
          <w:trHeight w:hRule="exact" w:val="790"/>
        </w:trPr>
        <w:tc>
          <w:tcPr>
            <w:tcW w:type="dxa" w:w="25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4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25"/>
        <w:gridCol w:w="5425"/>
      </w:tblGrid>
      <w:tr>
        <w:trPr>
          <w:trHeight w:hRule="exact" w:val="488"/>
        </w:trPr>
        <w:tc>
          <w:tcPr>
            <w:tcW w:type="dxa" w:w="18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885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prognostic significance of certain diseases based on well-powered studies with expert consensus.</w:t>
            </w:r>
          </w:p>
        </w:tc>
      </w:tr>
      <w:tr>
        <w:trPr>
          <w:trHeight w:hRule="exact" w:val="1182"/>
        </w:trPr>
        <w:tc>
          <w:tcPr>
            <w:tcW w:type="dxa" w:w="1852"/>
            <w:shd w:fill="ececec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Tier IIC</w:t>
            </w:r>
          </w:p>
        </w:tc>
        <w:tc>
          <w:tcPr>
            <w:tcW w:type="dxa" w:w="8858"/>
            <w:shd w:fill="ececec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0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Potential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Significance: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biomarkers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predict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response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resistance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therapies approved by FDA or professional societies for a different tumor type (i.e., off-label use of 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drug), serve as inclusion criteria for clinical trials, or have diagnostic and/or prognostic significance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 on the results of multiple small studies.</w:t>
            </w:r>
          </w:p>
        </w:tc>
      </w:tr>
      <w:tr>
        <w:trPr>
          <w:trHeight w:hRule="exact" w:val="950"/>
        </w:trPr>
        <w:tc>
          <w:tcPr>
            <w:tcW w:type="dxa" w:w="18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Tier IID</w:t>
            </w:r>
          </w:p>
        </w:tc>
        <w:tc>
          <w:tcPr>
            <w:tcW w:type="dxa" w:w="885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0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Potential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Significance: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Biomarkers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show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plausible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therapeutic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significance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studies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assist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disease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diagnosis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and/or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themselves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along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 other biomarkers based on small studies or multiple case reports with no consensus.</w:t>
            </w:r>
          </w:p>
        </w:tc>
      </w:tr>
      <w:tr>
        <w:trPr>
          <w:trHeight w:hRule="exact" w:val="710"/>
        </w:trPr>
        <w:tc>
          <w:tcPr>
            <w:tcW w:type="dxa" w:w="1852"/>
            <w:shd w:fill="ececec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Tier III</w:t>
            </w:r>
          </w:p>
        </w:tc>
        <w:tc>
          <w:tcPr>
            <w:tcW w:type="dxa" w:w="8858"/>
            <w:shd w:fill="ececec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0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Variants of Unknown clinical significance (VUS): Not observed at a significant allele frequency in the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general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specific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subpopulation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pancancer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specific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databases.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convincing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published evidence of cancer Association</w:t>
            </w:r>
          </w:p>
        </w:tc>
      </w:tr>
    </w:tbl>
    <w:p>
      <w:pPr>
        <w:autoSpaceDN w:val="0"/>
        <w:autoSpaceDE w:val="0"/>
        <w:widowControl/>
        <w:spacing w:line="234" w:lineRule="exact" w:before="242" w:after="0"/>
        <w:ind w:left="120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0"/>
        </w:rPr>
        <w:t>References: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4" w:after="0"/>
        <w:ind w:left="120" w:right="14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1.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O&amp;#x27;Leary et al. Reference sequence (RefSeq) database at NCBI: current status, taxonomic expansion, and functional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annotation. Nucleic Acids Res. 2016 Jan 4;44(D1):D733-45. PMID: 26553804</w:t>
      </w:r>
    </w:p>
    <w:p>
      <w:pPr>
        <w:autoSpaceDN w:val="0"/>
        <w:autoSpaceDE w:val="0"/>
        <w:widowControl/>
        <w:spacing w:line="236" w:lineRule="exact" w:before="114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Nag et al. The MDM2-p53 pathway revisited. J Biomed Res. 2013 Jul;27(4):254-71. PMID: 23885265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78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Muller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new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functions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therapeutic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opportunities.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Cell.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2014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Mar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17;25(3):304-17.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PMID: 24651012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Olivier et al. TP53 mutations in human cancers: origins, consequences, and clinical use. Cold Spring Harb Perspect Biol. 2010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Jan;2(1):a001008. PMID: 20182602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Guha et al. Inherited TP53 Mutations and the Li-Fraumeni Syndrome. Cold Spring Harb Perspect Med. 2017 Apr 3;7(4). PMID: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28270529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78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Cerami et al. The cBio cancer genomics portal: an open platform for exploring multidimensional cancer genomics data. Cancer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Discov. 2012 May;2(5):401-4. PMID: 22588877</w:t>
      </w:r>
    </w:p>
    <w:p>
      <w:pPr>
        <w:autoSpaceDN w:val="0"/>
        <w:autoSpaceDE w:val="0"/>
        <w:widowControl/>
        <w:spacing w:line="234" w:lineRule="exact" w:before="116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Weinstein et al. The Cancer Genome Atlas Pan-Cancer analysis project. Nat. Genet. 2013 Oct;45(10):1113-20. PMID: 24071849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Peter et al. Comprehensive genomic characterization of squamous cell lung cancers. Nature. 2012 Sep 27;489(7417):519-25.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PMID: 22960745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78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Cancer Genome Atlas Network. Comprehensive genomic characterization of head and neck squamous cell carcinomas. Nature.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2015 Jan 29;517(7536):576-82. PMID: 25631445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186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Campbell et al. Distinct patterns of somatic genome alterations in lung adenocarcinomas and squamous cell carcinomas. Nat.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Genet. 2016 Jun;48(6):607-16. PMID: 27158780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23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8 of 10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</w:tr>
      <w:tr>
        <w:trPr>
          <w:trHeight w:hRule="exact" w:val="79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2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0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84"/>
        <w:gridCol w:w="2684"/>
        <w:gridCol w:w="2684"/>
        <w:gridCol w:w="2684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tabs>
          <w:tab w:pos="366" w:val="left"/>
        </w:tabs>
        <w:autoSpaceDE w:val="0"/>
        <w:widowControl/>
        <w:spacing w:line="304" w:lineRule="exact" w:before="0" w:after="0"/>
        <w:ind w:left="6" w:right="144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 xml:space="preserve">: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Atlas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Research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Network.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Integrated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characterization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oesophageal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carcinoma.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Nature.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2017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Jan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12;541(7636):169-175. doi: 10.1038/nature20805. Epub 2017 Jan 4. PMID: 28052061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Olivier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IARC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database: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new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online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analysis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recommendations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users.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Hum.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2002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Jun;19(6):607-14. PMID: 12007217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Rivlin et al. Mutations in the p53 Tumor Suppressor Gene: Important Milestones at the Various Steps of Tumorigenesis. Genes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Cancer. 2011 Apr;2(4):466-74. PMID: 21779514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Petitjean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human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cancers: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functional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selection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impact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prognosis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outcomes.</w:t>
      </w:r>
    </w:p>
    <w:p>
      <w:pPr>
        <w:autoSpaceDN w:val="0"/>
        <w:tabs>
          <w:tab w:pos="366" w:val="left"/>
        </w:tabs>
        <w:autoSpaceDE w:val="0"/>
        <w:widowControl/>
        <w:spacing w:line="310" w:lineRule="exact" w:before="0" w:after="0"/>
        <w:ind w:left="6" w:right="144" w:firstLine="0"/>
        <w:jc w:val="left"/>
      </w:pP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Oncogene. 2007 Apr 2;26(15):2157-65. PMID: 17401424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Soussi et al. Recommendations for analyzing and reporting TP53 gene variants in the high-throughput sequencing era. Hum.</w:t>
      </w:r>
    </w:p>
    <w:p>
      <w:pPr>
        <w:autoSpaceDN w:val="0"/>
        <w:tabs>
          <w:tab w:pos="366" w:val="left"/>
        </w:tabs>
        <w:autoSpaceDE w:val="0"/>
        <w:widowControl/>
        <w:spacing w:line="304" w:lineRule="exact" w:before="0" w:after="56"/>
        <w:ind w:left="6" w:right="432" w:firstLine="0"/>
        <w:jc w:val="left"/>
      </w:pP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Mutat. 2014 Jun;35(6):766-78. PMID: 24729566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https://www.globenewswire.com/news-release/2020/10/13/2107498/0/en/PMV-Pharma-Granted-FDA-Fast-Track-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Designation-of-PC14586-for-the-Treatment-of-Advanced-Cancer-Patients-that-have-Tumors-with-a-p53-Y220C-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Mutation.html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https://ir.aprea.com//news-releases/news-release-details/aprea-therapeutics-receives-fda-fast-track-designation 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http://vp280.alertir.com/en/pressreleases/karolinska-development%27s-portfolio-company-aprea-therapeutics-receives-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fda-breakthrough-therapy-designation-1769167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2.00000000000002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</w:tblGrid>
      <w:tr>
        <w:trPr>
          <w:trHeight w:hRule="exact" w:val="310"/>
        </w:trPr>
        <w:tc>
          <w:tcPr>
            <w:tcW w:type="dxa" w:w="7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Parrales</w:t>
            </w:r>
          </w:p>
        </w:tc>
        <w:tc>
          <w:tcPr>
            <w:tcW w:type="dxa" w:w="3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et</w:t>
            </w:r>
          </w:p>
        </w:tc>
        <w:tc>
          <w:tcPr>
            <w:tcW w:type="dxa" w:w="3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al.</w:t>
            </w:r>
          </w:p>
        </w:tc>
        <w:tc>
          <w:tcPr>
            <w:tcW w:type="dxa" w:w="9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Targeting</w:t>
            </w:r>
          </w:p>
        </w:tc>
        <w:tc>
          <w:tcPr>
            <w:tcW w:type="dxa" w:w="10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Oncogenic</w:t>
            </w:r>
          </w:p>
        </w:tc>
        <w:tc>
          <w:tcPr>
            <w:tcW w:type="dxa" w:w="7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Mutant</w:t>
            </w:r>
          </w:p>
        </w:tc>
        <w:tc>
          <w:tcPr>
            <w:tcW w:type="dxa" w:w="4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p53</w:t>
            </w:r>
          </w:p>
        </w:tc>
        <w:tc>
          <w:tcPr>
            <w:tcW w:type="dxa" w:w="40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for</w:t>
            </w:r>
          </w:p>
        </w:tc>
        <w:tc>
          <w:tcPr>
            <w:tcW w:type="dxa" w:w="7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Cancer</w:t>
            </w:r>
          </w:p>
        </w:tc>
        <w:tc>
          <w:tcPr>
            <w:tcW w:type="dxa" w:w="90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Therapy.</w:t>
            </w:r>
          </w:p>
        </w:tc>
        <w:tc>
          <w:tcPr>
            <w:tcW w:type="dxa" w:w="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Front</w:t>
            </w:r>
          </w:p>
        </w:tc>
        <w:tc>
          <w:tcPr>
            <w:tcW w:type="dxa" w:w="6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Oncol.</w:t>
            </w:r>
          </w:p>
        </w:tc>
        <w:tc>
          <w:tcPr>
            <w:tcW w:type="dxa" w:w="5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2015</w:t>
            </w:r>
          </w:p>
        </w:tc>
        <w:tc>
          <w:tcPr>
            <w:tcW w:type="dxa" w:w="4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Dec</w:t>
            </w:r>
          </w:p>
        </w:tc>
        <w:tc>
          <w:tcPr>
            <w:tcW w:type="dxa" w:w="9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21;5:288.</w:t>
            </w:r>
          </w:p>
        </w:tc>
        <w:tc>
          <w:tcPr>
            <w:tcW w:type="dxa" w:w="50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doi:</w:t>
            </w:r>
          </w:p>
        </w:tc>
      </w:tr>
    </w:tbl>
    <w:p>
      <w:pPr>
        <w:autoSpaceDN w:val="0"/>
        <w:tabs>
          <w:tab w:pos="366" w:val="left"/>
        </w:tabs>
        <w:autoSpaceDE w:val="0"/>
        <w:widowControl/>
        <w:spacing w:line="324" w:lineRule="exact" w:before="0" w:after="232"/>
        <w:ind w:left="6" w:right="144" w:firstLine="0"/>
        <w:jc w:val="left"/>
      </w:pP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10.3389/fonc.2015.00288. eCollection 2015. PMID: 26732534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Zhao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Molecularly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targeted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therapies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for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p53-mutant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Cell.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Mol.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Life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Sci.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2017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Nov;74(22):4171-4187.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PMID: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28643165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Louis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2021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WHO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Classification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Tumors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Central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Nervous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System: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summary.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Neuro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Oncol.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2021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Aug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2;23(8):1231-1251. PMID: 34185076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NCCN-Acute Myeloid Leukemia [Version 2.2025]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Döhner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Diagnosis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management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AML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adults: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2022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recommendations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from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international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expert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panel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on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behalf of the ELN. Blood. 2022 Sep 22;140(12):1345-1377. PMID: 35797463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NCCN-Myelodysplastic Syndromes [Version 2.2025]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NCCN-Myeloproliferative Neoplasms [Version 1.2025]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NCCN-Chronic Lymphocytic Leukemia/Small Lymphocytic Lymphoma [Version 3.2025] 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NCCN-Acute Lymphoblastic Leukemia [Version 3.2024]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NCCN Guidelines&amp;amp;reg; - NCCN-B-Cell Lymphomas [Version 2.2025]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84"/>
        <w:gridCol w:w="2684"/>
        <w:gridCol w:w="2684"/>
        <w:gridCol w:w="2684"/>
      </w:tblGrid>
      <w:tr>
        <w:trPr>
          <w:trHeight w:hRule="exact" w:val="23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9 of 10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</w:tr>
      <w:tr>
        <w:trPr>
          <w:trHeight w:hRule="exact" w:val="79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684"/>
            <w:vMerge/>
            <w:tcBorders/>
          </w:tcPr>
          <w:p/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2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0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84"/>
        <w:gridCol w:w="2684"/>
        <w:gridCol w:w="2684"/>
        <w:gridCol w:w="2684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0"/>
        <w:ind w:left="8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234" w:lineRule="exact" w:before="78" w:after="0"/>
        <w:ind w:left="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Bernard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Implications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allelic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state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for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stability,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clinical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presentation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outcomes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myelodysplastic</w:t>
      </w:r>
    </w:p>
    <w:p>
      <w:pPr>
        <w:autoSpaceDN w:val="0"/>
        <w:autoSpaceDE w:val="0"/>
        <w:widowControl/>
        <w:spacing w:line="234" w:lineRule="exact" w:before="36" w:after="0"/>
        <w:ind w:left="36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syndromes. Nat. Med. 2020 Aug 3. PMID: 32747829</w:t>
      </w:r>
    </w:p>
    <w:p>
      <w:pPr>
        <w:autoSpaceDN w:val="0"/>
        <w:autoSpaceDE w:val="0"/>
        <w:widowControl/>
        <w:spacing w:line="246" w:lineRule="exact" w:before="584" w:after="8312"/>
        <w:ind w:left="0" w:right="376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0"/>
        </w:rPr>
        <w:t>------------------ End Of Report ------------------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84"/>
        <w:gridCol w:w="2684"/>
        <w:gridCol w:w="2684"/>
        <w:gridCol w:w="2684"/>
      </w:tblGrid>
      <w:tr>
        <w:trPr>
          <w:trHeight w:hRule="exact" w:val="23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37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6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10 of 10</w:t>
            </w:r>
          </w:p>
        </w:tc>
        <w:tc>
          <w:tcPr>
            <w:tcW w:type="dxa" w:w="23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</w:tr>
      <w:tr>
        <w:trPr>
          <w:trHeight w:hRule="exact" w:val="79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684"/>
            <w:vMerge/>
            <w:tcBorders/>
          </w:tcPr>
          <w:p/>
        </w:tc>
        <w:tc>
          <w:tcPr>
            <w:tcW w:type="dxa" w:w="37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</w:tbl>
    <w:sectPr w:rsidR="00FC693F" w:rsidRPr="0006063C" w:rsidSect="00034616">
      <w:pgSz w:w="11906" w:h="16838"/>
      <w:pgMar w:top="312" w:right="466" w:bottom="210" w:left="70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1143000" cy="11178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r_vinay_signatu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1117848"/>
                  </a:xfrm>
                  <a:prstGeom prst="rect"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1143000" cy="11178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r_vinay_signatu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1117848"/>
                  </a:xfrm>
                  <a:prstGeom prst="rect"/>
                </pic:spPr>
              </pic:pic>
            </a:graphicData>
          </a:graphic>
        </wp:inline>
      </w:drawing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1143000" cy="11178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r_vinay_signatu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1117848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header" Target="header1.xml"/><Relationship Id="rId19" Type="http://schemas.openxmlformats.org/officeDocument/2006/relationships/header" Target="header2.xml"/><Relationship Id="rId20" Type="http://schemas.openxmlformats.org/officeDocument/2006/relationships/header" Target="head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