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4644" w:val="left"/>
        </w:tabs>
        <w:autoSpaceDE w:val="0"/>
        <w:widowControl/>
        <w:spacing w:line="304" w:lineRule="exact" w:before="0" w:after="696"/>
        <w:ind w:left="120" w:right="4752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tab/>
      </w:r>
      <w:r>
        <w:rPr>
          <w:rFonts w:ascii="Cambria" w:hAnsi="Cambria" w:eastAsia="Cambria"/>
          <w:b/>
          <w:i/>
          <w:color w:val="008080"/>
          <w:sz w:val="28"/>
        </w:rPr>
        <w:t>TEST NAME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478"/>
        </w:trPr>
        <w:tc>
          <w:tcPr>
            <w:tcW w:type="dxa" w:w="1070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0284" w:type="dxa"/>
            </w:tblPr>
            <w:tblGrid>
              <w:gridCol w:w="10706"/>
            </w:tblGrid>
            <w:tr>
              <w:trPr>
                <w:trHeight w:hRule="exact" w:val="234"/>
              </w:trPr>
              <w:tc>
                <w:tcPr>
                  <w:tcW w:type="dxa" w:w="10696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Clinical Indication: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Metastatic Adenocarcinoma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2498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2048"/>
        </w:trPr>
        <w:tc>
          <w:tcPr>
            <w:tcW w:type="dxa" w:w="573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84" w:lineRule="exact" w:before="1584" w:after="0"/>
              <w:ind w:left="1152" w:right="1152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8"/>
              </w:rPr>
              <w:t xml:space="preserve">Positive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FFFFFF"/>
                <w:sz w:val="20"/>
              </w:rPr>
              <w:t>(Clinically significant Variant detected)</w:t>
            </w:r>
          </w:p>
        </w:tc>
      </w:tr>
    </w:tbl>
    <w:p>
      <w:pPr>
        <w:autoSpaceDN w:val="0"/>
        <w:autoSpaceDE w:val="0"/>
        <w:widowControl/>
        <w:spacing w:line="282" w:lineRule="exact" w:before="260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Report Highlights: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2"/>
        </w:trPr>
        <w:tc>
          <w:tcPr>
            <w:tcW w:type="dxa" w:w="136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</w:t>
            </w:r>
          </w:p>
        </w:tc>
        <w:tc>
          <w:tcPr>
            <w:tcW w:type="dxa" w:w="1370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</w:t>
            </w:r>
          </w:p>
        </w:tc>
        <w:tc>
          <w:tcPr>
            <w:tcW w:type="dxa" w:w="140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III</w:t>
            </w:r>
          </w:p>
        </w:tc>
        <w:tc>
          <w:tcPr>
            <w:tcW w:type="dxa" w:w="143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201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Therapies</w:t>
            </w:r>
          </w:p>
        </w:tc>
        <w:tc>
          <w:tcPr>
            <w:tcW w:type="dxa" w:w="310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Clinical Trials</w:t>
            </w:r>
          </w:p>
        </w:tc>
      </w:tr>
      <w:tr>
        <w:trPr>
          <w:trHeight w:hRule="exact" w:val="406"/>
        </w:trPr>
        <w:tc>
          <w:tcPr>
            <w:tcW w:type="dxa" w:w="13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37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0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3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201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10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80" w:lineRule="exact" w:before="260" w:after="202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Key Findings: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450"/>
        </w:trPr>
        <w:tc>
          <w:tcPr>
            <w:tcW w:type="dxa" w:w="152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281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Gene &amp; Transcript</w:t>
            </w:r>
          </w:p>
        </w:tc>
        <w:tc>
          <w:tcPr>
            <w:tcW w:type="dxa" w:w="264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1570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Exon</w:t>
            </w:r>
          </w:p>
        </w:tc>
        <w:tc>
          <w:tcPr>
            <w:tcW w:type="dxa" w:w="214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Coverage/VAF</w:t>
            </w:r>
          </w:p>
        </w:tc>
      </w:tr>
      <w:tr>
        <w:trPr>
          <w:trHeight w:hRule="exact" w:val="640"/>
        </w:trPr>
        <w:tc>
          <w:tcPr>
            <w:tcW w:type="dxa" w:w="152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IIC</w:t>
            </w:r>
          </w:p>
        </w:tc>
        <w:tc>
          <w:tcPr>
            <w:tcW w:type="dxa" w:w="281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NM_000546.6</w:t>
            </w:r>
          </w:p>
        </w:tc>
        <w:tc>
          <w:tcPr>
            <w:tcW w:type="dxa" w:w="264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c.405C&gt;A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157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14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691x /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93.13%</w:t>
            </w:r>
          </w:p>
        </w:tc>
      </w:tr>
    </w:tbl>
    <w:p>
      <w:pPr>
        <w:autoSpaceDN w:val="0"/>
        <w:autoSpaceDE w:val="0"/>
        <w:widowControl/>
        <w:spacing w:line="234" w:lineRule="exact" w:before="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*Genetic test results are reported based on the recommendations of AMP-ASCO-CAP guidelines.</w:t>
      </w:r>
    </w:p>
    <w:p>
      <w:pPr>
        <w:autoSpaceDN w:val="0"/>
        <w:autoSpaceDE w:val="0"/>
        <w:widowControl/>
        <w:spacing w:line="234" w:lineRule="exact" w:before="36" w:after="0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**Public data sources included in relevant targeted therapies, guidelines: EMA, FDA, ESMO, NCCN.</w:t>
      </w:r>
    </w:p>
    <w:p>
      <w:pPr>
        <w:autoSpaceDN w:val="0"/>
        <w:autoSpaceDE w:val="0"/>
        <w:widowControl/>
        <w:spacing w:line="282" w:lineRule="exact" w:before="256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Multi-Gene Biomarkers Results: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17"/>
        <w:gridCol w:w="3617"/>
        <w:gridCol w:w="3617"/>
      </w:tblGrid>
      <w:tr>
        <w:trPr>
          <w:trHeight w:hRule="exact" w:val="452"/>
        </w:trPr>
        <w:tc>
          <w:tcPr>
            <w:tcW w:type="dxa" w:w="4442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Assay Biomarker</w:t>
            </w:r>
          </w:p>
        </w:tc>
        <w:tc>
          <w:tcPr>
            <w:tcW w:type="dxa" w:w="3042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222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Interpretation</w:t>
            </w:r>
          </w:p>
        </w:tc>
      </w:tr>
      <w:tr>
        <w:trPr>
          <w:trHeight w:hRule="exact" w:val="486"/>
        </w:trPr>
        <w:tc>
          <w:tcPr>
            <w:tcW w:type="dxa" w:w="4442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Microsatellite Instability (MSI)</w:t>
            </w:r>
          </w:p>
        </w:tc>
        <w:tc>
          <w:tcPr>
            <w:tcW w:type="dxa" w:w="3042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3222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 Microsatellite detected</w:t>
            </w:r>
          </w:p>
        </w:tc>
      </w:tr>
    </w:tbl>
    <w:p>
      <w:pPr>
        <w:autoSpaceDN w:val="0"/>
        <w:autoSpaceDE w:val="0"/>
        <w:widowControl/>
        <w:spacing w:line="234" w:lineRule="exact" w:before="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# Correlation of the genetic findings with the clinical condition of the patient is required to arrive at accurate diagnosis,</w:t>
      </w:r>
    </w:p>
    <w:p>
      <w:pPr>
        <w:autoSpaceDN w:val="0"/>
        <w:autoSpaceDE w:val="0"/>
        <w:widowControl/>
        <w:spacing w:line="234" w:lineRule="exact" w:before="36" w:after="1156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prognosis or therapeutic decisions.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3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 of 10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82" w:lineRule="exact" w:before="98" w:after="206"/>
        <w:ind w:left="35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Clinical Significance: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17"/>
        <w:gridCol w:w="3617"/>
        <w:gridCol w:w="3617"/>
      </w:tblGrid>
      <w:tr>
        <w:trPr>
          <w:trHeight w:hRule="exact" w:val="520"/>
        </w:trPr>
        <w:tc>
          <w:tcPr>
            <w:tcW w:type="dxa" w:w="356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7138"/>
            <w:gridSpan w:val="2"/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Therapy</w:t>
            </w:r>
          </w:p>
        </w:tc>
      </w:tr>
      <w:tr>
        <w:trPr>
          <w:trHeight w:hRule="exact" w:val="522"/>
        </w:trPr>
        <w:tc>
          <w:tcPr>
            <w:tcW w:type="dxa" w:w="3568"/>
            <w:shd w:fill="a5a6a5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572"/>
            <w:shd w:fill="a5a6a5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This Cancer</w:t>
            </w:r>
          </w:p>
        </w:tc>
        <w:tc>
          <w:tcPr>
            <w:tcW w:type="dxa" w:w="3566"/>
            <w:shd w:fill="a5a6a5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Other Cancer</w:t>
            </w:r>
          </w:p>
        </w:tc>
      </w:tr>
      <w:tr>
        <w:trPr>
          <w:trHeight w:hRule="exact" w:val="980"/>
        </w:trPr>
        <w:tc>
          <w:tcPr>
            <w:tcW w:type="dxa" w:w="3568"/>
            <w:shd w:fill="d8d9d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64" w:lineRule="auto" w:before="78" w:after="0"/>
              <w:ind w:left="1296" w:right="1296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IIC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572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566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617"/>
        <w:gridCol w:w="3617"/>
        <w:gridCol w:w="3617"/>
      </w:tblGrid>
      <w:tr>
        <w:trPr>
          <w:trHeight w:hRule="exact" w:val="452"/>
        </w:trPr>
        <w:tc>
          <w:tcPr>
            <w:tcW w:type="dxa" w:w="277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3964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Diagnostic Significance</w:t>
            </w:r>
          </w:p>
        </w:tc>
        <w:tc>
          <w:tcPr>
            <w:tcW w:type="dxa" w:w="3964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Prognostic Significance</w:t>
            </w:r>
          </w:p>
        </w:tc>
      </w:tr>
      <w:tr>
        <w:trPr>
          <w:trHeight w:hRule="exact" w:val="640"/>
        </w:trPr>
        <w:tc>
          <w:tcPr>
            <w:tcW w:type="dxa" w:w="2778"/>
            <w:shd w:fill="d8d9d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96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96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5658"/>
        </w:trPr>
        <w:tc>
          <w:tcPr>
            <w:tcW w:type="dxa" w:w="10728"/>
            <w:gridSpan w:val="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82" w:lineRule="exact" w:before="16" w:after="202"/>
              <w:ind w:left="32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>Biomarker Description: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5364"/>
              <w:gridCol w:w="5364"/>
            </w:tblGrid>
            <w:tr>
              <w:trPr>
                <w:trHeight w:hRule="exact" w:val="450"/>
              </w:trPr>
              <w:tc>
                <w:tcPr>
                  <w:tcW w:type="dxa" w:w="2358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Variant</w:t>
                  </w:r>
                </w:p>
              </w:tc>
              <w:tc>
                <w:tcPr>
                  <w:tcW w:type="dxa" w:w="8348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Biomarker Description</w:t>
                  </w:r>
                </w:p>
              </w:tc>
            </w:tr>
            <w:tr>
              <w:trPr>
                <w:trHeight w:hRule="exact" w:val="4548"/>
              </w:trPr>
              <w:tc>
                <w:tcPr>
                  <w:tcW w:type="dxa" w:w="235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82" w:after="0"/>
                    <w:ind w:left="106" w:right="864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NM_000546.6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chr17:7578525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c.405C&gt;A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p.(C135*)</w:t>
                  </w:r>
                </w:p>
              </w:tc>
              <w:tc>
                <w:tcPr>
                  <w:tcW w:type="dxa" w:w="834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0" w:right="102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encodes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suppressor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p53,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which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binds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DNA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activates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diverse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cellular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stresses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induce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cycle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arrest,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apoptosis,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DNA repair[1]. In unstressed cells, TP53 is kept inactive by targeted degradation via MDM2,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substrate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recognition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factor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ubiquitin-dependent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proteolysis[2].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are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required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oncogenesis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result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function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gain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transforming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potential[3]. Germline mutations in TP53 are the underlying cause of Li-Fraumeni syndrome,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complex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hereditary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predisposition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disorder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associated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early-onset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cancers[4,5].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is the most frequently mutated gene in the cancer genome with approximately half of all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 experiencing TP53 mutations. Ovarian, head and neck, esophageal, and lung squamous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particularly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high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rates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(60-90%)[6,7,8,9,10,11].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Approximately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two-thirds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missense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several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recurrent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missense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 common, 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substitutions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 codons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R158, R175, Y220, R248, R273, and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R282[6,7]. Invariably, recurrent missense mutations in TP53 inactivate its ability to bind DNA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activate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target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genes[12,13,14,15].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also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observed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pediatric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Somatic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53%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non-Hodgkin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lymphoma,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soft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tissue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sarcoma,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glioma,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B-lymphoblastic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leukemia/lymphoma,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embryonal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lymphoblastic leukemia/lymphoma, and less than 1% of peripheral nervous system cancers (5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1158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)[6,7].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Biallelic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 of 10</w:t>
            </w:r>
          </w:p>
        </w:tc>
      </w:tr>
      <w:tr>
        <w:trPr>
          <w:trHeight w:hRule="exact" w:val="790"/>
        </w:trPr>
        <w:tc>
          <w:tcPr>
            <w:tcW w:type="dxa" w:w="249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25"/>
        <w:gridCol w:w="5425"/>
      </w:tblGrid>
      <w:tr>
        <w:trPr>
          <w:trHeight w:hRule="exact" w:val="4552"/>
        </w:trPr>
        <w:tc>
          <w:tcPr>
            <w:tcW w:type="dxa" w:w="2358"/>
            <w:shd w:fill="d8d9d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834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tabs>
                <w:tab w:pos="740" w:val="left"/>
                <w:tab w:pos="1600" w:val="left"/>
                <w:tab w:pos="2306" w:val="left"/>
                <w:tab w:pos="2784" w:val="left"/>
                <w:tab w:pos="3314" w:val="left"/>
                <w:tab w:pos="3916" w:val="left"/>
                <w:tab w:pos="4074" w:val="left"/>
                <w:tab w:pos="5044" w:val="left"/>
                <w:tab w:pos="5506" w:val="left"/>
                <w:tab w:pos="5936" w:val="left"/>
                <w:tab w:pos="6400" w:val="left"/>
                <w:tab w:pos="6930" w:val="left"/>
                <w:tab w:pos="7260" w:val="left"/>
                <w:tab w:pos="7630" w:val="left"/>
              </w:tabs>
              <w:autoSpaceDE w:val="0"/>
              <w:widowControl/>
              <w:spacing w:line="245" w:lineRule="auto" w:before="14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less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1%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B-lymphoblastic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leukemia/lymphoma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731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cases)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leukemia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(1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250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cases)[6,7].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small molecule p53 reactivator, PC14586[16] (2020), received a fast track designation by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Y220C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granted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fast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track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designation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reactivator,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eprenetapopt[17],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(2019)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breakthrough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designation[18] (2020) in combination with azacitidine or azacitidine and venetoclax for acute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(AML)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myelodysplastic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syndrome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(MDS)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respectively.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addition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investigational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aimed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restoring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wild-type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activity,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compounds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that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induce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synthetic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lethality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are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under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clinical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evaluation[19,20].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marker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SHH-activated,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TP53-mutant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medulloblastoma[21].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risk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blood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cancers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AML,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myeloproliferative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neoplasms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(MPN),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chronic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lymphocytic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(CLL),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acute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(ALL)[22,23,24,25,26,27].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mantle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cell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lymphoma,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treated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with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conventional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hematopoietic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transplant[28].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Mono-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bi-allelic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unique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multi-hit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experiencing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complex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karyotype,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few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co-occurring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high-risk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presentation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death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transformation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independent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IPSS-R staging system[29].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5082"/>
        </w:trPr>
        <w:tc>
          <w:tcPr>
            <w:tcW w:type="dxa" w:w="10728"/>
            <w:gridSpan w:val="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tabs>
                <w:tab w:pos="320" w:val="left"/>
              </w:tabs>
              <w:autoSpaceDE w:val="0"/>
              <w:widowControl/>
              <w:spacing w:line="450" w:lineRule="exact" w:before="0" w:after="74"/>
              <w:ind w:left="106" w:right="7488" w:firstLine="0"/>
              <w:jc w:val="left"/>
            </w:pPr>
            <w:r>
              <w:tab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 xml:space="preserve">Therapy &amp; Clinical Trials: </w:t>
            </w:r>
            <w:r>
              <w:br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0"/>
              </w:rPr>
              <w:t>TP53 p.(C135*) c.405C&gt;A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1788"/>
              <w:gridCol w:w="1788"/>
              <w:gridCol w:w="1788"/>
              <w:gridCol w:w="1788"/>
              <w:gridCol w:w="1788"/>
              <w:gridCol w:w="1788"/>
            </w:tblGrid>
            <w:tr>
              <w:trPr>
                <w:trHeight w:hRule="exact" w:val="452"/>
              </w:trPr>
              <w:tc>
                <w:tcPr>
                  <w:tcW w:type="dxa" w:w="5430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Therapy</w:t>
                  </w:r>
                </w:p>
              </w:tc>
              <w:tc>
                <w:tcPr>
                  <w:tcW w:type="dxa" w:w="1010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FDA</w:t>
                  </w:r>
                </w:p>
              </w:tc>
              <w:tc>
                <w:tcPr>
                  <w:tcW w:type="dxa" w:w="1068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NCCN</w:t>
                  </w:r>
                </w:p>
              </w:tc>
              <w:tc>
                <w:tcPr>
                  <w:tcW w:type="dxa" w:w="102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EMA</w:t>
                  </w:r>
                </w:p>
              </w:tc>
              <w:tc>
                <w:tcPr>
                  <w:tcW w:type="dxa" w:w="108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ESMO</w:t>
                  </w:r>
                </w:p>
              </w:tc>
              <w:tc>
                <w:tcPr>
                  <w:tcW w:type="dxa" w:w="1090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Trials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2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atezolizumab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azenosertib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ART-6043, olaparib, 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ATRN-119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niraparib, GSK-101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VB-15010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GenSci-122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 of 10</w:t>
            </w:r>
          </w:p>
        </w:tc>
      </w:tr>
      <w:tr>
        <w:trPr>
          <w:trHeight w:hRule="exact" w:val="790"/>
        </w:trPr>
        <w:tc>
          <w:tcPr>
            <w:tcW w:type="dxa" w:w="249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5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GH-2616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HRS-1167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HS-10502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SIM-0501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talazoparib, palbociclib, axitinib, crizotinib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XL-309, olaparib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pembrolizumab, chemotherapy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IV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chemotherapy, radiation 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saruparib, hormone 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radiation 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454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64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abiraterone + niraparib, hormone therapy, radiation therapy,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steroid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48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camrelizumab, fluzoparib,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eflornithine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hormone therapy +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trastuzumab, chemotherapy, camonsertib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dostarlimab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hormone 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188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4 of 10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5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durvalumab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pembrolizumab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sintilimab, chemotherapy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fluzoparib, camrelizumab, chemotherapy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IMP-1734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tislelizumab, radiation therapy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A2A-252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GB-3010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camonsertib, Debio-0123</w:t>
            </w:r>
          </w:p>
        </w:tc>
        <w:tc>
          <w:tcPr>
            <w:tcW w:type="dxa" w:w="10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SC0245</w:t>
            </w:r>
          </w:p>
        </w:tc>
        <w:tc>
          <w:tcPr>
            <w:tcW w:type="dxa" w:w="101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shd w:fill="f8f8f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34" w:lineRule="exact" w:before="38" w:after="246"/>
        <w:ind w:left="120" w:right="5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📝Note: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this Cancer Type,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Other Cancer Type,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both In this and Other Cancer Type,</w:t>
      </w:r>
      <w:r>
        <w:rPr>
          <w:rFonts w:ascii="Cambria" w:hAnsi="Cambria" w:eastAsia="Cambria"/>
          <w:b w:val="0"/>
          <w:i w:val="0"/>
          <w:color w:val="808080"/>
          <w:sz w:val="20"/>
        </w:rPr>
        <w:t xml:space="preserve"> X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: No Evidence.</w:t>
      </w:r>
      <w:r>
        <w:rPr>
          <w:rFonts w:ascii="SegoeUISymbol" w:hAnsi="SegoeUISymbol" w:eastAsia="SegoeUISymbol"/>
          <w:b w:val="0"/>
          <w:i w:val="0"/>
          <w:color w:val="EE0000"/>
          <w:sz w:val="20"/>
        </w:rPr>
        <w:t>⚠️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: </w:t>
      </w:r>
      <w:r>
        <w:rPr>
          <w:rFonts w:ascii="Cambria" w:hAnsi="Cambria" w:eastAsia="Cambria"/>
          <w:b w:val="0"/>
          <w:i w:val="0"/>
          <w:color w:val="000000"/>
          <w:sz w:val="20"/>
        </w:rPr>
        <w:t>Caution for 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252"/>
        </w:trPr>
        <w:tc>
          <w:tcPr>
            <w:tcW w:type="dxa" w:w="1070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Description</w:t>
            </w:r>
          </w:p>
        </w:tc>
      </w:tr>
      <w:tr>
        <w:trPr>
          <w:trHeight w:hRule="exact" w:val="2834"/>
        </w:trPr>
        <w:tc>
          <w:tcPr>
            <w:tcW w:type="dxa" w:w="10706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Liquidseq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Actionable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Genomic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Profiling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precision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oncology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research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through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 relevant biomarkers in a single next-generation sequencing (NGS) test.</w:t>
            </w:r>
          </w:p>
          <w:p>
            <w:pPr>
              <w:autoSpaceDN w:val="0"/>
              <w:autoSpaceDE w:val="0"/>
              <w:widowControl/>
              <w:spacing w:line="234" w:lineRule="exact" w:before="394" w:after="0"/>
              <w:ind w:left="106" w:right="1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Liquidseq Actionable Genomic Profiling assay analyses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34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unique genes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28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DNA +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6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Fusions driver genes) for single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 and multiple gene biomarker insights, detects single gene biomarkers from all variant types including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SNVs, indels, 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CNVs, known and novel fusions, and splice variants.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Analyze complex multi-gene biomarkers for mutational signatures,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 microsatellite instability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 for immunotherapy research.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performance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verified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both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commercially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sourced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controls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cell-free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DNA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(cfTNA)samples.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252"/>
        </w:trPr>
        <w:tc>
          <w:tcPr>
            <w:tcW w:type="dxa" w:w="10706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Methodology</w:t>
            </w:r>
          </w:p>
        </w:tc>
      </w:tr>
      <w:tr>
        <w:trPr>
          <w:trHeight w:hRule="exact" w:val="992"/>
        </w:trPr>
        <w:tc>
          <w:tcPr>
            <w:tcW w:type="dxa" w:w="10706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Extraction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&amp;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Library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Preparation: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Nucleic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liquid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biopsy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for targeted gene capture using a custom designed hybrid capture panel. In process quality controls were determined 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prepared library.</w:t>
            </w:r>
          </w:p>
          <w:p>
            <w:pPr>
              <w:autoSpaceDN w:val="0"/>
              <w:autoSpaceDE w:val="0"/>
              <w:widowControl/>
              <w:spacing w:line="178" w:lineRule="exact" w:before="106" w:after="0"/>
              <w:ind w:left="0" w:right="46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5 of 10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792"/>
        </w:trPr>
        <w:tc>
          <w:tcPr>
            <w:tcW w:type="dxa" w:w="24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6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40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2552"/>
        </w:trPr>
        <w:tc>
          <w:tcPr>
            <w:tcW w:type="dxa" w:w="10706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libraries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depth: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&gt;25,000x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Illumina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Novaseq-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next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sequencing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platform.</w:t>
            </w:r>
          </w:p>
          <w:p>
            <w:pPr>
              <w:autoSpaceDN w:val="0"/>
              <w:autoSpaceDE w:val="0"/>
              <w:widowControl/>
              <w:spacing w:line="234" w:lineRule="exact" w:before="27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Data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Analysis: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customized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validated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bioinformatics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pipeline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capable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detecting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 classes of genomic alterations, including single nucleotide variants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Indels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, copy number variations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As part of the streamlined bioinformatics workflow, Multi-gene Biomarkers such as Microsatellite Instability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calculated.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genomic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alterations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prioritized,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classified,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AMP-ASCO-CAP guidelines and NCCN guidelines.</w:t>
            </w:r>
          </w:p>
          <w:p>
            <w:pPr>
              <w:autoSpaceDN w:val="0"/>
              <w:autoSpaceDE w:val="0"/>
              <w:widowControl/>
              <w:spacing w:line="245" w:lineRule="auto" w:before="80" w:after="0"/>
              <w:ind w:left="106" w:right="0" w:hanging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Limit of Detection (LOD): The LOD for SNVs and Short InDels is 0.1% Variant allele Frequency (VAF) and for Fusions is 05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supporting reads.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7042"/>
        </w:trPr>
        <w:tc>
          <w:tcPr>
            <w:tcW w:type="dxa" w:w="10730"/>
            <w:gridSpan w:val="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730"/>
            </w:tblGrid>
            <w:tr>
              <w:trPr>
                <w:trHeight w:hRule="exact" w:val="234"/>
              </w:trPr>
              <w:tc>
                <w:tcPr>
                  <w:tcW w:type="dxa" w:w="10698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Notes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0284" w:type="dxa"/>
            </w:tblPr>
            <w:tblGrid>
              <w:gridCol w:w="10730"/>
            </w:tblGrid>
            <w:tr>
              <w:trPr>
                <w:trHeight w:hRule="exact" w:val="3210"/>
              </w:trPr>
              <w:tc>
                <w:tcPr>
                  <w:tcW w:type="dxa" w:w="107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6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decisions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 be 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solely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 the results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 this test. Findings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 be interpreted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 the context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of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patient’s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profile—including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pathological,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radiological,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family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history—to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diagnosis,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prognosis, and therapeutic decisions.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Therapy-related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derived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multiple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sources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drug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NCCN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peer-reviewed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literature,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standard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strength.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However,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listed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suitable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beneficial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patients.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aims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provide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summary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effective treatments, therapies that may pose increased risks, and those that may have limited benefit, based on genomic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 identified. Prognostic and diagnostic biomarkers relevant to the disease context may also be reported.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78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Genelab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Pvt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Ltd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guarantee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completeness,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accuracy,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eligibility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enrollment.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verify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eligibility criteria for specific trials independently.</w:t>
                  </w:r>
                </w:p>
              </w:tc>
            </w:tr>
            <w:tr>
              <w:trPr>
                <w:trHeight w:hRule="exact" w:val="3466"/>
              </w:trPr>
              <w:tc>
                <w:tcPr>
                  <w:tcW w:type="dxa" w:w="10710"/>
                  <w:tcBorders>
                    <w:start w:sz="4.0" w:val="single" w:color="#DAEDF3"/>
                    <w:top w:sz="6.0" w:val="single" w:color="#FFFFFF"/>
                    <w:end w:sz="4.0" w:val="single" w:color="#DAEDF3"/>
                    <w:bottom w:sz="4.0" w:val="single" w:color="#DAEDF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6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Identification of a genomic alteration does not guarantee therapeutic efficacy or predict ineffectiveness. Final decisions on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absence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imply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ineffectiveness or lack of safety of any medication selected independently.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classifications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latest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peer-reviewed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publications,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medical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(e.g.,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NCCN,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ASCO,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AMP)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available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time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report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generation. However, literature is continuously evolving, and classification may change with emerging evidence.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 assay is designed and validated for somatic variant detection, it does not differentiate between somatic and germline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variants. If indicated, germline testing and genetic counselling are recommended.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6 of 10</w:t>
            </w:r>
          </w:p>
        </w:tc>
      </w:tr>
      <w:tr>
        <w:trPr>
          <w:trHeight w:hRule="exact" w:val="790"/>
        </w:trPr>
        <w:tc>
          <w:tcPr>
            <w:tcW w:type="dxa" w:w="24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850"/>
      </w:tblGrid>
      <w:tr>
        <w:trPr>
          <w:trHeight w:hRule="exact" w:val="3544"/>
        </w:trPr>
        <w:tc>
          <w:tcPr>
            <w:tcW w:type="dxa" w:w="10710"/>
            <w:shd w:fill="ffffff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4" w:right="10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Poor-quality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cfDNA/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Previous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Ongoing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fail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QC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thresholds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stages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extraction,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library preparation, or bioinformatics, and may result in assay failure or compromised results, such as low gene coverage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 shallow variant depth.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with lower allele frequencies may be reported if they are of strong or potential clinical relevance, or if previously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detected in the same patient. False positives or negatives below assay sensitivity cannot be ruled out.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CNVs/gene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amplifications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Confirmation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orthogonal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methods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DDPCR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recommended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when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clinically indicated.</w:t>
            </w:r>
          </w:p>
          <w:p>
            <w:pPr>
              <w:autoSpaceDN w:val="0"/>
              <w:autoSpaceDE w:val="0"/>
              <w:widowControl/>
              <w:spacing w:line="242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 in non-coding regions or deep intronic sequences are not assessed in this assay.</w:t>
            </w:r>
          </w:p>
          <w:p>
            <w:pPr>
              <w:autoSpaceDN w:val="0"/>
              <w:autoSpaceDE w:val="0"/>
              <w:widowControl/>
              <w:spacing w:line="234" w:lineRule="exact" w:before="8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This assay is under the scope of NABL as Liquidseq Actionable Panel.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246"/>
        </w:trPr>
        <w:tc>
          <w:tcPr>
            <w:tcW w:type="dxa" w:w="10706"/>
            <w:gridSpan w:val="5"/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DNA Gene List</w:t>
            </w:r>
          </w:p>
        </w:tc>
      </w:tr>
      <w:tr>
        <w:trPr>
          <w:trHeight w:hRule="exact" w:val="242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AKT1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APC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ATM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BRAF</w:t>
            </w:r>
          </w:p>
        </w:tc>
      </w:tr>
      <w:tr>
        <w:trPr>
          <w:trHeight w:hRule="exact" w:val="246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BRCA2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CTNNB1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EGFR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ERBB2</w:t>
            </w:r>
          </w:p>
        </w:tc>
      </w:tr>
      <w:tr>
        <w:trPr>
          <w:trHeight w:hRule="exact" w:val="244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ERBB3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ESR1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FOXL2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GNA11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GNAQ</w:t>
            </w:r>
          </w:p>
        </w:tc>
      </w:tr>
      <w:tr>
        <w:trPr>
          <w:trHeight w:hRule="exact" w:val="244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HRAS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IDH1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IDH2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KIT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KRAS</w:t>
            </w:r>
          </w:p>
        </w:tc>
      </w:tr>
      <w:tr>
        <w:trPr>
          <w:trHeight w:hRule="exact" w:val="246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NRAS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PDGFRA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PIK3CA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POLE</w:t>
            </w:r>
          </w:p>
        </w:tc>
      </w:tr>
      <w:tr>
        <w:trPr>
          <w:trHeight w:hRule="exact" w:val="242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RAF1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RET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246"/>
        </w:trPr>
        <w:tc>
          <w:tcPr>
            <w:tcW w:type="dxa" w:w="10706"/>
            <w:gridSpan w:val="5"/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RNA Gene List</w:t>
            </w:r>
          </w:p>
        </w:tc>
      </w:tr>
      <w:tr>
        <w:trPr>
          <w:trHeight w:hRule="exact" w:val="246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NTRK2</w:t>
            </w:r>
          </w:p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NTRK3</w:t>
            </w:r>
          </w:p>
        </w:tc>
      </w:tr>
      <w:tr>
        <w:trPr>
          <w:trHeight w:hRule="exact" w:val="242"/>
        </w:trPr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ROS1</w:t>
            </w:r>
          </w:p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4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25"/>
        <w:gridCol w:w="5425"/>
      </w:tblGrid>
      <w:tr>
        <w:trPr>
          <w:trHeight w:hRule="exact" w:val="244"/>
        </w:trPr>
        <w:tc>
          <w:tcPr>
            <w:tcW w:type="dxa" w:w="470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5998"/>
            <w:shd w:fill="0080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% of Unstable Loci</w:t>
            </w:r>
          </w:p>
        </w:tc>
      </w:tr>
      <w:tr>
        <w:trPr>
          <w:trHeight w:hRule="exact" w:val="246"/>
        </w:trPr>
        <w:tc>
          <w:tcPr>
            <w:tcW w:type="dxa" w:w="470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Stable</w:t>
            </w:r>
          </w:p>
        </w:tc>
        <w:tc>
          <w:tcPr>
            <w:tcW w:type="dxa" w:w="599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0-19%</w:t>
            </w:r>
          </w:p>
        </w:tc>
      </w:tr>
      <w:tr>
        <w:trPr>
          <w:trHeight w:hRule="exact" w:val="244"/>
        </w:trPr>
        <w:tc>
          <w:tcPr>
            <w:tcW w:type="dxa" w:w="470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Low / Intermediate</w:t>
            </w:r>
          </w:p>
        </w:tc>
        <w:tc>
          <w:tcPr>
            <w:tcW w:type="dxa" w:w="59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20-30%</w:t>
            </w:r>
          </w:p>
        </w:tc>
      </w:tr>
      <w:tr>
        <w:trPr>
          <w:trHeight w:hRule="exact" w:val="244"/>
        </w:trPr>
        <w:tc>
          <w:tcPr>
            <w:tcW w:type="dxa" w:w="470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High</w:t>
            </w:r>
          </w:p>
        </w:tc>
        <w:tc>
          <w:tcPr>
            <w:tcW w:type="dxa" w:w="599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&gt;30%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1850"/>
        </w:trPr>
        <w:tc>
          <w:tcPr>
            <w:tcW w:type="dxa" w:w="10752"/>
            <w:gridSpan w:val="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376"/>
              <w:gridCol w:w="5376"/>
            </w:tblGrid>
            <w:tr>
              <w:trPr>
                <w:trHeight w:hRule="exact" w:val="2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Tier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Interpretation</w:t>
                  </w:r>
                </w:p>
              </w:tc>
            </w:tr>
            <w:tr>
              <w:trPr>
                <w:trHeight w:hRule="exact" w:val="9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IA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Strong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Significance: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predict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resistance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therapies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specific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type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been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professional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therapeutic, diagnostic, and/or prognostic biomarkers for specific types of tumors.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IB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" w:after="0"/>
                    <w:ind w:left="0" w:right="144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Strong Clinical Significance: Biomarkers that predict response or resistance to a 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 on well-powered studies with consensus from experts in the field, or have diagnostic and/or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7 of 10</w:t>
            </w:r>
          </w:p>
        </w:tc>
      </w:tr>
      <w:tr>
        <w:trPr>
          <w:trHeight w:hRule="exact" w:val="790"/>
        </w:trPr>
        <w:tc>
          <w:tcPr>
            <w:tcW w:type="dxa" w:w="25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25"/>
        <w:gridCol w:w="5425"/>
      </w:tblGrid>
      <w:tr>
        <w:trPr>
          <w:trHeight w:hRule="exact" w:val="488"/>
        </w:trPr>
        <w:tc>
          <w:tcPr>
            <w:tcW w:type="dxa" w:w="18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885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prognostic significance of certain diseases based on well-powered studies with expert consensus.</w:t>
            </w:r>
          </w:p>
        </w:tc>
      </w:tr>
      <w:tr>
        <w:trPr>
          <w:trHeight w:hRule="exact" w:val="1182"/>
        </w:trPr>
        <w:tc>
          <w:tcPr>
            <w:tcW w:type="dxa" w:w="1852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IIC</w:t>
            </w:r>
          </w:p>
        </w:tc>
        <w:tc>
          <w:tcPr>
            <w:tcW w:type="dxa" w:w="885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response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resistance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therapies approved by FDA or professional societies for a different tumor type (i.e., off-label use of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drug), serve as inclusion criteria for clinical trials, or have diagnostic and/or prognostic 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 on the results of multiple small studies.</w:t>
            </w:r>
          </w:p>
        </w:tc>
      </w:tr>
      <w:tr>
        <w:trPr>
          <w:trHeight w:hRule="exact" w:val="950"/>
        </w:trPr>
        <w:tc>
          <w:tcPr>
            <w:tcW w:type="dxa" w:w="18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IID</w:t>
            </w:r>
          </w:p>
        </w:tc>
        <w:tc>
          <w:tcPr>
            <w:tcW w:type="dxa" w:w="885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show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plausible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therapeutic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studies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assist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and/or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themselves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along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 other biomarkers based on small studies or multiple case reports with no consensus.</w:t>
            </w:r>
          </w:p>
        </w:tc>
      </w:tr>
      <w:tr>
        <w:trPr>
          <w:trHeight w:hRule="exact" w:val="710"/>
        </w:trPr>
        <w:tc>
          <w:tcPr>
            <w:tcW w:type="dxa" w:w="1852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III</w:t>
            </w:r>
          </w:p>
        </w:tc>
        <w:tc>
          <w:tcPr>
            <w:tcW w:type="dxa" w:w="8858"/>
            <w:shd w:fill="ececec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Unknown clinical significance (VUS): Not observed at a significant allele frequency in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subpopulation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pancancer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databases.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convincing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published evidence of cancer Association</w:t>
            </w:r>
          </w:p>
        </w:tc>
      </w:tr>
    </w:tbl>
    <w:p>
      <w:pPr>
        <w:autoSpaceDN w:val="0"/>
        <w:autoSpaceDE w:val="0"/>
        <w:widowControl/>
        <w:spacing w:line="234" w:lineRule="exact" w:before="242" w:after="0"/>
        <w:ind w:left="120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0"/>
        </w:rPr>
        <w:t>References: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4" w:after="0"/>
        <w:ind w:left="120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O&amp;#x27;Leary et al. Reference sequence (RefSeq) database at NCBI: current status, taxonomic expansion, and functional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annotation. Nucleic Acids Res. 2016 Jan 4;44(D1):D733-45. PMID: 26553804</w:t>
      </w:r>
    </w:p>
    <w:p>
      <w:pPr>
        <w:autoSpaceDN w:val="0"/>
        <w:autoSpaceDE w:val="0"/>
        <w:widowControl/>
        <w:spacing w:line="236" w:lineRule="exact" w:before="11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Nag et al. The MDM2-p53 pathway revisited. J Biomed Res. 2013 Jul;27(4):254-71. PMID: 23885265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Muller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therapeutic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opportunities.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2014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17;25(3):304-17.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24651012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Olivier et al. TP53 mutations in human cancers: origins, consequences, and clinical use. Cold Spring Harb Perspect Biol. 2010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Jan;2(1):a001008. PMID: 20182602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Guha et al. Inherited TP53 Mutations and the Li-Fraumeni Syndrome. Cold Spring Harb Perspect Med. 2017 Apr 3;7(4). 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28270529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Cerami et al. The cBio cancer genomics portal: an open platform for exploring multidimensional cancer genomics data. Cancer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Discov. 2012 May;2(5):401-4. PMID: 22588877</w:t>
      </w:r>
    </w:p>
    <w:p>
      <w:pPr>
        <w:autoSpaceDN w:val="0"/>
        <w:autoSpaceDE w:val="0"/>
        <w:widowControl/>
        <w:spacing w:line="234" w:lineRule="exact" w:before="11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Weinstein et al. The Cancer Genome Atlas Pan-Cancer analysis project. Nat. Genet. 2013 Oct;45(10):1113-20. PMID: 24071849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Peter et al. Comprehensive genomic characterization of squamous cell lung cancers. Nature. 2012 Sep 27;489(7417):519-25.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22960745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 Genome Atlas Network. Comprehensive genomic characterization of head and neck squamous cell carcinomas. Nature.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2015 Jan 29;517(7536):576-82. PMID: 25631445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186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Campbell et al. Distinct patterns of somatic genome alterations in lung adenocarcinomas and squamous cell carcinomas. Nat.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Genet. 2016 Jun;48(6):607-16. PMID: 27158780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12"/>
        <w:gridCol w:w="2712"/>
        <w:gridCol w:w="2712"/>
        <w:gridCol w:w="2712"/>
      </w:tblGrid>
      <w:tr>
        <w:trPr>
          <w:trHeight w:hRule="exact" w:val="23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8 of 10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84"/>
        <w:gridCol w:w="2684"/>
        <w:gridCol w:w="2684"/>
        <w:gridCol w:w="2684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04" w:lineRule="exact" w:before="0" w:after="0"/>
        <w:ind w:left="6" w:right="144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Atlas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Research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Network.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Integrated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characterization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oesophageal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carcinoma.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Nature.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Jan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12;541(7636):169-175. doi: 10.1038/nature20805. Epub 2017 Jan 4. PMID: 28052061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Olivier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IARC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database: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online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analysis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users.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2002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Jun;19(6):607-14. PMID: 12007217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Rivlin et al. Mutations in the p53 Tumor Suppressor Gene: Important Milestones at the Various Steps of Tumorigenesis. Genes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Cancer. 2011 Apr;2(4):466-74. PMID: 21779514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Petitjean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selection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impact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prognosis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outcomes.</w:t>
      </w:r>
    </w:p>
    <w:p>
      <w:pPr>
        <w:autoSpaceDN w:val="0"/>
        <w:tabs>
          <w:tab w:pos="366" w:val="left"/>
        </w:tabs>
        <w:autoSpaceDE w:val="0"/>
        <w:widowControl/>
        <w:spacing w:line="310" w:lineRule="exact" w:before="0" w:after="0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Oncogene. 2007 Apr 2;26(15):2157-65. PMID: 17401424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Soussi et al. Recommendations for analyzing and reporting TP53 gene variants in the high-throughput sequencing era. Hum.</w:t>
      </w:r>
    </w:p>
    <w:p>
      <w:pPr>
        <w:autoSpaceDN w:val="0"/>
        <w:tabs>
          <w:tab w:pos="366" w:val="left"/>
        </w:tabs>
        <w:autoSpaceDE w:val="0"/>
        <w:widowControl/>
        <w:spacing w:line="304" w:lineRule="exact" w:before="0" w:after="56"/>
        <w:ind w:left="6" w:right="432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Mutat. 2014 Jun;35(6):766-78. PMID: 24729566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https://www.globenewswire.com/news-release/2020/10/13/2107498/0/en/PMV-Pharma-Granted-FDA-Fast-Track-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Designation-of-PC14586-for-the-Treatment-of-Advanced-Cancer-Patients-that-have-Tumors-with-a-p53-Y220C-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Mutation.html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https://ir.aprea.com//news-releases/news-release-details/aprea-therapeutics-receives-fda-fast-track-designation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http://vp280.alertir.com/en/pressreleases/karolinska-development%27s-portfolio-company-aprea-therapeutics-receives-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fda-breakthrough-therapy-designation-1769167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>
        <w:trPr>
          <w:trHeight w:hRule="exact" w:val="310"/>
        </w:trPr>
        <w:tc>
          <w:tcPr>
            <w:tcW w:type="dxa" w:w="7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Parrales</w:t>
            </w:r>
          </w:p>
        </w:tc>
        <w:tc>
          <w:tcPr>
            <w:tcW w:type="dxa" w:w="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et</w:t>
            </w:r>
          </w:p>
        </w:tc>
        <w:tc>
          <w:tcPr>
            <w:tcW w:type="dxa" w:w="3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al.</w:t>
            </w:r>
          </w:p>
        </w:tc>
        <w:tc>
          <w:tcPr>
            <w:tcW w:type="dxa" w:w="9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Targeting</w:t>
            </w:r>
          </w:p>
        </w:tc>
        <w:tc>
          <w:tcPr>
            <w:tcW w:type="dxa" w:w="10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Oncogenic</w:t>
            </w:r>
          </w:p>
        </w:tc>
        <w:tc>
          <w:tcPr>
            <w:tcW w:type="dxa" w:w="7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Mutant</w:t>
            </w:r>
          </w:p>
        </w:tc>
        <w:tc>
          <w:tcPr>
            <w:tcW w:type="dxa" w:w="4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p53</w:t>
            </w:r>
          </w:p>
        </w:tc>
        <w:tc>
          <w:tcPr>
            <w:tcW w:type="dxa" w:w="4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for</w:t>
            </w:r>
          </w:p>
        </w:tc>
        <w:tc>
          <w:tcPr>
            <w:tcW w:type="dxa" w:w="7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Cancer</w:t>
            </w:r>
          </w:p>
        </w:tc>
        <w:tc>
          <w:tcPr>
            <w:tcW w:type="dxa" w:w="9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Therapy.</w:t>
            </w:r>
          </w:p>
        </w:tc>
        <w:tc>
          <w:tcPr>
            <w:tcW w:type="dxa" w:w="6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Front</w:t>
            </w:r>
          </w:p>
        </w:tc>
        <w:tc>
          <w:tcPr>
            <w:tcW w:type="dxa" w:w="6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Oncol.</w:t>
            </w:r>
          </w:p>
        </w:tc>
        <w:tc>
          <w:tcPr>
            <w:tcW w:type="dxa" w:w="5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2015</w:t>
            </w:r>
          </w:p>
        </w:tc>
        <w:tc>
          <w:tcPr>
            <w:tcW w:type="dxa" w:w="4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Dec</w:t>
            </w:r>
          </w:p>
        </w:tc>
        <w:tc>
          <w:tcPr>
            <w:tcW w:type="dxa" w:w="94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21;5:288.</w:t>
            </w:r>
          </w:p>
        </w:tc>
        <w:tc>
          <w:tcPr>
            <w:tcW w:type="dxa" w:w="50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doi: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24" w:lineRule="exact" w:before="0" w:after="232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10.3389/fonc.2015.00288. eCollection 2015. PMID: 26732534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Zhao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Molecularly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targeted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therapies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p53-mutant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Life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Sci.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Nov;74(22):4171-4187.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28643165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Louis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WHO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Classification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Tumors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Central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Nervous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System: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summary.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Neuro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Oncol.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Aug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2;23(8):1231-1251. PMID: 34185076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Myeloid Leukemia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Döhner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Diagnosis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management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AML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adults: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2022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from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international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expert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panel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behalf of the ELN. Blood. 2022 Sep 22;140(12):1345-1377. PMID: 35797463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NCCN-Myelodysplastic Syndromes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NCCN-Myeloproliferative Neoplasms [Version 1.2025]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NCCN-Chronic Lymphocytic Leukemia/Small Lymphocytic Lymphoma [Version 3.2025]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Lymphoblastic Leukemia [Version 3.2024]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NCCN Guidelines&amp;amp;reg; - NCCN-B-Cell Lymphomas [Version 2.2025]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84"/>
        <w:gridCol w:w="2684"/>
        <w:gridCol w:w="2684"/>
        <w:gridCol w:w="2684"/>
      </w:tblGrid>
      <w:tr>
        <w:trPr>
          <w:trHeight w:hRule="exact" w:val="23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9 of 10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684"/>
            <w:vMerge/>
            <w:tcBorders/>
          </w:tcPr>
          <w:p/>
        </w:tc>
        <w:tc>
          <w:tcPr>
            <w:tcW w:type="dxa" w:w="37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84"/>
        <w:gridCol w:w="2684"/>
        <w:gridCol w:w="2684"/>
        <w:gridCol w:w="2684"/>
      </w:tblGrid>
      <w:tr>
        <w:trPr>
          <w:trHeight w:hRule="exact" w:val="264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8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34" w:lineRule="exact" w:before="78" w:after="0"/>
        <w:ind w:left="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Bernard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Implications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allelic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state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stability,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clinical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presentation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myelodysplastic</w:t>
      </w:r>
    </w:p>
    <w:p>
      <w:pPr>
        <w:autoSpaceDN w:val="0"/>
        <w:autoSpaceDE w:val="0"/>
        <w:widowControl/>
        <w:spacing w:line="234" w:lineRule="exact" w:before="36" w:after="0"/>
        <w:ind w:left="36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syndromes. Nat. Med. 2020 Aug 3. PMID: 32747829</w:t>
      </w:r>
    </w:p>
    <w:p>
      <w:pPr>
        <w:autoSpaceDN w:val="0"/>
        <w:autoSpaceDE w:val="0"/>
        <w:widowControl/>
        <w:spacing w:line="246" w:lineRule="exact" w:before="584" w:after="8312"/>
        <w:ind w:left="0" w:right="376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>------------------ End Of Report ------------------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84"/>
        <w:gridCol w:w="2684"/>
        <w:gridCol w:w="2684"/>
        <w:gridCol w:w="2684"/>
      </w:tblGrid>
      <w:tr>
        <w:trPr>
          <w:trHeight w:hRule="exact" w:val="23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10 of 10</w:t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  <w:tc>
          <w:tcPr>
            <w:tcW w:type="dxa" w:w="2152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/>
        </w:tc>
      </w:tr>
      <w:tr>
        <w:trPr>
          <w:trHeight w:hRule="exact" w:val="79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684"/>
            <w:vMerge/>
            <w:tcBorders/>
          </w:tcPr>
          <w:p/>
        </w:tc>
        <w:tc>
          <w:tcPr>
            <w:tcW w:type="dxa" w:w="376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20"/>
            <w:tcMar>
              <w:start w:w="0" w:type="dxa"/>
              <w:end w:w="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</w:tbl>
    <w:sectPr w:rsidR="00FC693F" w:rsidRPr="0006063C" w:rsidSect="00034616">
      <w:footerReference w:type="default" r:id="rId21"/>
      <w:footerReference w:type="first" r:id="rId22"/>
      <w:footerReference w:type="even" r:id="rId23"/>
      <w:pgSz w:w="11906" w:h="16838"/>
      <w:pgMar w:top="312" w:right="466" w:bottom="210" w:left="7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r_vinay_signatu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1143000" cy="11178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1784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363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image2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3633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363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image2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3633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3633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image2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3633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Relationship Id="rId16" Type="http://schemas.openxmlformats.org/officeDocument/2006/relationships/footer" Target="footer2.xml"/><Relationship Id="rId17" Type="http://schemas.openxmlformats.org/officeDocument/2006/relationships/footer" Target="footer3.xml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Relationship Id="rId21" Type="http://schemas.openxmlformats.org/officeDocument/2006/relationships/footer" Target="footer4.xml"/><Relationship Id="rId22" Type="http://schemas.openxmlformats.org/officeDocument/2006/relationships/footer" Target="footer5.xml"/><Relationship Id="rId23" Type="http://schemas.openxmlformats.org/officeDocument/2006/relationships/footer" Target="footer6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4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