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34" w:after="358"/>
        <w:ind w:left="0" w:right="0" w:firstLine="0"/>
        <w:jc w:val="center"/>
      </w:pP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0.0" w:type="dxa"/>
      </w:tblPr>
      <w:tblGrid>
        <w:gridCol w:w="9038"/>
      </w:tblGrid>
      <w:tr>
        <w:trPr>
          <w:trHeight w:hRule="exact" w:val="1688"/>
        </w:trPr>
        <w:tc>
          <w:tcPr>
            <w:tcW w:type="dxa" w:w="4484"/>
            <w:tcBorders>
              <w:top w:sz="6.400000000000091" w:val="single" w:color="#0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2" w:val="left"/>
              </w:tabs>
              <w:autoSpaceDE w:val="0"/>
              <w:widowControl/>
              <w:spacing w:line="245" w:lineRule="auto" w:before="1144" w:after="0"/>
              <w:ind w:left="664" w:right="576" w:firstLine="0"/>
              <w:jc w:val="left"/>
            </w:pP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480"/>
        </w:trPr>
        <w:tc>
          <w:tcPr>
            <w:tcW w:type="dxa" w:w="10710"/>
            <w:tcBorders>
              <w:start w:sz="6.400000000000006" w:val="single" w:color="#4AABC4"/>
              <w:top w:sz="6.400000000000091" w:val="single" w:color="#4AABC4"/>
              <w:end w:sz="5.600000000000364" w:val="single" w:color="#4AABC4"/>
              <w:bottom w:sz="6.400000000000091" w:val="single" w:color="#4AABC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.99999999999999" w:type="dxa"/>
            </w:tblPr>
            <w:tblGrid>
              <w:gridCol w:w="10710"/>
            </w:tblGrid>
            <w:tr>
              <w:trPr>
                <w:trHeight w:hRule="exact" w:val="272"/>
              </w:trPr>
              <w:tc>
                <w:tcPr>
                  <w:tcW w:type="dxa" w:w="1876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40" w:lineRule="auto" w:before="1196" w:after="230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872"/>
        </w:trPr>
        <w:tc>
          <w:tcPr>
            <w:tcW w:type="dxa" w:w="1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" w:val="left"/>
                <w:tab w:pos="1758" w:val="left"/>
                <w:tab w:pos="1846" w:val="left"/>
                <w:tab w:pos="3108" w:val="left"/>
                <w:tab w:pos="3200" w:val="left"/>
                <w:tab w:pos="4682" w:val="left"/>
                <w:tab w:pos="4772" w:val="left"/>
                <w:tab w:pos="6124" w:val="left"/>
                <w:tab w:pos="6204" w:val="left"/>
                <w:tab w:pos="8530" w:val="left"/>
                <w:tab w:pos="8596" w:val="left"/>
              </w:tabs>
              <w:autoSpaceDE w:val="0"/>
              <w:widowControl/>
              <w:spacing w:line="293" w:lineRule="auto" w:before="60" w:after="0"/>
              <w:ind w:left="4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Tier I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Tier II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III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Tier III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MSI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MSI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Therapies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Therapies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Clinical 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Clinical Trials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043" w:type="dxa"/>
            </w:tblPr>
            <w:tblGrid>
              <w:gridCol w:w="1834"/>
              <w:gridCol w:w="1834"/>
              <w:gridCol w:w="1834"/>
              <w:gridCol w:w="1834"/>
              <w:gridCol w:w="1834"/>
              <w:gridCol w:w="1834"/>
            </w:tblGrid>
            <w:tr>
              <w:trPr>
                <w:trHeight w:hRule="exact" w:val="218"/>
              </w:trPr>
              <w:tc>
                <w:tcPr>
                  <w:tcW w:type="dxa" w:w="10710"/>
                  <w:gridSpan w:val="6"/>
                  <w:tcBorders>
                    <w:top w:sz="12.0" w:val="single" w:color="#1F497D"/>
                    <w:bottom w:sz="5.599999999999909" w:val="single" w:color="#D9ECF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6"/>
              </w:trPr>
              <w:tc>
                <w:tcPr>
                  <w:tcW w:type="dxa" w:w="1380"/>
                  <w:tcBorders>
                    <w:start w:sz="6.400000000000006" w:val="single" w:color="#D9ECF2"/>
                    <w:top w:sz="5.599999999999909" w:val="single" w:color="#D9ECF2"/>
                    <w:end w:sz="6.399999999999977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364"/>
                  <w:tcBorders>
                    <w:start w:sz="6.399999999999977" w:val="single" w:color="#D9ECF2"/>
                    <w:top w:sz="5.599999999999909" w:val="single" w:color="#D9ECF2"/>
                    <w:end w:sz="6.400000000000091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412"/>
                  <w:tcBorders>
                    <w:start w:sz="6.400000000000091" w:val="single" w:color="#D9ECF2"/>
                    <w:top w:sz="5.599999999999909" w:val="single" w:color="#D9ECF2"/>
                    <w:end w:sz="5.599999999999909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438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Stable</w:t>
                  </w:r>
                </w:p>
              </w:tc>
              <w:tc>
                <w:tcPr>
                  <w:tcW w:type="dxa" w:w="2010"/>
                  <w:tcBorders>
                    <w:start w:sz="5.599999999999909" w:val="single" w:color="#D9ECF2"/>
                    <w:top w:sz="5.599999999999909" w:val="single" w:color="#D9ECF2"/>
                    <w:end w:sz="6.400000000000091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3106"/>
                  <w:tcBorders>
                    <w:start w:sz="6.400000000000091" w:val="single" w:color="#D9ECF2"/>
                    <w:top w:sz="5.599999999999909" w:val="single" w:color="#D9ECF2"/>
                    <w:end w:sz="5.600000000000364" w:val="single" w:color="#D9ECF2"/>
                    <w:bottom w:sz="6.400000000000091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20" w:after="164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496"/>
        </w:trPr>
        <w:tc>
          <w:tcPr>
            <w:tcW w:type="dxa" w:w="1572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3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54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Gene &amp; Transcript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22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74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454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Exon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78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Coverage/ VAF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Coverage/VAF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46"/>
        </w:trPr>
        <w:tc>
          <w:tcPr>
            <w:tcW w:type="dxa" w:w="1528"/>
            <w:tcBorders>
              <w:start w:sz="6.400000000000006" w:val="single" w:color="#D9ECF2"/>
              <w:top w:sz="6.400000000000091" w:val="single" w:color="#D9ECF2"/>
              <w:end w:sz="5.600000000000023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20"/>
            <w:tcBorders>
              <w:start w:sz="5.600000000000023" w:val="single" w:color="#D9ECF2"/>
              <w:top w:sz="6.400000000000091" w:val="single" w:color="#D9ECF2"/>
              <w:end w:sz="5.599999999999909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2"/>
            <w:tcBorders>
              <w:start w:sz="5.599999999999909" w:val="single" w:color="#D9ECF2"/>
              <w:top w:sz="6.400000000000091" w:val="single" w:color="#D9ECF2"/>
              <w:end w:sz="5.599999999999909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4"/>
            <w:tcBorders>
              <w:start w:sz="5.599999999999909" w:val="single" w:color="#D9ECF2"/>
              <w:top w:sz="6.400000000000091" w:val="single" w:color="#D9ECF2"/>
              <w:end w:sz="6.400000000000091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6"/>
            <w:tcBorders>
              <w:start w:sz="6.400000000000091" w:val="single" w:color="#D9ECF2"/>
              <w:top w:sz="6.400000000000091" w:val="single" w:color="#D9ECF2"/>
              <w:end w:sz="5.600000000000364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40" w:lineRule="auto" w:before="50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40" w:lineRule="auto" w:before="3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40" w:lineRule="auto" w:before="222" w:after="178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3013"/>
        <w:gridCol w:w="3013"/>
        <w:gridCol w:w="3013"/>
      </w:tblGrid>
      <w:tr>
        <w:trPr>
          <w:trHeight w:hRule="exact" w:val="496"/>
        </w:trPr>
        <w:tc>
          <w:tcPr>
            <w:tcW w:type="dxa" w:w="4352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1308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Assay Biomarker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2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1034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Result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338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87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Interpretation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3013"/>
        <w:gridCol w:w="3013"/>
        <w:gridCol w:w="3013"/>
      </w:tblGrid>
      <w:tr>
        <w:trPr>
          <w:trHeight w:hRule="exact" w:val="496"/>
        </w:trPr>
        <w:tc>
          <w:tcPr>
            <w:tcW w:type="dxa" w:w="4440"/>
            <w:tcBorders>
              <w:start w:sz="6.400000000000006" w:val="single" w:color="#D9ECF2"/>
              <w:top w:sz="6.399999999999636" w:val="single" w:color="#D9ECF2"/>
              <w:end w:sz="6.400000000000091" w:val="single" w:color="#D9ECF2"/>
              <w:bottom w:sz="6.399999999999636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4"/>
            <w:tcBorders>
              <w:start w:sz="6.400000000000091" w:val="single" w:color="#D9ECF2"/>
              <w:top w:sz="6.399999999999636" w:val="single" w:color="#D9ECF2"/>
              <w:end w:sz="6.400000000000091" w:val="single" w:color="#D9ECF2"/>
              <w:bottom w:sz="6.399999999999636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6"/>
            <w:tcBorders>
              <w:start w:sz="6.400000000000091" w:val="single" w:color="#D9ECF2"/>
              <w:top w:sz="6.399999999999636" w:val="single" w:color="#D9ECF2"/>
              <w:end w:sz="5.600000000000364" w:val="single" w:color="#D9ECF2"/>
              <w:bottom w:sz="6.399999999999636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3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40" w:lineRule="auto" w:before="50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40" w:lineRule="auto" w:before="3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prognosis or therapeutic decisions.</w:t>
      </w:r>
    </w:p>
    <w:p>
      <w:pPr>
        <w:sectPr>
          <w:footerReference w:type="default" r:id="rId10"/>
          <w:footerReference w:type="first" r:id="rId11"/>
          <w:footerReference w:type="even" r:id="rId12"/>
          <w:headerReference w:type="default" r:id="rId13"/>
          <w:headerReference w:type="first" r:id="rId14"/>
          <w:headerReference w:type="even" r:id="rId15"/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2" w:after="178"/>
        <w:ind w:left="95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9"/>
        <w:gridCol w:w="4519"/>
      </w:tblGrid>
      <w:tr>
        <w:trPr>
          <w:trHeight w:hRule="exact" w:val="540"/>
        </w:trPr>
        <w:tc>
          <w:tcPr>
            <w:tcW w:type="dxa" w:w="44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72"/>
            </w:tblGrid>
            <w:tr>
              <w:trPr>
                <w:trHeight w:hRule="exact" w:val="520"/>
              </w:trPr>
              <w:tc>
                <w:tcPr>
                  <w:tcW w:type="dxa" w:w="3312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42" w:after="0"/>
                    <w:ind w:left="0" w:right="1124" w:firstLine="0"/>
                    <w:jc w:val="righ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Variant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0.0" w:type="dxa"/>
            </w:tblPr>
            <w:tblGrid>
              <w:gridCol w:w="6238"/>
            </w:tblGrid>
            <w:tr>
              <w:trPr>
                <w:trHeight w:hRule="exact" w:val="382"/>
              </w:trPr>
              <w:tc>
                <w:tcPr>
                  <w:tcW w:type="dxa" w:w="3540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0" w:right="1554" w:firstLine="0"/>
                    <w:jc w:val="righ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008"/>
        </w:trPr>
        <w:tc>
          <w:tcPr>
            <w:tcW w:type="dxa" w:w="107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67"/>
              <w:gridCol w:w="3567"/>
              <w:gridCol w:w="3567"/>
            </w:tblGrid>
            <w:tr>
              <w:trPr>
                <w:trHeight w:hRule="exact" w:val="510"/>
              </w:trPr>
              <w:tc>
                <w:tcPr>
                  <w:tcW w:type="dxa" w:w="3554"/>
                  <w:tcBorders>
                    <w:start w:sz="6.400000000000006" w:val="single" w:color="#D9ECF2"/>
                    <w:top w:sz="5.599999999999909" w:val="single" w:color="#D9ECF2"/>
                    <w:end w:sz="5.599999999999909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2"/>
                  <w:tcBorders>
                    <w:start w:sz="5.599999999999909" w:val="single" w:color="#D9ECF2"/>
                    <w:top w:sz="5.599999999999909" w:val="single" w:color="#D9ECF2"/>
                    <w:end w:sz="6.400000000000091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33.9999999999998" w:type="dxa"/>
                  </w:tblPr>
                  <w:tblGrid>
                    <w:gridCol w:w="3562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454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In This Cancer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578"/>
                  <w:tcBorders>
                    <w:start w:sz="6.400000000000091" w:val="single" w:color="#D9ECF2"/>
                    <w:top w:sz="5.599999999999909" w:val="single" w:color="#D9ECF2"/>
                    <w:end w:sz="5.600000000000364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63.9999999999998" w:type="dxa"/>
                  </w:tblPr>
                  <w:tblGrid>
                    <w:gridCol w:w="357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06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In Other Cancer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78"/>
              </w:trPr>
              <w:tc>
                <w:tcPr>
                  <w:tcW w:type="dxa" w:w="35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48" w:after="0"/>
                    <w:ind w:left="1296" w:right="1296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IIC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356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0" w:after="0"/>
                    <w:ind w:left="11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6666"/>
                      <w:sz w:val="24"/>
                    </w:rPr>
                    <w:t>▪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  <w:tc>
                <w:tcPr>
                  <w:tcW w:type="dxa" w:w="357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3578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3554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2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6666"/>
                            <w:sz w:val="24"/>
                          </w:rPr>
                          <w:t>▪</w:t>
                        </w: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None*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tabs>
                <w:tab w:pos="1124" w:val="left"/>
                <w:tab w:pos="3712" w:val="left"/>
                <w:tab w:pos="3780" w:val="left"/>
                <w:tab w:pos="7670" w:val="left"/>
                <w:tab w:pos="7736" w:val="left"/>
              </w:tabs>
              <w:autoSpaceDE w:val="0"/>
              <w:widowControl/>
              <w:spacing w:line="290" w:lineRule="auto" w:before="462" w:after="0"/>
              <w:ind w:left="104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Variant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Diagnostic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Diagnostic Significance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Prognostic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Prognostic Significance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043" w:type="dxa"/>
            </w:tblPr>
            <w:tblGrid>
              <w:gridCol w:w="3567"/>
              <w:gridCol w:w="3567"/>
              <w:gridCol w:w="3567"/>
            </w:tblGrid>
            <w:tr>
              <w:trPr>
                <w:trHeight w:hRule="exact" w:val="202"/>
              </w:trPr>
              <w:tc>
                <w:tcPr>
                  <w:tcW w:type="dxa" w:w="10710"/>
                  <w:gridSpan w:val="3"/>
                  <w:tcBorders>
                    <w:top w:sz="12.0" w:val="single" w:color="#1F497D"/>
                    <w:bottom w:sz="5.599999999999909" w:val="single" w:color="#D9ECF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24"/>
              </w:trPr>
              <w:tc>
                <w:tcPr>
                  <w:tcW w:type="dxa" w:w="2788"/>
                  <w:tcBorders>
                    <w:start w:sz="6.400000000000006" w:val="single" w:color="#D9ECF2"/>
                    <w:top w:sz="5.599999999999909" w:val="single" w:color="#D9ECF2"/>
                    <w:end w:sz="5.599999999999909" w:val="single" w:color="#D9ECF2"/>
                    <w:bottom w:sz="5.599999999999909" w:val="single" w:color="#D9ECF2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2" w:after="0"/>
                    <w:ind w:left="864" w:right="86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3962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  <w:bottom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6" w:after="0"/>
                    <w:ind w:left="8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  <w:tc>
                <w:tcPr>
                  <w:tcW w:type="dxa" w:w="3960"/>
                  <w:tcBorders>
                    <w:start w:sz="5.599999999999909" w:val="single" w:color="#D9ECF2"/>
                    <w:top w:sz="5.599999999999909" w:val="single" w:color="#D9ECF2"/>
                    <w:end w:sz="5.600000000000364" w:val="single" w:color="#D9ECF2"/>
                    <w:bottom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4519"/>
        <w:gridCol w:w="4519"/>
      </w:tblGrid>
      <w:tr>
        <w:trPr>
          <w:trHeight w:hRule="exact" w:val="932"/>
        </w:trPr>
        <w:tc>
          <w:tcPr>
            <w:tcW w:type="dxa" w:w="3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  <w:tab w:pos="914" w:val="left"/>
              </w:tabs>
              <w:autoSpaceDE w:val="0"/>
              <w:widowControl/>
              <w:spacing w:line="406" w:lineRule="auto" w:before="40" w:after="0"/>
              <w:ind w:left="314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8080"/>
                <w:sz w:val="24"/>
              </w:rPr>
              <w:t xml:space="preserve">Biomarker Description: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28" w:after="0"/>
              <w:ind w:left="0" w:right="308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Biomarker Description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Biomarker Description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9"/>
        <w:gridCol w:w="4519"/>
      </w:tblGrid>
      <w:tr>
        <w:trPr>
          <w:trHeight w:hRule="exact" w:val="4524"/>
        </w:trPr>
        <w:tc>
          <w:tcPr>
            <w:tcW w:type="dxa" w:w="2368"/>
            <w:tcBorders>
              <w:start w:sz="6.400000000000006" w:val="single" w:color="#D9ECF2"/>
              <w:top w:sz="6.400000000000091" w:val="single" w:color="#D9ECF2"/>
              <w:end w:sz="5.599999999999909" w:val="single" w:color="#D9ECF2"/>
              <w:bottom w:sz="6.399999999999636" w:val="single" w:color="#D9ECF2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4" w:after="0"/>
              <w:ind w:left="100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NM_000546.6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chr17:7578525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8342"/>
            <w:tcBorders>
              <w:start w:sz="5.599999999999909" w:val="single" w:color="#D9ECF2"/>
              <w:top w:sz="6.400000000000091" w:val="single" w:color="#D9ECF2"/>
              <w:end w:sz="5.600000000000364" w:val="single" w:color="#D9ECF2"/>
              <w:bottom w:sz="6.399999999999636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TP53 gene encodes the tumor suppressor protein p53, which binds to DNA and activates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transcription in response to diverse cellular stresses to induce cell cycle arrest, apoptosis,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repair[1]. In unstressed cells, TP53 is kept inactive by targeted degradation via MDM2,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substrate recognition factor for ubiquitin-dependent proteolysis[2]. Alterations in TP53 are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required for oncogenesis as they result in loss of protein function and gain of transforming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potential[3]. Germline mutations in TP53 are the underlying cause of Li-Fraumeni syndrome,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complex hereditary cancer predisposition disorder associated with early-onset cancers[4,5].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is the most frequently mutated gene in the cancer genome with approximately half of all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experiencing TP53 mutations. Ovarian, head and neck, esophageal, and lung squamous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have particularly high TP53 mutation rates (60-90%)[6,7,8,9,10,11]. Approximately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two-thirds of TP53 mutations are missense mutations and several recurrent missense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mutations are common, including substitutions at codons R158, R175, Y220, R248, R273,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R282[6,7]. Invariably, recurrent missense mutations in TP53 inactivate its ability to bind 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activate transcription of target genes[12,13,14,15]. Alterations in TP53 are also observed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pediatric cancers[6,7]. Somatic mutations are observed in 53% of non-Hodgkin lymphoma,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24% of soft tissue sarcoma, 19% of glioma, 13% of bone cancer, 9% of B-lymphoblastic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leukemia/lymphoma, 4% of embryonal tumors, 3% of Wilms tumor and leukemia, 2% of T-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lymphoblastic leukemia/lymphoma, and less than 1% of peripheral nervous system cancers (5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1158 cases )[6,7]. Biallelic loss of TP53 is observed in 10% of bone cancer, 2% of Wilms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151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104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tumor, and less than 1% of B-lymphoblastic leukemia/lymphoma (2 in 731 cases) and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tumor, and less than 1% of B-lymphoblastic leukemia/lymphoma (2 in 731 cases) and</w:t>
            </w:r>
          </w:p>
          <w:p>
            <w:pPr>
              <w:autoSpaceDN w:val="0"/>
              <w:tabs>
                <w:tab w:pos="2506" w:val="left"/>
                <w:tab w:pos="4668" w:val="left"/>
                <w:tab w:pos="6278" w:val="left"/>
                <w:tab w:pos="7868" w:val="left"/>
                <w:tab w:pos="9622" w:val="left"/>
              </w:tabs>
              <w:autoSpaceDE w:val="0"/>
              <w:widowControl/>
              <w:spacing w:line="314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leukemia (1 in 250 cases)[6,7]. The small molecule p53 reactivator, PC14586[16] (2020),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cases)[6,7].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received a fast track designation by the FDA for advanced tumors harboring a TP53 Y220C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FDA for advanced tumors harboring a TP53 Y220C mutation. The FDA has granted fast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mutation. The FDA has granted fast track designation to the p53 reactivator,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track designation to the p53 reactivator, eprenetapopt[17], (2019) and breakthrough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eprenetapopt[17], (2019) and breakthrough designation[18] (2020) in combination with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designation[18] (2020) in combination with azacitidine or azacitidine and venetoclax for acute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38"/>
      </w:tblGrid>
      <w:tr>
        <w:trPr>
          <w:trHeight w:hRule="exact" w:val="3074"/>
        </w:trPr>
        <w:tc>
          <w:tcPr>
            <w:tcW w:type="dxa" w:w="10724"/>
            <w:tcBorders>
              <w:bottom w:sz="6.400000000000091" w:val="single" w:color="#D9ECF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53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myelodysplastic syndrome (MDS) harboring a TP53 mutation, respectively. In addition to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mutation, respectively. In addition to investigational therapies aimed at restoring wild-type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investigational therapies aimed at restoring wild-type TP53 activity, compounds that</w:t>
            </w:r>
          </w:p>
          <w:p>
            <w:pPr>
              <w:autoSpaceDN w:val="0"/>
              <w:tabs>
                <w:tab w:pos="2556" w:val="left"/>
                <w:tab w:pos="3110" w:val="left"/>
                <w:tab w:pos="3970" w:val="left"/>
                <w:tab w:pos="5154" w:val="left"/>
                <w:tab w:pos="5684" w:val="left"/>
                <w:tab w:pos="6444" w:val="left"/>
                <w:tab w:pos="7414" w:val="left"/>
                <w:tab w:pos="8306" w:val="left"/>
                <w:tab w:pos="8770" w:val="left"/>
                <w:tab w:pos="9300" w:val="left"/>
                <w:tab w:pos="10000" w:val="left"/>
              </w:tabs>
              <w:autoSpaceDE w:val="0"/>
              <w:widowControl/>
              <w:spacing w:line="25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induce synthetic lethality are also under clinical evaluation[19,20]. TP53 mutation are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</w:p>
          <w:p>
            <w:pPr>
              <w:autoSpaceDN w:val="0"/>
              <w:autoSpaceDE w:val="0"/>
              <w:widowControl/>
              <w:spacing w:line="29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evaluation[19,20]. TP53 mutation are a diagnostic marker of SHH-activated, TP53-mutant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diagnostic marker of SHH-activated, TP53-mutant medulloblastoma[21]. TP53 mutations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medulloblastoma[21]. TP53 mutations confer poor prognosis and poor risk in multiple blood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confer poor prognosis and poor risk in multiple blood cancers including AML, MDS,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including AML, MDS, myeloproliferative neoplasms (MPN), and chronic lymphocytic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myeloproliferative neoplasms (MPN), and chronic lymphocytic leukemia (CLL), and acute</w:t>
            </w:r>
          </w:p>
          <w:p>
            <w:pPr>
              <w:autoSpaceDN w:val="0"/>
              <w:autoSpaceDE w:val="0"/>
              <w:widowControl/>
              <w:spacing w:line="338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(CLL), and acute lymphoblastic leukemia (ALL)[22,23,24,25,26,27]. In mantle cell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lymphoblastic leukemia (ALL)[22,23,24,25,26,27]. In mantle cell lymphoma, TP53</w:t>
            </w:r>
          </w:p>
          <w:p>
            <w:pPr>
              <w:autoSpaceDN w:val="0"/>
              <w:autoSpaceDE w:val="0"/>
              <w:widowControl/>
              <w:spacing w:line="444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including hematopoietic cell transplant[28]. Mono- and bi-allelic mutations in TP53 confer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lymphoma, TP53 mutations are associated with poor prognosis when treated with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mutations are associated with poor prognosis when treated with conventional therapy</w:t>
            </w:r>
          </w:p>
          <w:p>
            <w:pPr>
              <w:autoSpaceDN w:val="0"/>
              <w:autoSpaceDE w:val="0"/>
              <w:widowControl/>
              <w:spacing w:line="32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conventional therapy including hematopoietic cell transplant[28]. Mono- and bi-allelic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unique characteristics in MDS, with multi-hit patients also experiencing associations with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5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complex karyotype, few co-occurring mutations, and high-risk disease presentation as well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 in TP53 confer unique characteristics in MDS, with multi-hit patients also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experiencing associations with complex karyotype, few co-occurring mutations, and high-risk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as predicted death and leukemic transformation independent of the IPSS-R staging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disease presentation as well as predicted death and leukemic transformation independent of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system[29].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0" w:lineRule="auto" w:before="290" w:after="0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Therapy &amp; Clinical Trials:</w:t>
      </w:r>
    </w:p>
    <w:p>
      <w:pPr>
        <w:autoSpaceDN w:val="0"/>
        <w:autoSpaceDE w:val="0"/>
        <w:widowControl/>
        <w:spacing w:line="240" w:lineRule="auto" w:before="402" w:after="8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TP53 p.(C135*) c.405C&gt;A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32"/>
        </w:trPr>
        <w:tc>
          <w:tcPr>
            <w:tcW w:type="dxa" w:w="4452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1280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Therapy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Therapy</w:t>
            </w:r>
          </w:p>
        </w:tc>
        <w:tc>
          <w:tcPr>
            <w:tcW w:type="dxa" w:w="2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25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FDA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FDA</w:t>
            </w:r>
          </w:p>
        </w:tc>
        <w:tc>
          <w:tcPr>
            <w:tcW w:type="dxa" w:w="11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NCCN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NCCN</w:t>
            </w:r>
          </w:p>
        </w:tc>
        <w:tc>
          <w:tcPr>
            <w:tcW w:type="dxa" w:w="1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EMA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EMA</w:t>
            </w:r>
          </w:p>
        </w:tc>
        <w:tc>
          <w:tcPr>
            <w:tcW w:type="dxa" w:w="11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ESMO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ESMO</w:t>
            </w:r>
          </w:p>
        </w:tc>
        <w:tc>
          <w:tcPr>
            <w:tcW w:type="dxa" w:w="1058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Trials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48"/>
        </w:trPr>
        <w:tc>
          <w:tcPr>
            <w:tcW w:type="dxa" w:w="5416"/>
            <w:tcBorders>
              <w:start w:sz="6.400000000000006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</w:t>
            </w:r>
          </w:p>
        </w:tc>
        <w:tc>
          <w:tcPr>
            <w:tcW w:type="dxa" w:w="1020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>
              <w:start w:sz="5.599999999999909" w:val="single" w:color="#D9ECF2"/>
              <w:top w:sz="5.600000000000364" w:val="single" w:color="#D9ECF2"/>
              <w:end w:sz="5.600000000000364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5.600000000000364" w:val="single" w:color="#D9ECF2"/>
              <w:top w:sz="5.600000000000364" w:val="single" w:color="#D9ECF2"/>
              <w:end w:sz="5.600000000000364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6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atezolizumab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66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azenosertib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6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6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ART-6043, olaparib, niraparib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ATRN-119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6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6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GSK-101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VB-15010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2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2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36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GenSci-122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8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494"/>
        </w:trPr>
        <w:tc>
          <w:tcPr>
            <w:tcW w:type="dxa" w:w="15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72"/>
            </w:tblGrid>
            <w:tr>
              <w:trPr>
                <w:trHeight w:hRule="exact" w:val="474"/>
              </w:trPr>
              <w:tc>
                <w:tcPr>
                  <w:tcW w:type="dxa" w:w="1192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10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GH-2616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6" w:after="0"/>
              <w:ind w:left="0" w:right="136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GH-2616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4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52"/>
        </w:trPr>
        <w:tc>
          <w:tcPr>
            <w:tcW w:type="dxa" w:w="5416"/>
            <w:tcBorders>
              <w:start w:sz="6.400000000000006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20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>
              <w:start w:sz="5.599999999999909" w:val="single" w:color="#D9ECF2"/>
              <w:top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5.600000000000364" w:val="single" w:color="#D9ECF2"/>
              <w:top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45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65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28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28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5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94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608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608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9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22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8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086"/>
        </w:trPr>
        <w:tc>
          <w:tcPr>
            <w:tcW w:type="dxa" w:w="543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36"/>
            </w:tblGrid>
            <w:tr>
              <w:trPr>
                <w:trHeight w:hRule="exact" w:val="474"/>
              </w:trPr>
              <w:tc>
                <w:tcPr>
                  <w:tcW w:type="dxa" w:w="4552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126" w:after="0"/>
                    <w:ind w:left="10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olaparib, durvalumab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olaparib, durvalumab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1102"/>
            </w:tblGrid>
            <w:tr>
              <w:trPr>
                <w:trHeight w:hRule="exact" w:val="400"/>
              </w:trPr>
              <w:tc>
                <w:tcPr>
                  <w:tcW w:type="dxa" w:w="620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II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2"/>
        </w:trPr>
        <w:tc>
          <w:tcPr>
            <w:tcW w:type="dxa" w:w="543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4" w:lineRule="exact" w:before="100" w:after="196"/>
        <w:ind w:left="716" w:right="1440" w:firstLine="0"/>
        <w:jc w:val="left"/>
      </w:pPr>
      <w:r>
        <w:rPr>
          <w:rFonts w:ascii="Type3 (21 0 R)" w:hAnsi="Type3 (21 0 R)" w:eastAsia="Type3 (21 0 R)"/>
          <w:b w:val="0"/>
          <w:i w:val="0"/>
          <w:color w:val="000000"/>
          <w:sz w:val="20"/>
        </w:rPr>
        <w:t>📝</w:t>
      </w:r>
      <w:r>
        <w:rPr>
          <w:rFonts w:ascii="Cambria" w:hAnsi="Cambria" w:eastAsia="Cambria"/>
          <w:b w:val="0"/>
          <w:i w:val="0"/>
          <w:color w:val="000000"/>
          <w:sz w:val="20"/>
        </w:rPr>
        <w:t>Note: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Type3 (23 0 R)" w:hAnsi="Type3 (23 0 R)" w:eastAsia="Type3 (23 0 R)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344"/>
        </w:trPr>
        <w:tc>
          <w:tcPr>
            <w:tcW w:type="dxa" w:w="10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9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Test Description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043" w:type="dxa"/>
            </w:tblPr>
            <w:tblGrid>
              <w:gridCol w:w="10694"/>
            </w:tblGrid>
            <w:tr>
              <w:trPr>
                <w:trHeight w:hRule="exact" w:val="2814"/>
              </w:trPr>
              <w:tc>
                <w:tcPr>
                  <w:tcW w:type="dxa" w:w="10710"/>
                  <w:tcBorders>
                    <w:start w:sz="6.400000000000006" w:val="single" w:color="#D9ECF2"/>
                    <w:top w:sz="6.400000000000091" w:val="single" w:color="#D9ECF2"/>
                    <w:end w:sz="5.600000000000364" w:val="single" w:color="#D9ECF2"/>
                    <w:bottom w:sz="5.600000000000364" w:val="single" w:color="#D9ECF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4" w:after="0"/>
                    <w:ind w:left="100" w:right="4032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TEST NAME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is advancing precision oncology research through the analysis 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 relevant biomarkers in a single next-generation sequencing (NGS) test.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0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 Liquidseq Actionable Genomic Profiling assay analyses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34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unique genes (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28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DNA +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6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Fusions driver genes) for single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 and multiple gene biomarker insights, detects single gene biomarkers from all variant types including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SNVs, indels,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CNVs, known and novel fusions, and splice variants.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Analyze complex multi-gene biomarkers for mutational signatures,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 microsatellite instability (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MSI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 for immunotherapy research.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0" w:right="115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performance of the panel was verified using both commercially sourced reference controls and cell-free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(cfTNA)samples.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32"/>
        </w:trPr>
        <w:tc>
          <w:tcPr>
            <w:tcW w:type="dxa" w:w="10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9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Test Methodology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978"/>
        </w:trPr>
        <w:tc>
          <w:tcPr>
            <w:tcW w:type="dxa" w:w="10710"/>
            <w:tcBorders>
              <w:start w:sz="6.400000000000006" w:val="single" w:color="#D9ECF2"/>
              <w:top w:sz="6.399999999999636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Extraction &amp; Library 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Cell free Total Nucleic acid (cfTNA) extracted from the liquid biopsy sample is 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5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2566"/>
        </w:trPr>
        <w:tc>
          <w:tcPr>
            <w:tcW w:type="dxa" w:w="10710"/>
            <w:tcBorders>
              <w:start w:sz="6.400000000000006" w:val="single" w:color="#D9ECF2"/>
              <w:end w:sz="5.600000000000364" w:val="single" w:color="#D9ECF2"/>
              <w:bottom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0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 The libraries were sequenced at mean depth: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on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Novaseq- next generation 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9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Data 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Sequencing data analyzed using a customized and validated bioinformatics pipeline capable of 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Score is calculated. Reportable genomic alterations and fusions are prioritized, classified, and reported based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0" w:right="432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6676"/>
        </w:trPr>
        <w:tc>
          <w:tcPr>
            <w:tcW w:type="dxa" w:w="10710"/>
            <w:tcBorders>
              <w:start w:sz="6.400000000000006" w:val="single" w:color="#D9ECF2"/>
              <w:top w:sz="5.599999999999909" w:val="single" w:color="#D9ECF2"/>
              <w:end w:sz="5.600000000000364" w:val="single" w:color="#D9ECF2"/>
              <w:bottom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98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Treatment decisions should not be based solely on the results of this test. Findings must be interpreted in the context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patient’s complete clinical profile—including pathological, radiological, and family history—to guide diagnosis,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prognosis, and therapeutic decisions.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Therapy-related information in this report is derived from multiple sources including FDA-approved drug data, NCCN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guidelines, peer-reviewed literature, standard clinical databases, and biomarker evidence strength. However, therapy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options listed may not be suitable or beneficial for all patients. This report aims to provide a summary of potentially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effective treatments, therapies that may pose increased risks, and those that may have limited benefit, based on genomic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 identified. Prognostic and diagnostic biomarkers relevant to the disease context may also be reported.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12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Laboratory does not guarantee completeness, accuracy, or eligibility for trial enrollment. Physicians must verify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eligibility criteria for specific trials independently.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Identification of a genomic alteration does not guarantee therapeutic efficacy or predict ineffectiveness. Final decisions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treatment should rest with the treating physician. The absence of reported therapeutic options does not imply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ineffectiveness or lack of safety of any medication selected independently.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All variant classifications and related clinical information are based on the latest evidence from peer-reviewed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publications, public clinical databases, and medical guidelines (e.g., NCCN, ASCO, AMP) available at the time of report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generation. However, literature is continuously evolving, and classification may change with emerging evidence.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98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assay is designed and validated for somatic variant detection, it does not differentiate between somatic and germline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variants. If indicated, germline testing and genetic counselling are recommended.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38"/>
      </w:tblGrid>
      <w:tr>
        <w:trPr>
          <w:trHeight w:hRule="exact" w:val="7022"/>
        </w:trPr>
        <w:tc>
          <w:tcPr>
            <w:tcW w:type="dxa" w:w="10604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604"/>
            </w:tblGrid>
            <w:tr>
              <w:trPr>
                <w:trHeight w:hRule="exact" w:val="280"/>
              </w:trPr>
              <w:tc>
                <w:tcPr>
                  <w:tcW w:type="dxa" w:w="676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5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3556"/>
        </w:trPr>
        <w:tc>
          <w:tcPr>
            <w:tcW w:type="dxa" w:w="10710"/>
            <w:tcBorders>
              <w:start w:sz="6.400000000000006" w:val="single" w:color="#D9ECF2"/>
              <w:end w:sz="5.600000000000364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 cfDNA/ Previous or Ongoing therapy may fail QC thresholds at various stages such as cfDNA extraction,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library preparation, or bioinformatics, and may result in assay failure or compromised results, such as low gene coverage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with lower allele frequencies may be reported if they are of strong or potential clinical relevance, or if previously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 amplifications reported, Confirmation using orthogonal methods such as DDPCR is recommended when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38"/>
      </w:tblGrid>
      <w:tr>
        <w:trPr>
          <w:trHeight w:hRule="exact" w:val="6086"/>
        </w:trPr>
        <w:tc>
          <w:tcPr>
            <w:tcW w:type="dxa" w:w="11044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2.0" w:type="dxa"/>
            </w:tblPr>
            <w:tblGrid>
              <w:gridCol w:w="2209"/>
              <w:gridCol w:w="2209"/>
              <w:gridCol w:w="2209"/>
              <w:gridCol w:w="2209"/>
              <w:gridCol w:w="2209"/>
            </w:tblGrid>
            <w:tr>
              <w:trPr>
                <w:trHeight w:hRule="exact" w:val="240"/>
              </w:trPr>
              <w:tc>
                <w:tcPr>
                  <w:tcW w:type="dxa" w:w="10682"/>
                  <w:gridSpan w:val="5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7.99999999999997" w:type="dxa"/>
                  </w:tblPr>
                  <w:tblGrid>
                    <w:gridCol w:w="10682"/>
                  </w:tblGrid>
                  <w:tr>
                    <w:trPr>
                      <w:trHeight w:hRule="exact" w:val="222"/>
                    </w:trPr>
                    <w:tc>
                      <w:tcPr>
                        <w:tcW w:type="dxa" w:w="1440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DNA Gene List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AKT1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APC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ATM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BRAF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BRCA2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CTNNB1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EGFR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ERBB2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ERBB3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ESR1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FOXL2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GNA11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GNAQ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HRAS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KIT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KRAS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NRAS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PDGFRA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PIK3CA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POLE</w:t>
                  </w:r>
                </w:p>
              </w:tc>
            </w:tr>
            <w:tr>
              <w:trPr>
                <w:trHeight w:hRule="exact" w:val="231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576" w:val="left"/>
                <w:tab w:pos="4718" w:val="left"/>
              </w:tabs>
              <w:autoSpaceDE w:val="0"/>
              <w:widowControl/>
              <w:spacing w:line="240" w:lineRule="auto" w:before="0" w:after="234"/>
              <w:ind w:left="4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RAF1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2209"/>
              <w:gridCol w:w="2209"/>
              <w:gridCol w:w="2209"/>
              <w:gridCol w:w="2209"/>
              <w:gridCol w:w="2209"/>
            </w:tblGrid>
            <w:tr>
              <w:trPr>
                <w:trHeight w:hRule="exact" w:val="240"/>
              </w:trPr>
              <w:tc>
                <w:tcPr>
                  <w:tcW w:type="dxa" w:w="10686"/>
                  <w:gridSpan w:val="5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0.0" w:type="dxa"/>
                  </w:tblPr>
                  <w:tblGrid>
                    <w:gridCol w:w="10686"/>
                  </w:tblGrid>
                  <w:tr>
                    <w:trPr>
                      <w:trHeight w:hRule="exact" w:val="224"/>
                    </w:trPr>
                    <w:tc>
                      <w:tcPr>
                        <w:tcW w:type="dxa" w:w="1440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RNA Gene List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NTRK1</w:t>
                  </w:r>
                </w:p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NTRK2</w:t>
                  </w:r>
                </w:p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NTRK3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204"/>
              <w:ind w:left="4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2.0" w:type="dxa"/>
            </w:tblPr>
            <w:tblGrid>
              <w:gridCol w:w="5522"/>
              <w:gridCol w:w="5522"/>
            </w:tblGrid>
            <w:tr>
              <w:trPr>
                <w:trHeight w:hRule="exact" w:val="238"/>
              </w:trPr>
              <w:tc>
                <w:tcPr>
                  <w:tcW w:type="dxa" w:w="4704"/>
                  <w:tcBorders>
                    <w:start w:sz="12.0" w:val="single" w:color="#1F497D"/>
                    <w:top w:sz="12.0" w:val="single" w:color="#1F497D"/>
                    <w:end w:sz="12.0" w:val="single" w:color="#1F497D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2.00000000000003" w:type="dxa"/>
                  </w:tblPr>
                  <w:tblGrid>
                    <w:gridCol w:w="2352"/>
                    <w:gridCol w:w="2352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524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MSI</w:t>
                        </w:r>
                      </w:p>
                    </w:tc>
                    <w:tc>
                      <w:tcPr>
                        <w:tcW w:type="dxa" w:w="29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0" w:after="0"/>
                          <w:ind w:left="0" w:right="1094" w:firstLine="0"/>
                          <w:jc w:val="right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19"/>
                          </w:rPr>
                          <w:t>MSI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98"/>
                  <w:tcBorders>
                    <w:start w:sz="12.0" w:val="single" w:color="#1F497D"/>
                    <w:top w:sz="12.0" w:val="single" w:color="#1F497D"/>
                    <w:end w:sz="12.0" w:val="single" w:color="#1F497D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7.99999999999955" w:type="dxa"/>
                  </w:tblPr>
                  <w:tblGrid>
                    <w:gridCol w:w="2999"/>
                    <w:gridCol w:w="2999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1846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% of Unstable Loci</w:t>
                        </w:r>
                      </w:p>
                    </w:tc>
                    <w:tc>
                      <w:tcPr>
                        <w:tcW w:type="dxa" w:w="29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0" w:after="0"/>
                          <w:ind w:left="206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19"/>
                          </w:rPr>
                          <w:t>% of Unstable Loci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43"/>
              </w:trPr>
              <w:tc>
                <w:tcPr>
                  <w:tcW w:type="dxa" w:w="4704"/>
                  <w:tcBorders>
                    <w:top w:sz="6.399999999999636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MSI - Stable</w:t>
                  </w:r>
                </w:p>
              </w:tc>
              <w:tc>
                <w:tcPr>
                  <w:tcW w:type="dxa" w:w="5998"/>
                  <w:tcBorders>
                    <w:top w:sz="6.399999999999636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0-19%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47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MSI - Low / Intermediate</w:t>
                  </w:r>
                </w:p>
              </w:tc>
              <w:tc>
                <w:tcPr>
                  <w:tcW w:type="dxa" w:w="599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20-30%</w:t>
                  </w:r>
                </w:p>
              </w:tc>
            </w:tr>
            <w:tr>
              <w:trPr>
                <w:trHeight w:hRule="exact" w:val="235"/>
              </w:trPr>
              <w:tc>
                <w:tcPr>
                  <w:tcW w:type="dxa" w:w="470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98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142" w:val="left"/>
              </w:tabs>
              <w:autoSpaceDE w:val="0"/>
              <w:widowControl/>
              <w:spacing w:line="240" w:lineRule="auto" w:before="0" w:after="0"/>
              <w:ind w:left="4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MSI - High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  <w:p>
            <w:pPr>
              <w:autoSpaceDN w:val="0"/>
              <w:tabs>
                <w:tab w:pos="1066" w:val="left"/>
                <w:tab w:pos="2376" w:val="left"/>
                <w:tab w:pos="5948" w:val="left"/>
              </w:tabs>
              <w:autoSpaceDE w:val="0"/>
              <w:widowControl/>
              <w:spacing w:line="286" w:lineRule="auto" w:before="290" w:after="0"/>
              <w:ind w:left="52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Tier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Interpretation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Interpretation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6.0" w:type="dxa"/>
            </w:tblPr>
            <w:tblGrid>
              <w:gridCol w:w="5522"/>
              <w:gridCol w:w="5522"/>
            </w:tblGrid>
            <w:tr>
              <w:trPr>
                <w:trHeight w:hRule="exact" w:val="948"/>
              </w:trPr>
              <w:tc>
                <w:tcPr>
                  <w:tcW w:type="dxa" w:w="1848"/>
                  <w:tcBorders>
                    <w:start w:sz="6.400000000000006" w:val="single" w:color="#008080"/>
                    <w:end w:sz="6.399999999999977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46"/>
                  <w:tcBorders>
                    <w:start w:sz="6.399999999999977" w:val="single" w:color="#008080"/>
                    <w:end w:sz="5.600000000000364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4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 of Strong Clinical Significance: Biomarkers that predict response or resistance to US 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approved therapies for a specific type of tumor or have been included in professional guidelines 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8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02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52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10"/>
            </w:tblGrid>
            <w:tr>
              <w:trPr>
                <w:trHeight w:hRule="exact" w:val="506"/>
              </w:trPr>
              <w:tc>
                <w:tcPr>
                  <w:tcW w:type="dxa" w:w="10710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4" w:after="0"/>
                    <w:ind w:left="192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prognostic significance of certain diseases based on well-powered studies with expert consensus.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prognostic significance of certain diseases based on well-powered studies with expert consensus.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294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5355"/>
              <w:gridCol w:w="5355"/>
            </w:tblGrid>
            <w:tr>
              <w:trPr>
                <w:trHeight w:hRule="exact" w:val="1184"/>
              </w:trPr>
              <w:tc>
                <w:tcPr>
                  <w:tcW w:type="dxa" w:w="1842"/>
                  <w:tcBorders>
                    <w:start w:sz="6.400000000000006" w:val="single" w:color="#008080"/>
                    <w:top w:sz="6.400000000000091" w:val="single" w:color="#008080"/>
                    <w:end w:sz="6.399999999999977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9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IIC</w:t>
                  </w:r>
                </w:p>
              </w:tc>
              <w:tc>
                <w:tcPr>
                  <w:tcW w:type="dxa" w:w="8848"/>
                  <w:tcBorders>
                    <w:start w:sz="6.399999999999977" w:val="single" w:color="#008080"/>
                    <w:top w:sz="6.400000000000091" w:val="single" w:color="#008080"/>
                    <w:end w:sz="5.600000000000364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98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Potential Clinical Significance: biomarkers that predict response or resistance to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therapies approved by FDA or professional societies for a different tumor type (i.e., off-label use of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drug), serve as inclusion criteria for clinical trials, or have diagnostic and/or prognostic significance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the results of multiple small studies.</w:t>
                  </w:r>
                </w:p>
              </w:tc>
            </w:tr>
            <w:tr>
              <w:trPr>
                <w:trHeight w:hRule="exact" w:val="941"/>
              </w:trPr>
              <w:tc>
                <w:tcPr>
                  <w:tcW w:type="dxa" w:w="18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IID</w:t>
                  </w:r>
                </w:p>
              </w:tc>
              <w:tc>
                <w:tcPr>
                  <w:tcW w:type="dxa" w:w="88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106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Potential Clinical Significance: Biomarkers that show plausible therapeutic significance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based on preclinical studies or may assist disease diagnosis and/or prognosis themselves or along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 other biomarkers based on small studies or multiple case reports with no consensus.</w:t>
                  </w:r>
                </w:p>
              </w:tc>
            </w:tr>
            <w:tr>
              <w:trPr>
                <w:trHeight w:hRule="exact" w:val="698"/>
              </w:trPr>
              <w:tc>
                <w:tcPr>
                  <w:tcW w:type="dxa" w:w="1842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III</w:t>
                  </w:r>
                </w:p>
              </w:tc>
              <w:tc>
                <w:tcPr>
                  <w:tcW w:type="dxa" w:w="8848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4" w:after="0"/>
                    <w:ind w:left="106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Unknown clinical significance (VUS): Not observed at a significant allele frequency in the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general or specific subpopulation or pancancer or tumor specific variant databases. No convincing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9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40" w:lineRule="auto" w:before="112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Muller et al. Mutant p53 in cancer: new functions and therapeutic opportunities. Cancer Cell. 2014 Mar 17;25(3):304-17.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Cambria" w:hAnsi="Cambria" w:eastAsia="Cambria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Genet. 2016 Jun;48(6):607-16. PMID: 27158780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2826" w:after="0"/>
        <w:ind w:left="716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Research Network. Integrated genomic characterization of oesophageal carcinoma. Nature. 2017 Jan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12;541(7636):169-175. doi: 10.1038/nature20805. Epub 2017 Jan 4. PMID: 28052061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296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The IARC TP53 database: new online mutation analysis and recommendations to users. Hum. Mutat. 2002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Jun;19(6):607-14. PMID: 12007217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Cancer. 2011 Apr;2(4):466-74. PMID: 21779514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6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Petitjean et al. TP53 mutations in human cancers: functional selection and impact on cancer prognosis and outcomes.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Oncogene. 2007 Apr 2;26(15):2157-65. PMID: 17401424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Soussi et al. Recommendations for analyzing and reporting TP53 gene variants in the high-throughput sequencing era. Hum.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Mutat. 2014 Jun;35(6):766-78. PMID: 24729566</w:t>
      </w:r>
    </w:p>
    <w:p>
      <w:pPr>
        <w:autoSpaceDN w:val="0"/>
        <w:autoSpaceDE w:val="0"/>
        <w:widowControl/>
        <w:spacing w:line="264" w:lineRule="auto" w:before="112" w:after="0"/>
        <w:ind w:left="1074" w:right="1440" w:hanging="36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rPr>
          <w:rFonts w:ascii="Cambria" w:hAnsi="Cambria" w:eastAsia="Cambria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rPr>
          <w:rFonts w:ascii="Cambria" w:hAnsi="Cambria" w:eastAsia="Cambria"/>
          <w:b w:val="0"/>
          <w:i/>
          <w:color w:val="000000"/>
          <w:sz w:val="20"/>
        </w:rPr>
        <w:t>Mutation.html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https://ir.aprea.com//news-releases/news-release-details/aprea-therapeutics-receives-fda-fast-track-designation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56"/>
        <w:ind w:left="714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rHeight w:hRule="exact" w:val="30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6" w:firstLine="0"/>
              <w:jc w:val="righ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07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10.3389/fonc.2015.00288. eCollection 2015. PMID: 26732534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Zhao et al. Molecularly targeted therapies for p53-mutant cancers. Cell. Mol. Life Sci. 2017 Nov;74(22):4171-4187.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28643165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Louis et al. The 2021 WHO Classification of Tumors of the Central Nervous System: a summary. Neuro Oncol. 2021 Aug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2;23(8):1231-1251. PMID: 34185076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Myeloid Leukemia [Version 2.2025]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Döhner et al. Diagnosis and management of AML in adults: 2022 recommendations from an international expert panel on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behalf of the ELN. Blood. 2022 Sep 22;140(12):1345-1377. PMID: 35797463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NCCN-Myelodysplastic Syndromes [Version 2.2025]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NCCN-Myeloproliferative Neoplasms [Version 1.2025]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NCCN-Chronic Lymphocytic Leukemia/Small Lymphocytic Lymphoma [Version 3.2025]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Lymphoblastic Leukemia [Version 3.2024]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NCCN-B-Cell Lymphomas [Version 2.2025]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26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Bernard et al. Implications of TP53 allelic state for genome stability, clinical presentation and outcomes in myelodysplastic</w:t>
      </w:r>
    </w:p>
    <w:p>
      <w:pPr>
        <w:autoSpaceDN w:val="0"/>
        <w:autoSpaceDE w:val="0"/>
        <w:widowControl/>
        <w:spacing w:line="240" w:lineRule="auto" w:before="36" w:after="0"/>
        <w:ind w:left="107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>------------------ End Of Report ------------------</w:t>
      </w:r>
    </w:p>
    <w:sectPr w:rsidR="00FC693F" w:rsidRPr="0006063C" w:rsidSect="00034616">
      <w:pgSz w:w="11918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