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5" w:lineRule="auto" w:before="4070" w:after="0"/>
        <w:ind w:left="3168" w:right="3168" w:firstLine="0"/>
        <w:jc w:val="center"/>
      </w:pPr>
      <w:r>
        <w:rPr>
          <w:rFonts w:ascii="Cambria" w:hAnsi="Cambria" w:eastAsia="Cambria"/>
          <w:b/>
          <w:i/>
          <w:color w:val="000000"/>
          <w:sz w:val="28"/>
        </w:rPr>
        <w:t xml:space="preserve">Liquidseq Actionable Genomic Profiling Panel </w:t>
      </w:r>
      <w:r>
        <w:br/>
      </w:r>
      <w:r>
        <w:rPr>
          <w:rFonts w:ascii="Cambria" w:hAnsi="Cambria" w:eastAsia="Cambria"/>
          <w:b/>
          <w:i/>
          <w:color w:val="000000"/>
          <w:sz w:val="28"/>
        </w:rPr>
        <w:t>On Illumina Novaseq 6000 Platform</w:t>
      </w:r>
    </w:p>
    <w:p>
      <w:pPr>
        <w:autoSpaceDN w:val="0"/>
        <w:autoSpaceDE w:val="0"/>
        <w:widowControl/>
        <w:spacing w:line="240" w:lineRule="auto" w:before="288" w:after="0"/>
        <w:ind w:left="878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Clinical Indication: Metastatic Adenocarcinoma</w:t>
      </w:r>
    </w:p>
    <w:p>
      <w:pPr>
        <w:autoSpaceDN w:val="0"/>
        <w:autoSpaceDE w:val="0"/>
        <w:widowControl/>
        <w:spacing w:line="240" w:lineRule="auto" w:before="560" w:after="0"/>
        <w:ind w:left="0" w:right="1702" w:firstLine="0"/>
        <w:jc w:val="right"/>
      </w:pPr>
      <w:r>
        <w:rPr>
          <w:rFonts w:ascii="Cambria" w:hAnsi="Cambria" w:eastAsia="Cambria"/>
          <w:b/>
          <w:i w:val="0"/>
          <w:color w:val="000000"/>
          <w:sz w:val="28"/>
        </w:rPr>
        <w:t>Positive (Clinically significant Variant detected)</w:t>
      </w:r>
    </w:p>
    <w:p>
      <w:pPr>
        <w:autoSpaceDN w:val="0"/>
        <w:autoSpaceDE w:val="0"/>
        <w:widowControl/>
        <w:spacing w:line="240" w:lineRule="auto" w:before="534" w:after="0"/>
        <w:ind w:left="1094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Report Highlights:</w:t>
      </w:r>
    </w:p>
    <w:p>
      <w:pPr>
        <w:autoSpaceDN w:val="0"/>
        <w:autoSpaceDE w:val="0"/>
        <w:widowControl/>
        <w:spacing w:line="240" w:lineRule="auto" w:before="1308" w:after="0"/>
        <w:ind w:left="1094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Key Findings:</w:t>
      </w:r>
    </w:p>
    <w:p>
      <w:pPr>
        <w:autoSpaceDN w:val="0"/>
        <w:autoSpaceDE w:val="0"/>
        <w:widowControl/>
        <w:spacing w:line="245" w:lineRule="auto" w:before="1302" w:after="0"/>
        <w:ind w:left="878" w:right="86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*Genetic test results are reported based on the recommendations of AMP-ASCO-CAP guidelines. **Public data sources </w:t>
      </w:r>
      <w:r>
        <w:rPr>
          <w:rFonts w:ascii="Cambria" w:hAnsi="Cambria" w:eastAsia="Cambria"/>
          <w:b/>
          <w:i/>
          <w:color w:val="000000"/>
          <w:sz w:val="20"/>
        </w:rPr>
        <w:t>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82" w:after="0"/>
        <w:ind w:left="1094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Multi-Gene Biomarkers Results:</w:t>
      </w:r>
    </w:p>
    <w:p>
      <w:pPr>
        <w:autoSpaceDN w:val="0"/>
        <w:autoSpaceDE w:val="0"/>
        <w:widowControl/>
        <w:spacing w:line="245" w:lineRule="auto" w:before="1152" w:after="0"/>
        <w:ind w:left="878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# Correlation of the genetic findings with the clinical condition of the patient is required to arrive at accurate diagnosis, </w:t>
      </w:r>
      <w:r>
        <w:rPr>
          <w:rFonts w:ascii="Cambria" w:hAnsi="Cambria" w:eastAsia="Cambria"/>
          <w:b/>
          <w:i/>
          <w:color w:val="000000"/>
          <w:sz w:val="20"/>
        </w:rPr>
        <w:t>prognosis or therapeutic decisions.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4076" w:after="0"/>
        <w:ind w:left="1114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Clinical Significance:</w:t>
      </w:r>
    </w:p>
    <w:p>
      <w:pPr>
        <w:autoSpaceDN w:val="0"/>
        <w:autoSpaceDE w:val="0"/>
        <w:widowControl/>
        <w:spacing w:line="240" w:lineRule="auto" w:before="3934" w:after="0"/>
        <w:ind w:left="1094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Biomarker Description: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1094" w:val="left"/>
        </w:tabs>
        <w:autoSpaceDE w:val="0"/>
        <w:widowControl/>
        <w:spacing w:line="420" w:lineRule="auto" w:before="8862" w:after="0"/>
        <w:ind w:left="878" w:right="8208" w:firstLine="0"/>
        <w:jc w:val="left"/>
      </w:pPr>
      <w:r>
        <w:tab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Therapy &amp; Clinical Trials: </w:t>
      </w:r>
      <w:r>
        <w:br/>
      </w:r>
      <w:r>
        <w:rPr>
          <w:rFonts w:ascii="Cambria" w:hAnsi="Cambria" w:eastAsia="Cambria"/>
          <w:b/>
          <w:i w:val="0"/>
          <w:color w:val="000000"/>
          <w:sz w:val="20"/>
        </w:rPr>
        <w:t>TP53 p.(C135*) c.405C&gt;A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8608" w:after="0"/>
        <w:ind w:left="878" w:right="144" w:firstLine="0"/>
        <w:jc w:val="left"/>
      </w:pPr>
      <w:r>
        <w:rPr>
          <w:rFonts w:ascii="Type3 (22 0 R)" w:hAnsi="Type3 (22 0 R)" w:eastAsia="Type3 (22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Note:  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In this Cancer Type,  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In Other Cancer Type,  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both In this and Other Cancer Type,  X  : No Evidence. </w:t>
      </w:r>
      <w:r>
        <w:rPr>
          <w:rFonts w:ascii="Type3 (25 0 R)" w:hAnsi="Type3 (25 0 R)" w:eastAsia="Type3 (25 0 R)"/>
          <w:b w:val="0"/>
          <w:i w:val="0"/>
          <w:color w:val="00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Caution for </w:t>
      </w:r>
      <w:r>
        <w:rPr>
          <w:rFonts w:ascii="Cambria" w:hAnsi="Cambria" w:eastAsia="Cambria"/>
          <w:b w:val="0"/>
          <w:i w:val="0"/>
          <w:color w:val="000000"/>
          <w:sz w:val="20"/>
        </w:rPr>
        <w:t>Use</w:t>
      </w:r>
    </w:p>
    <w:p>
      <w:pPr>
        <w:autoSpaceDN w:val="0"/>
        <w:autoSpaceDE w:val="0"/>
        <w:widowControl/>
        <w:spacing w:line="240" w:lineRule="auto" w:before="306" w:after="0"/>
        <w:ind w:left="878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Test Description</w:t>
      </w:r>
    </w:p>
    <w:p>
      <w:pPr>
        <w:autoSpaceDN w:val="0"/>
        <w:autoSpaceDE w:val="0"/>
        <w:widowControl/>
        <w:spacing w:line="245" w:lineRule="auto" w:before="82" w:after="0"/>
        <w:ind w:left="878" w:right="432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Liquidseq Actionable Genomic Profiling Panel is advancing precision oncology research through the analysis of multiple </w:t>
      </w:r>
      <w:r>
        <w:rPr>
          <w:rFonts w:ascii="Cambria" w:hAnsi="Cambria" w:eastAsia="Cambria"/>
          <w:b/>
          <w:i w:val="0"/>
          <w:color w:val="000000"/>
          <w:sz w:val="20"/>
        </w:rPr>
        <w:t>relevant biomarkers in a single next-generation sequencing (NGS) test.</w:t>
      </w:r>
    </w:p>
    <w:p>
      <w:pPr>
        <w:autoSpaceDN w:val="0"/>
        <w:autoSpaceDE w:val="0"/>
        <w:widowControl/>
        <w:spacing w:line="245" w:lineRule="auto" w:before="396" w:after="0"/>
        <w:ind w:left="878" w:right="144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The Liquidseq Actionable Genomic Profiling assay analyses  34  unique genes ( 28  DNA +  6  Fusions driver genes) for single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gene and multiple gene biomarker insights, detects single gene biomarkers from all variant types including  SNVs, indels,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CNVs, known and novel fusions, and splice variants.  Analyze complex multi-gene biomarkers for mutational signatures, </w:t>
      </w:r>
      <w:r>
        <w:rPr>
          <w:rFonts w:ascii="Cambria" w:hAnsi="Cambria" w:eastAsia="Cambria"/>
          <w:b/>
          <w:i w:val="0"/>
          <w:color w:val="000000"/>
          <w:sz w:val="20"/>
        </w:rPr>
        <w:t>including microsatellite instability ( MSI ) for immunotherapy research.</w:t>
      </w:r>
    </w:p>
    <w:p>
      <w:pPr>
        <w:autoSpaceDN w:val="0"/>
        <w:autoSpaceDE w:val="0"/>
        <w:widowControl/>
        <w:spacing w:line="240" w:lineRule="auto" w:before="410" w:after="0"/>
        <w:ind w:left="878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The performance of the panel was verified using both commercially sourced reference controls and cell-free DNA (cfTNA)samples.</w:t>
      </w:r>
    </w:p>
    <w:p>
      <w:pPr>
        <w:autoSpaceDN w:val="0"/>
        <w:autoSpaceDE w:val="0"/>
        <w:widowControl/>
        <w:spacing w:line="245" w:lineRule="auto" w:before="592" w:after="0"/>
        <w:ind w:left="878" w:right="432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Test Methodology Extraction &amp; Library Preparation: Cell free Total Nucleic acid (cfTNA) extracted from the liquid biopsy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sample is used for targeted gene capture using a custom designed hybrid capture panel. In process quality controls were </w:t>
      </w:r>
      <w:r>
        <w:rPr>
          <w:rFonts w:ascii="Cambria" w:hAnsi="Cambria" w:eastAsia="Cambria"/>
          <w:b/>
          <w:i w:val="0"/>
          <w:color w:val="000000"/>
          <w:sz w:val="20"/>
        </w:rPr>
        <w:t>determined for prepared library.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4070" w:after="0"/>
        <w:ind w:left="878" w:right="576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Sequencing : The libraries were sequenced at mean depth: &gt;25,000x on Illumina Novaseq- next generation sequencing </w:t>
      </w:r>
      <w:r>
        <w:rPr>
          <w:rFonts w:ascii="Cambria" w:hAnsi="Cambria" w:eastAsia="Cambria"/>
          <w:b/>
          <w:i w:val="0"/>
          <w:color w:val="000000"/>
          <w:sz w:val="20"/>
        </w:rPr>
        <w:t>platform.</w:t>
      </w:r>
    </w:p>
    <w:p>
      <w:pPr>
        <w:autoSpaceDN w:val="0"/>
        <w:autoSpaceDE w:val="0"/>
        <w:widowControl/>
        <w:spacing w:line="245" w:lineRule="auto" w:before="276" w:after="0"/>
        <w:ind w:left="878" w:right="144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Data Analysis: Sequencing data analyzed using a customized and validated bioinformatics pipeline capable of detecting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various classes of genomic alterations, including single nucleotide variants ( SNVs ),  Indels , copy number variations ( CNVs )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and  fusions . As part of the streamlined bioinformatics workflow, Multi-gene Biomarkers such as Microsatellite Instability ( </w:t>
      </w:r>
      <w:r>
        <w:rPr>
          <w:rFonts w:ascii="Cambria" w:hAnsi="Cambria" w:eastAsia="Cambria"/>
          <w:b/>
          <w:i w:val="0"/>
          <w:color w:val="000000"/>
          <w:sz w:val="20"/>
        </w:rPr>
        <w:t>MSI ) Score is calculated. Reportable genomic alterations and fusions are prioritized, classified, and reported based on AMP-</w:t>
      </w:r>
      <w:r>
        <w:rPr>
          <w:rFonts w:ascii="Cambria" w:hAnsi="Cambria" w:eastAsia="Cambria"/>
          <w:b/>
          <w:i w:val="0"/>
          <w:color w:val="000000"/>
          <w:sz w:val="20"/>
        </w:rPr>
        <w:t>ASCO-CAP guidelines and NCCN guidelines.</w:t>
      </w:r>
    </w:p>
    <w:p>
      <w:pPr>
        <w:autoSpaceDN w:val="0"/>
        <w:autoSpaceDE w:val="0"/>
        <w:widowControl/>
        <w:spacing w:line="245" w:lineRule="auto" w:before="96" w:after="0"/>
        <w:ind w:left="878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Limit of Detection (LOD): The LOD for SNVs and Short InDels is 0.1% Variant allele Frequency (VAF) and for Fusions is 05 supporting </w:t>
      </w:r>
      <w:r>
        <w:rPr>
          <w:rFonts w:ascii="Cambria" w:hAnsi="Cambria" w:eastAsia="Cambria"/>
          <w:b w:val="0"/>
          <w:i w:val="0"/>
          <w:color w:val="000000"/>
          <w:sz w:val="20"/>
        </w:rPr>
        <w:t>reads.</w:t>
      </w:r>
    </w:p>
    <w:p>
      <w:pPr>
        <w:autoSpaceDN w:val="0"/>
        <w:autoSpaceDE w:val="0"/>
        <w:widowControl/>
        <w:spacing w:line="240" w:lineRule="auto" w:before="382" w:after="0"/>
        <w:ind w:left="878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Notes</w:t>
      </w:r>
    </w:p>
    <w:p>
      <w:pPr>
        <w:autoSpaceDN w:val="0"/>
        <w:autoSpaceDE w:val="0"/>
        <w:widowControl/>
        <w:spacing w:line="245" w:lineRule="auto" w:before="80" w:after="0"/>
        <w:ind w:left="878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decisions should not be based solely on the results of this test. Findings must be interpreted in the context of the patient’s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complete clinical profile—including pathological, radiological, and family history—to guide diagnosis, prognosis, and therapeutic </w:t>
      </w:r>
      <w:r>
        <w:rPr>
          <w:rFonts w:ascii="Cambria" w:hAnsi="Cambria" w:eastAsia="Cambria"/>
          <w:b w:val="0"/>
          <w:i w:val="0"/>
          <w:color w:val="000000"/>
          <w:sz w:val="20"/>
        </w:rPr>
        <w:t>decisions.</w:t>
      </w:r>
    </w:p>
    <w:p>
      <w:pPr>
        <w:autoSpaceDN w:val="0"/>
        <w:autoSpaceDE w:val="0"/>
        <w:widowControl/>
        <w:spacing w:line="245" w:lineRule="auto" w:before="396" w:after="0"/>
        <w:ind w:left="878" w:right="14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Therapy-related information in this report is derived from multiple sources including FDA-approved drug data, NCCN guidelines, peer-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reviewed literature, standard clinical databases, and biomarker evidence strength. However, therapy options listed may not be suitable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or beneficial for all patients. This report aims to provide a summary of potentially effective treatments, therapies that may pose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increased risks, and those that may have limited benefit, based on genomic alterations identified. Prognostic and diagnostic biomarkers </w:t>
      </w:r>
      <w:r>
        <w:rPr>
          <w:rFonts w:ascii="Cambria" w:hAnsi="Cambria" w:eastAsia="Cambria"/>
          <w:b w:val="0"/>
          <w:i w:val="0"/>
          <w:color w:val="000000"/>
          <w:sz w:val="20"/>
        </w:rPr>
        <w:t>relevant to the disease context may also be reported.</w:t>
      </w:r>
    </w:p>
    <w:p>
      <w:pPr>
        <w:autoSpaceDN w:val="0"/>
        <w:autoSpaceDE w:val="0"/>
        <w:widowControl/>
        <w:spacing w:line="245" w:lineRule="auto" w:before="410" w:after="0"/>
        <w:ind w:left="878" w:right="57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SN Genelab Pvt Ltd does not guarantee completeness, accuracy, or eligibility for trial enrollment. Physicians must verify eligibility </w:t>
      </w:r>
      <w:r>
        <w:rPr>
          <w:rFonts w:ascii="Cambria" w:hAnsi="Cambria" w:eastAsia="Cambria"/>
          <w:b w:val="0"/>
          <w:i w:val="0"/>
          <w:color w:val="000000"/>
          <w:sz w:val="20"/>
        </w:rPr>
        <w:t>criteria for specific trials independently.</w:t>
      </w:r>
    </w:p>
    <w:p>
      <w:pPr>
        <w:autoSpaceDN w:val="0"/>
        <w:autoSpaceDE w:val="0"/>
        <w:widowControl/>
        <w:spacing w:line="245" w:lineRule="auto" w:before="396" w:after="0"/>
        <w:ind w:left="878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Identification of a genomic alteration does not guarantee therapeutic efficacy or predict ineffectiveness. Final decisions on treatment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should rest with the treating physician. The absence of reported therapeutic options does not imply ineffectiveness or lack of safety of </w:t>
      </w:r>
      <w:r>
        <w:rPr>
          <w:rFonts w:ascii="Cambria" w:hAnsi="Cambria" w:eastAsia="Cambria"/>
          <w:b w:val="0"/>
          <w:i w:val="0"/>
          <w:color w:val="000000"/>
          <w:sz w:val="20"/>
        </w:rPr>
        <w:t>any medication selected independently.</w:t>
      </w:r>
    </w:p>
    <w:p>
      <w:pPr>
        <w:autoSpaceDN w:val="0"/>
        <w:autoSpaceDE w:val="0"/>
        <w:widowControl/>
        <w:spacing w:line="245" w:lineRule="auto" w:before="412" w:after="0"/>
        <w:ind w:left="878" w:right="43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All variant classifications and related clinical information are based on the latest evidence from peer-reviewed publications, public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clinical databases, and medical guidelines (e.g., NCCN, ASCO, AMP) available at the time of report generation. However, literature is </w:t>
      </w:r>
      <w:r>
        <w:rPr>
          <w:rFonts w:ascii="Cambria" w:hAnsi="Cambria" w:eastAsia="Cambria"/>
          <w:b w:val="0"/>
          <w:i w:val="0"/>
          <w:color w:val="000000"/>
          <w:sz w:val="20"/>
        </w:rPr>
        <w:t>continuously evolving, and classification may change with emerging evidence.</w:t>
      </w:r>
    </w:p>
    <w:p>
      <w:pPr>
        <w:autoSpaceDN w:val="0"/>
        <w:autoSpaceDE w:val="0"/>
        <w:widowControl/>
        <w:spacing w:line="245" w:lineRule="auto" w:before="410" w:after="0"/>
        <w:ind w:left="878" w:right="43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assay is designed and validated for somatic variant detection, it does not differentiate between somatic and germline variants. If </w:t>
      </w:r>
      <w:r>
        <w:rPr>
          <w:rFonts w:ascii="Cambria" w:hAnsi="Cambria" w:eastAsia="Cambria"/>
          <w:b w:val="0"/>
          <w:i w:val="0"/>
          <w:color w:val="000000"/>
          <w:sz w:val="20"/>
        </w:rPr>
        <w:t>indicated, germline testing and genetic counselling are recommended.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4160" w:after="0"/>
        <w:ind w:left="878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Poor-quality cfDNA/ Previous or Ongoing therapy may fail QC thresholds at various stages such as cfDNA extraction, library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preparation, or bioinformatics, and may result in assay failure or compromised results, such as low gene coverage or shallow variant </w:t>
      </w:r>
      <w:r>
        <w:rPr>
          <w:rFonts w:ascii="Cambria" w:hAnsi="Cambria" w:eastAsia="Cambria"/>
          <w:b w:val="0"/>
          <w:i w:val="0"/>
          <w:color w:val="000000"/>
          <w:sz w:val="20"/>
        </w:rPr>
        <w:t>depth.</w:t>
      </w:r>
    </w:p>
    <w:p>
      <w:pPr>
        <w:autoSpaceDN w:val="0"/>
        <w:autoSpaceDE w:val="0"/>
        <w:widowControl/>
        <w:spacing w:line="245" w:lineRule="auto" w:before="412" w:after="0"/>
        <w:ind w:left="878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Variants with lower allele frequencies may be reported if they are of strong or potential clinical relevance, or if previously detected in </w:t>
      </w:r>
      <w:r>
        <w:rPr>
          <w:rFonts w:ascii="Cambria" w:hAnsi="Cambria" w:eastAsia="Cambria"/>
          <w:b w:val="0"/>
          <w:i w:val="0"/>
          <w:color w:val="000000"/>
          <w:sz w:val="20"/>
        </w:rPr>
        <w:t>the same patient. False positives or negatives below assay sensitivity cannot be ruled out.</w:t>
      </w:r>
    </w:p>
    <w:p>
      <w:pPr>
        <w:autoSpaceDN w:val="0"/>
        <w:autoSpaceDE w:val="0"/>
        <w:widowControl/>
        <w:spacing w:line="240" w:lineRule="auto" w:before="396" w:after="0"/>
        <w:ind w:left="878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CNVs/gene amplifications reported, Confirmation using orthogonal methods such as DDPCR is recommended when clinically indicated.</w:t>
      </w:r>
    </w:p>
    <w:p>
      <w:pPr>
        <w:autoSpaceDN w:val="0"/>
        <w:autoSpaceDE w:val="0"/>
        <w:widowControl/>
        <w:spacing w:line="240" w:lineRule="auto" w:before="636" w:after="0"/>
        <w:ind w:left="878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Variants in non-coding regions or deep intronic sequences are not assessed in this assay.</w:t>
      </w:r>
    </w:p>
    <w:p>
      <w:pPr>
        <w:autoSpaceDN w:val="0"/>
        <w:autoSpaceDE w:val="0"/>
        <w:widowControl/>
        <w:spacing w:line="240" w:lineRule="auto" w:before="82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This assay is under the scope of NABL as Liquidseq Actionable Panel.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7626" w:after="0"/>
        <w:ind w:left="878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References:</w:t>
      </w:r>
    </w:p>
    <w:p>
      <w:pPr>
        <w:autoSpaceDN w:val="0"/>
        <w:autoSpaceDE w:val="0"/>
        <w:widowControl/>
        <w:spacing w:line="245" w:lineRule="auto" w:before="126" w:after="0"/>
        <w:ind w:left="878" w:right="28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1. O&amp;#x27;Leary et al. Reference sequence (RefSeq) database at NCBI: current status, taxonomic expansion, and functional </w:t>
      </w:r>
      <w:r>
        <w:rPr>
          <w:rFonts w:ascii="Cambria" w:hAnsi="Cambria" w:eastAsia="Cambria"/>
          <w:b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56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26" w:after="0"/>
        <w:ind w:left="878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PMID: 24651012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2" w:after="0"/>
        <w:ind w:left="878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Jan;2(1):a001008. PMID: 20182602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0" w:after="0"/>
        <w:ind w:left="878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28270529</w:t>
      </w:r>
    </w:p>
    <w:p>
      <w:pPr>
        <w:autoSpaceDN w:val="0"/>
        <w:autoSpaceDE w:val="0"/>
        <w:widowControl/>
        <w:spacing w:line="259" w:lineRule="auto" w:before="112" w:after="0"/>
        <w:ind w:left="878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Cerami et al. The cBio cancer genomics portal: an open platform for exploring multidimensional cancer genomics data. </w:t>
      </w:r>
      <w:r>
        <w:rPr>
          <w:rFonts w:ascii="Cambria" w:hAnsi="Cambria" w:eastAsia="Cambria"/>
          <w:b/>
          <w:i/>
          <w:color w:val="000000"/>
          <w:sz w:val="20"/>
        </w:rPr>
        <w:t xml:space="preserve">Cancer </w:t>
      </w:r>
      <w:r>
        <w:rPr>
          <w:rFonts w:ascii="Cambria" w:hAnsi="Cambria" w:eastAsia="Cambria"/>
          <w:b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0" w:after="0"/>
        <w:ind w:left="878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PMID: 22960745</w:t>
      </w:r>
    </w:p>
    <w:p>
      <w:pPr>
        <w:autoSpaceDN w:val="0"/>
        <w:autoSpaceDE w:val="0"/>
        <w:widowControl/>
        <w:spacing w:line="259" w:lineRule="auto" w:before="112" w:after="0"/>
        <w:ind w:left="878" w:right="72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Cancer Genome Atlas Network. Comprehensive genomic characterization of head and neck squamous cell carcinomas. </w:t>
      </w:r>
      <w:r>
        <w:rPr>
          <w:rFonts w:ascii="Cambria" w:hAnsi="Cambria" w:eastAsia="Cambria"/>
          <w:b/>
          <w:i/>
          <w:color w:val="000000"/>
          <w:sz w:val="20"/>
        </w:rPr>
        <w:t xml:space="preserve">Nature. </w:t>
      </w:r>
      <w:r>
        <w:rPr>
          <w:rFonts w:ascii="Cambria" w:hAnsi="Cambria" w:eastAsia="Cambria"/>
          <w:b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26" w:after="0"/>
        <w:ind w:left="878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Genet. 2016 Jun;48(6):607-16. PMID: 27158780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1238" w:val="left"/>
        </w:tabs>
        <w:autoSpaceDE w:val="0"/>
        <w:widowControl/>
        <w:spacing w:line="259" w:lineRule="auto" w:before="4070" w:after="0"/>
        <w:ind w:left="878" w:right="28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Cancer Genome Atlas Research Network. Integrated genomic characterization of oesophageal carcinoma. Nature. 2017 Jan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12;541(7636):169-175. doi: 10.1038/nature20805. Epub 2017 Jan 4. PMID: 28052061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2" w:after="0"/>
        <w:ind w:left="878" w:right="72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Jun;19(6):607-14. PMID: 12007217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0" w:after="0"/>
        <w:ind w:left="878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2" w:after="0"/>
        <w:ind w:left="878" w:right="86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26" w:after="0"/>
        <w:ind w:left="878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50" w:lineRule="auto" w:before="110" w:after="0"/>
        <w:ind w:left="1238" w:right="864" w:hanging="36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/>
          <w:i/>
          <w:color w:val="000000"/>
          <w:sz w:val="20"/>
        </w:rPr>
        <w:t xml:space="preserve">Designation-of-PC14586-for-the-Treatment-of-Advanced-Cancer-Patients-that-have-Tumors-with-a-p53-Y220C- </w:t>
      </w:r>
      <w:r>
        <w:rPr>
          <w:rFonts w:ascii="Cambria" w:hAnsi="Cambria" w:eastAsia="Cambria"/>
          <w:b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56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26" w:after="0"/>
        <w:ind w:left="878" w:right="28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fda-breakthrough-therapy-designation-1769167</w:t>
      </w:r>
    </w:p>
    <w:p>
      <w:pPr>
        <w:autoSpaceDN w:val="0"/>
        <w:autoSpaceDE w:val="0"/>
        <w:widowControl/>
        <w:spacing w:line="245" w:lineRule="auto" w:before="110" w:after="0"/>
        <w:ind w:left="878" w:right="1872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Parrales et al. Targeting Oncogenic Mutant p53 for Cancer Therapy. Front Oncol. 2015 Dec 21;5:288. doi: </w:t>
      </w:r>
      <w:r>
        <w:rPr>
          <w:rFonts w:ascii="Cambria" w:hAnsi="Cambria" w:eastAsia="Cambria"/>
          <w:b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56" w:after="0"/>
        <w:ind w:left="878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28643165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0" w:after="0"/>
        <w:ind w:left="878" w:right="86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238" w:val="left"/>
        </w:tabs>
        <w:autoSpaceDE w:val="0"/>
        <w:widowControl/>
        <w:spacing w:line="259" w:lineRule="auto" w:before="112" w:after="0"/>
        <w:ind w:left="878" w:right="432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0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2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0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0"/>
        <w:ind w:left="878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NCCN-B-Cell Lymphomas [Version 2.2025]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1238" w:val="left"/>
        </w:tabs>
        <w:autoSpaceDE w:val="0"/>
        <w:widowControl/>
        <w:spacing w:line="259" w:lineRule="auto" w:before="4070" w:after="0"/>
        <w:ind w:left="878" w:right="28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Bernard et al. Implications of TP53 allelic state for genome stability, clinical presentation and outcomes in myelodysplastic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syndromes. Nat. Med. 2020 Aug 3. PMID: 32747829</w:t>
      </w:r>
    </w:p>
    <w:p>
      <w:pPr>
        <w:autoSpaceDN w:val="0"/>
        <w:autoSpaceDE w:val="0"/>
        <w:widowControl/>
        <w:spacing w:line="240" w:lineRule="auto" w:before="576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0"/>
        </w:rPr>
        <w:t>------------------ End Of Report ------------------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