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40" w:lineRule="auto" w:before="4114" w:after="0"/>
        <w:ind w:left="0" w:right="0" w:firstLine="0"/>
        <w:jc w:val="center"/>
      </w:pPr>
      <w:r>
        <w:rPr>
          <w:rFonts w:ascii="Cambria" w:hAnsi="Cambria" w:eastAsia="Cambria"/>
          <w:b/>
          <w:i/>
          <w:color w:val="008080"/>
          <w:sz w:val="28"/>
          <w:u w:val="single"/>
        </w:rPr>
        <w:t>Liquidseq Actionable Genomic Profiling Panel</w:t>
      </w:r>
    </w:p>
    <w:p>
      <w:pPr>
        <w:autoSpaceDN w:val="0"/>
        <w:autoSpaceDE w:val="0"/>
        <w:widowControl/>
        <w:spacing w:line="240" w:lineRule="auto" w:before="32" w:after="238"/>
        <w:ind w:left="0" w:right="0" w:firstLine="0"/>
        <w:jc w:val="center"/>
      </w:pPr>
      <w:r>
        <w:rPr>
          <w:rFonts w:ascii="Cambria" w:hAnsi="Cambria" w:eastAsia="Cambria"/>
          <w:b/>
          <w:i/>
          <w:color w:val="008080"/>
          <w:sz w:val="28"/>
          <w:u w:val="single"/>
        </w:rPr>
        <w:t>On Illumina Novaseq 6000 Platform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1396"/>
        </w:trPr>
        <w:tc>
          <w:tcPr>
            <w:tcW w:type="dxa" w:w="10694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8.000000000000043" w:type="dxa"/>
            </w:tblPr>
            <w:tblGrid>
              <w:gridCol w:w="10694"/>
            </w:tblGrid>
            <w:tr>
              <w:trPr>
                <w:trHeight w:hRule="exact" w:val="480"/>
              </w:trPr>
              <w:tc>
                <w:tcPr>
                  <w:tcW w:type="dxa" w:w="10710"/>
                  <w:tcBorders>
                    <w:start w:sz="6.400000000000006" w:val="single" w:color="#4AABC4"/>
                    <w:top w:sz="6.400000000000091" w:val="single" w:color="#4AABC4"/>
                    <w:end w:sz="5.600000000000364" w:val="single" w:color="#4AABC4"/>
                    <w:bottom w:sz="6.400000000000091" w:val="single" w:color="#4AABC4"/>
                  </w:tcBorders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03.99999999999999" w:type="dxa"/>
                  </w:tblPr>
                  <w:tblGrid>
                    <w:gridCol w:w="10710"/>
                  </w:tblGrid>
                  <w:tr>
                    <w:trPr>
                      <w:trHeight w:hRule="exact" w:val="272"/>
                    </w:trPr>
                    <w:tc>
                      <w:tcPr>
                        <w:tcW w:type="dxa" w:w="1876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Clinical Indication: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Metastatic Adenocarcinoma</w:t>
                  </w:r>
                </w:p>
              </w:tc>
            </w:tr>
          </w:tbl>
          <w:p>
            <w:pPr>
              <w:autoSpaceDN w:val="0"/>
              <w:tabs>
                <w:tab w:pos="4916" w:val="left"/>
              </w:tabs>
              <w:autoSpaceDE w:val="0"/>
              <w:widowControl/>
              <w:spacing w:line="245" w:lineRule="auto" w:before="364" w:after="0"/>
              <w:ind w:left="3768" w:right="3600" w:firstLine="0"/>
              <w:jc w:val="left"/>
            </w:pP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28"/>
              </w:rPr>
              <w:t xml:space="preserve">Positive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FFFFFF"/>
                <w:sz w:val="20"/>
              </w:rPr>
              <w:t>(Clinically significant Variant detected)</w:t>
            </w:r>
          </w:p>
        </w:tc>
      </w:tr>
    </w:tbl>
    <w:p>
      <w:pPr>
        <w:autoSpaceDN w:val="0"/>
        <w:autoSpaceDE w:val="0"/>
        <w:widowControl/>
        <w:spacing w:line="240" w:lineRule="auto" w:before="296" w:after="230"/>
        <w:ind w:left="93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Report Highlights: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872"/>
        </w:trPr>
        <w:tc>
          <w:tcPr>
            <w:tcW w:type="dxa" w:w="110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758" w:val="left"/>
                <w:tab w:pos="3108" w:val="left"/>
                <w:tab w:pos="4682" w:val="left"/>
                <w:tab w:pos="6124" w:val="left"/>
                <w:tab w:pos="8530" w:val="left"/>
              </w:tabs>
              <w:autoSpaceDE w:val="0"/>
              <w:widowControl/>
              <w:spacing w:line="242" w:lineRule="auto" w:before="60" w:after="0"/>
              <w:ind w:left="428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Tier I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Tier II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Tier III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MSI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Therapies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Clinical Trials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8.000000000000043" w:type="dxa"/>
            </w:tblPr>
            <w:tblGrid>
              <w:gridCol w:w="1834"/>
              <w:gridCol w:w="1834"/>
              <w:gridCol w:w="1834"/>
              <w:gridCol w:w="1834"/>
              <w:gridCol w:w="1834"/>
              <w:gridCol w:w="1834"/>
            </w:tblGrid>
            <w:tr>
              <w:trPr>
                <w:trHeight w:hRule="exact" w:val="218"/>
              </w:trPr>
              <w:tc>
                <w:tcPr>
                  <w:tcW w:type="dxa" w:w="10710"/>
                  <w:gridSpan w:val="6"/>
                  <w:tcBorders>
                    <w:top w:sz="12.0" w:val="single" w:color="#1F497D"/>
                    <w:bottom w:sz="5.599999999999909" w:val="single" w:color="#D9ECF2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386"/>
              </w:trPr>
              <w:tc>
                <w:tcPr>
                  <w:tcW w:type="dxa" w:w="1380"/>
                  <w:tcBorders>
                    <w:start w:sz="6.400000000000006" w:val="single" w:color="#D9ECF2"/>
                    <w:top w:sz="5.599999999999909" w:val="single" w:color="#D9ECF2"/>
                    <w:end w:sz="6.399999999999977" w:val="single" w:color="#D9ECF2"/>
                    <w:bottom w:sz="6.400000000000091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364"/>
                  <w:tcBorders>
                    <w:start w:sz="6.399999999999977" w:val="single" w:color="#D9ECF2"/>
                    <w:top w:sz="5.599999999999909" w:val="single" w:color="#D9ECF2"/>
                    <w:end w:sz="6.400000000000091" w:val="single" w:color="#D9ECF2"/>
                    <w:bottom w:sz="6.400000000000091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1</w:t>
                  </w:r>
                </w:p>
              </w:tc>
              <w:tc>
                <w:tcPr>
                  <w:tcW w:type="dxa" w:w="1412"/>
                  <w:tcBorders>
                    <w:start w:sz="6.400000000000091" w:val="single" w:color="#D9ECF2"/>
                    <w:top w:sz="5.599999999999909" w:val="single" w:color="#D9ECF2"/>
                    <w:end w:sz="5.599999999999909" w:val="single" w:color="#D9ECF2"/>
                    <w:bottom w:sz="6.400000000000091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1438"/>
                  <w:tcBorders>
                    <w:start w:sz="5.599999999999909" w:val="single" w:color="#D9ECF2"/>
                    <w:top w:sz="5.599999999999909" w:val="single" w:color="#D9ECF2"/>
                    <w:end w:sz="5.599999999999909" w:val="single" w:color="#D9ECF2"/>
                    <w:bottom w:sz="6.400000000000091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Stable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D9ECF2"/>
                    <w:top w:sz="5.599999999999909" w:val="single" w:color="#D9ECF2"/>
                    <w:end w:sz="6.400000000000091" w:val="single" w:color="#D9ECF2"/>
                    <w:bottom w:sz="6.400000000000091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0</w:t>
                  </w:r>
                </w:p>
              </w:tc>
              <w:tc>
                <w:tcPr>
                  <w:tcW w:type="dxa" w:w="3106"/>
                  <w:tcBorders>
                    <w:start w:sz="6.400000000000091" w:val="single" w:color="#D9ECF2"/>
                    <w:top w:sz="5.599999999999909" w:val="single" w:color="#D9ECF2"/>
                    <w:end w:sz="5.600000000000364" w:val="single" w:color="#D9ECF2"/>
                    <w:bottom w:sz="6.400000000000091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43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40" w:lineRule="auto" w:before="220" w:after="164"/>
        <w:ind w:left="93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Key Findings: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808"/>
        <w:gridCol w:w="1808"/>
        <w:gridCol w:w="1808"/>
        <w:gridCol w:w="1808"/>
        <w:gridCol w:w="1808"/>
      </w:tblGrid>
      <w:tr>
        <w:trPr>
          <w:trHeight w:hRule="exact" w:val="496"/>
        </w:trPr>
        <w:tc>
          <w:tcPr>
            <w:tcW w:type="dxa" w:w="1512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Tier</w:t>
            </w:r>
          </w:p>
        </w:tc>
        <w:tc>
          <w:tcPr>
            <w:tcW w:type="dxa" w:w="302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8" w:after="0"/>
              <w:ind w:left="602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Gene &amp; Transcript</w:t>
            </w:r>
          </w:p>
        </w:tc>
        <w:tc>
          <w:tcPr>
            <w:tcW w:type="dxa" w:w="222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8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Variant</w:t>
            </w:r>
          </w:p>
        </w:tc>
        <w:tc>
          <w:tcPr>
            <w:tcW w:type="dxa" w:w="172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8" w:after="0"/>
              <w:ind w:left="0" w:right="484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Exon</w:t>
            </w:r>
          </w:p>
        </w:tc>
        <w:tc>
          <w:tcPr>
            <w:tcW w:type="dxa" w:w="2238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8" w:after="0"/>
              <w:ind w:left="516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Coverage/ VAF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808"/>
        <w:gridCol w:w="1808"/>
        <w:gridCol w:w="1808"/>
        <w:gridCol w:w="1808"/>
        <w:gridCol w:w="1808"/>
      </w:tblGrid>
      <w:tr>
        <w:trPr>
          <w:trHeight w:hRule="exact" w:val="646"/>
        </w:trPr>
        <w:tc>
          <w:tcPr>
            <w:tcW w:type="dxa" w:w="1528"/>
            <w:tcBorders>
              <w:start w:sz="6.400000000000006" w:val="single" w:color="#D9ECF2"/>
              <w:top w:sz="6.400000000000091" w:val="single" w:color="#D9ECF2"/>
              <w:end w:sz="5.600000000000023" w:val="single" w:color="#D9ECF2"/>
              <w:bottom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IIC</w:t>
            </w:r>
          </w:p>
        </w:tc>
        <w:tc>
          <w:tcPr>
            <w:tcW w:type="dxa" w:w="2820"/>
            <w:tcBorders>
              <w:start w:sz="5.600000000000023" w:val="single" w:color="#D9ECF2"/>
              <w:top w:sz="6.400000000000091" w:val="single" w:color="#D9ECF2"/>
              <w:end w:sz="5.599999999999909" w:val="single" w:color="#D9ECF2"/>
              <w:bottom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0" w:after="0"/>
              <w:ind w:left="720" w:right="72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TP53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NM_000546.6</w:t>
            </w:r>
          </w:p>
        </w:tc>
        <w:tc>
          <w:tcPr>
            <w:tcW w:type="dxa" w:w="2642"/>
            <w:tcBorders>
              <w:start w:sz="5.599999999999909" w:val="single" w:color="#D9ECF2"/>
              <w:top w:sz="6.400000000000091" w:val="single" w:color="#D9ECF2"/>
              <w:end w:sz="5.599999999999909" w:val="single" w:color="#D9ECF2"/>
              <w:bottom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0" w:after="0"/>
              <w:ind w:left="864" w:right="864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c.405C&gt;A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p.(C135*)</w:t>
            </w:r>
          </w:p>
        </w:tc>
        <w:tc>
          <w:tcPr>
            <w:tcW w:type="dxa" w:w="1574"/>
            <w:tcBorders>
              <w:start w:sz="5.599999999999909" w:val="single" w:color="#D9ECF2"/>
              <w:top w:sz="6.400000000000091" w:val="single" w:color="#D9ECF2"/>
              <w:end w:sz="6.400000000000091" w:val="single" w:color="#D9ECF2"/>
              <w:bottom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60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2146"/>
            <w:tcBorders>
              <w:start w:sz="6.400000000000091" w:val="single" w:color="#D9ECF2"/>
              <w:top w:sz="6.400000000000091" w:val="single" w:color="#D9ECF2"/>
              <w:end w:sz="5.600000000000364" w:val="single" w:color="#D9ECF2"/>
              <w:bottom w:sz="5.599999999999909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40" w:after="0"/>
              <w:ind w:left="720" w:right="72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691x /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93.13%</w:t>
            </w:r>
          </w:p>
        </w:tc>
      </w:tr>
    </w:tbl>
    <w:p>
      <w:pPr>
        <w:autoSpaceDN w:val="0"/>
        <w:autoSpaceDE w:val="0"/>
        <w:widowControl/>
        <w:spacing w:line="240" w:lineRule="auto" w:before="50" w:after="0"/>
        <w:ind w:left="716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*Genetic test results are reported based on the recommendations of AMP-ASCO-CAP guidelines.</w:t>
      </w:r>
    </w:p>
    <w:p>
      <w:pPr>
        <w:autoSpaceDN w:val="0"/>
        <w:autoSpaceDE w:val="0"/>
        <w:widowControl/>
        <w:spacing w:line="240" w:lineRule="auto" w:before="36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**Public data sources included in relevant targeted therapies, guidelines: EMA, FDA, ESMO, NCCN.</w:t>
      </w:r>
    </w:p>
    <w:p>
      <w:pPr>
        <w:autoSpaceDN w:val="0"/>
        <w:autoSpaceDE w:val="0"/>
        <w:widowControl/>
        <w:spacing w:line="240" w:lineRule="auto" w:before="222" w:after="178"/>
        <w:ind w:left="93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Multi-Gene Biomarkers Results: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3013"/>
        <w:gridCol w:w="3013"/>
        <w:gridCol w:w="3013"/>
      </w:tblGrid>
      <w:tr>
        <w:trPr>
          <w:trHeight w:hRule="exact" w:val="496"/>
        </w:trPr>
        <w:tc>
          <w:tcPr>
            <w:tcW w:type="dxa" w:w="4312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8" w:after="0"/>
              <w:ind w:left="0" w:right="1336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Assay Biomarker</w:t>
            </w:r>
          </w:p>
        </w:tc>
        <w:tc>
          <w:tcPr>
            <w:tcW w:type="dxa" w:w="302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8" w:after="0"/>
              <w:ind w:left="0" w:right="1086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Result</w:t>
            </w:r>
          </w:p>
        </w:tc>
        <w:tc>
          <w:tcPr>
            <w:tcW w:type="dxa" w:w="3378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8" w:after="0"/>
              <w:ind w:left="0" w:right="962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Interpretation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3013"/>
        <w:gridCol w:w="3013"/>
        <w:gridCol w:w="3013"/>
      </w:tblGrid>
      <w:tr>
        <w:trPr>
          <w:trHeight w:hRule="exact" w:val="496"/>
        </w:trPr>
        <w:tc>
          <w:tcPr>
            <w:tcW w:type="dxa" w:w="4440"/>
            <w:tcBorders>
              <w:start w:sz="6.400000000000006" w:val="single" w:color="#D9ECF2"/>
              <w:top w:sz="6.399999999999636" w:val="single" w:color="#D9ECF2"/>
              <w:end w:sz="6.400000000000091" w:val="single" w:color="#D9ECF2"/>
              <w:bottom w:sz="6.399999999999636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Microsatellite Instability (MSI)</w:t>
            </w:r>
          </w:p>
        </w:tc>
        <w:tc>
          <w:tcPr>
            <w:tcW w:type="dxa" w:w="3044"/>
            <w:tcBorders>
              <w:start w:sz="6.400000000000091" w:val="single" w:color="#D9ECF2"/>
              <w:top w:sz="6.399999999999636" w:val="single" w:color="#D9ECF2"/>
              <w:end w:sz="6.400000000000091" w:val="single" w:color="#D9ECF2"/>
              <w:bottom w:sz="6.399999999999636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Stable</w:t>
            </w:r>
          </w:p>
        </w:tc>
        <w:tc>
          <w:tcPr>
            <w:tcW w:type="dxa" w:w="3226"/>
            <w:tcBorders>
              <w:start w:sz="6.400000000000091" w:val="single" w:color="#D9ECF2"/>
              <w:top w:sz="6.399999999999636" w:val="single" w:color="#D9ECF2"/>
              <w:end w:sz="5.600000000000364" w:val="single" w:color="#D9ECF2"/>
              <w:bottom w:sz="6.399999999999636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86" w:after="0"/>
              <w:ind w:left="340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Stable Microsatellite detected</w:t>
            </w:r>
          </w:p>
        </w:tc>
      </w:tr>
    </w:tbl>
    <w:p>
      <w:pPr>
        <w:autoSpaceDN w:val="0"/>
        <w:autoSpaceDE w:val="0"/>
        <w:widowControl/>
        <w:spacing w:line="240" w:lineRule="auto" w:before="50" w:after="0"/>
        <w:ind w:left="716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# Correlation of the genetic findings with the clinical condition of the patient is required to arrive at accurate diagnosis,</w:t>
      </w:r>
    </w:p>
    <w:p>
      <w:pPr>
        <w:autoSpaceDN w:val="0"/>
        <w:autoSpaceDE w:val="0"/>
        <w:widowControl/>
        <w:spacing w:line="240" w:lineRule="auto" w:before="36" w:after="1184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prognosis or therapeutic decisions.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40.0" w:type="dxa"/>
      </w:tblPr>
      <w:tblGrid>
        <w:gridCol w:w="3013"/>
        <w:gridCol w:w="3013"/>
        <w:gridCol w:w="3013"/>
      </w:tblGrid>
      <w:tr>
        <w:trPr>
          <w:trHeight w:hRule="exact" w:val="822"/>
        </w:trPr>
        <w:tc>
          <w:tcPr>
            <w:tcW w:type="dxa" w:w="36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6" w:after="0"/>
              <w:ind w:left="0" w:right="33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61389" cy="41020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1389" cy="4102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0" w:after="0"/>
              <w:ind w:left="34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6"/>
              </w:rPr>
              <w:t>Page 1 of 10</w:t>
            </w:r>
          </w:p>
        </w:tc>
        <w:tc>
          <w:tcPr>
            <w:tcW w:type="dxa" w:w="34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6" w:after="0"/>
              <w:ind w:left="26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43610" cy="41020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3610" cy="4102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0" w:lineRule="auto" w:before="4122" w:after="178"/>
        <w:ind w:left="95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Clinical Significance: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4519"/>
        <w:gridCol w:w="4519"/>
      </w:tblGrid>
      <w:tr>
        <w:trPr>
          <w:trHeight w:hRule="exact" w:val="540"/>
        </w:trPr>
        <w:tc>
          <w:tcPr>
            <w:tcW w:type="dxa" w:w="4432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4432"/>
            </w:tblGrid>
            <w:tr>
              <w:trPr>
                <w:trHeight w:hRule="exact" w:val="520"/>
              </w:trPr>
              <w:tc>
                <w:tcPr>
                  <w:tcW w:type="dxa" w:w="3252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42" w:after="0"/>
                    <w:ind w:left="0" w:right="1142" w:firstLine="0"/>
                    <w:jc w:val="righ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Variant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627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42" w:after="0"/>
              <w:ind w:left="0" w:right="3200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Therapy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3008"/>
        </w:trPr>
        <w:tc>
          <w:tcPr>
            <w:tcW w:type="dxa" w:w="10702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567"/>
              <w:gridCol w:w="3567"/>
              <w:gridCol w:w="3567"/>
            </w:tblGrid>
            <w:tr>
              <w:trPr>
                <w:trHeight w:hRule="exact" w:val="510"/>
              </w:trPr>
              <w:tc>
                <w:tcPr>
                  <w:tcW w:type="dxa" w:w="3554"/>
                  <w:tcBorders>
                    <w:start w:sz="6.400000000000006" w:val="single" w:color="#D9ECF2"/>
                    <w:top w:sz="5.599999999999909" w:val="single" w:color="#D9ECF2"/>
                    <w:end w:sz="5.599999999999909" w:val="single" w:color="#D9ECF2"/>
                  </w:tcBorders>
                  <w:shd w:fill="a5a6a5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3562"/>
                  <w:tcBorders>
                    <w:start w:sz="5.599999999999909" w:val="single" w:color="#D9ECF2"/>
                    <w:top w:sz="5.599999999999909" w:val="single" w:color="#D9ECF2"/>
                    <w:end w:sz="6.400000000000091" w:val="single" w:color="#D9ECF2"/>
                  </w:tcBorders>
                  <w:shd w:fill="a5a6a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2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133.9999999999998" w:type="dxa"/>
                  </w:tblPr>
                  <w:tblGrid>
                    <w:gridCol w:w="3562"/>
                  </w:tblGrid>
                  <w:tr>
                    <w:trPr>
                      <w:trHeight w:hRule="exact" w:val="280"/>
                    </w:trPr>
                    <w:tc>
                      <w:tcPr>
                        <w:tcW w:type="dxa" w:w="1454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In This Cancer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3578"/>
                  <w:tcBorders>
                    <w:start w:sz="6.400000000000091" w:val="single" w:color="#D9ECF2"/>
                    <w:top w:sz="5.599999999999909" w:val="single" w:color="#D9ECF2"/>
                    <w:end w:sz="5.600000000000364" w:val="single" w:color="#D9ECF2"/>
                  </w:tcBorders>
                  <w:shd w:fill="a5a6a5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2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063.9999999999998" w:type="dxa"/>
                  </w:tblPr>
                  <w:tblGrid>
                    <w:gridCol w:w="3578"/>
                  </w:tblGrid>
                  <w:tr>
                    <w:trPr>
                      <w:trHeight w:hRule="exact" w:val="280"/>
                    </w:trPr>
                    <w:tc>
                      <w:tcPr>
                        <w:tcW w:type="dxa" w:w="1606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6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In Other Cancer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978"/>
              </w:trPr>
              <w:tc>
                <w:tcPr>
                  <w:tcW w:type="dxa" w:w="3554"/>
                  <w:tcBorders/>
                  <w:shd w:fill="d8d9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148" w:after="0"/>
                    <w:ind w:left="1296" w:right="1296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IIC </w:t>
                  </w:r>
                  <w:r>
                    <w:br/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TP53 </w:t>
                  </w:r>
                  <w:r>
                    <w:br/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p.(C135*)</w:t>
                  </w:r>
                </w:p>
              </w:tc>
              <w:tc>
                <w:tcPr>
                  <w:tcW w:type="dxa" w:w="3562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50" w:after="0"/>
                    <w:ind w:left="11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6666"/>
                      <w:sz w:val="24"/>
                    </w:rPr>
                    <w:t>▪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None*</w:t>
                  </w:r>
                </w:p>
              </w:tc>
              <w:tc>
                <w:tcPr>
                  <w:tcW w:type="dxa" w:w="3578"/>
                  <w:tcBorders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23.999999999999773" w:type="dxa"/>
                  </w:tblPr>
                  <w:tblGrid>
                    <w:gridCol w:w="3578"/>
                  </w:tblGrid>
                  <w:tr>
                    <w:trPr>
                      <w:trHeight w:hRule="exact" w:val="940"/>
                    </w:trPr>
                    <w:tc>
                      <w:tcPr>
                        <w:tcW w:type="dxa" w:w="3554"/>
                        <w:tcBorders/>
                        <w:shd w:fill="f7f7f7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342" w:after="0"/>
                          <w:ind w:left="96" w:right="0" w:firstLine="0"/>
                          <w:jc w:val="left"/>
                        </w:pP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006666"/>
                            <w:sz w:val="24"/>
                          </w:rPr>
                          <w:t>▪</w:t>
                        </w: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000000"/>
                            <w:sz w:val="20"/>
                          </w:rPr>
                          <w:t>None*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tabs>
                <w:tab w:pos="3712" w:val="left"/>
                <w:tab w:pos="7670" w:val="left"/>
              </w:tabs>
              <w:autoSpaceDE w:val="0"/>
              <w:widowControl/>
              <w:spacing w:line="240" w:lineRule="auto" w:before="462" w:after="0"/>
              <w:ind w:left="1048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Variant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Diagnostic Significance </w:t>
            </w:r>
            <w:r>
              <w:tab/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Prognostic Significance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8.000000000000043" w:type="dxa"/>
            </w:tblPr>
            <w:tblGrid>
              <w:gridCol w:w="3567"/>
              <w:gridCol w:w="3567"/>
              <w:gridCol w:w="3567"/>
            </w:tblGrid>
            <w:tr>
              <w:trPr>
                <w:trHeight w:hRule="exact" w:val="202"/>
              </w:trPr>
              <w:tc>
                <w:tcPr>
                  <w:tcW w:type="dxa" w:w="10710"/>
                  <w:gridSpan w:val="3"/>
                  <w:tcBorders>
                    <w:top w:sz="12.0" w:val="single" w:color="#1F497D"/>
                    <w:bottom w:sz="5.599999999999909" w:val="single" w:color="#D9ECF2"/>
                  </w:tcBorders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624"/>
              </w:trPr>
              <w:tc>
                <w:tcPr>
                  <w:tcW w:type="dxa" w:w="2788"/>
                  <w:tcBorders>
                    <w:start w:sz="6.400000000000006" w:val="single" w:color="#D9ECF2"/>
                    <w:top w:sz="5.599999999999909" w:val="single" w:color="#D9ECF2"/>
                    <w:end w:sz="5.599999999999909" w:val="single" w:color="#D9ECF2"/>
                    <w:bottom w:sz="5.599999999999909" w:val="single" w:color="#D9ECF2"/>
                  </w:tcBorders>
                  <w:shd w:fill="d8d9d8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42" w:after="0"/>
                    <w:ind w:left="864" w:right="864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TP53 </w:t>
                  </w:r>
                  <w:r>
                    <w:br/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p.(C135*)</w:t>
                  </w:r>
                </w:p>
              </w:tc>
              <w:tc>
                <w:tcPr>
                  <w:tcW w:type="dxa" w:w="3962"/>
                  <w:tcBorders>
                    <w:start w:sz="5.599999999999909" w:val="single" w:color="#D9ECF2"/>
                    <w:top w:sz="5.599999999999909" w:val="single" w:color="#D9ECF2"/>
                    <w:end w:sz="5.599999999999909" w:val="single" w:color="#D9ECF2"/>
                    <w:bottom w:sz="5.599999999999909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46" w:after="0"/>
                    <w:ind w:left="8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None*</w:t>
                  </w:r>
                </w:p>
              </w:tc>
              <w:tc>
                <w:tcPr>
                  <w:tcW w:type="dxa" w:w="3960"/>
                  <w:tcBorders>
                    <w:start w:sz="5.599999999999909" w:val="single" w:color="#D9ECF2"/>
                    <w:top w:sz="5.599999999999909" w:val="single" w:color="#D9ECF2"/>
                    <w:end w:sz="5.600000000000364" w:val="single" w:color="#D9ECF2"/>
                    <w:bottom w:sz="5.599999999999909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46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None*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40" w:lineRule="auto" w:before="206" w:after="180"/>
        <w:ind w:left="93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Biomarker Description: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4519"/>
        <w:gridCol w:w="4519"/>
      </w:tblGrid>
      <w:tr>
        <w:trPr>
          <w:trHeight w:hRule="exact" w:val="494"/>
        </w:trPr>
        <w:tc>
          <w:tcPr>
            <w:tcW w:type="dxa" w:w="3492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3492"/>
            </w:tblGrid>
            <w:tr>
              <w:trPr>
                <w:trHeight w:hRule="exact" w:val="474"/>
              </w:trPr>
              <w:tc>
                <w:tcPr>
                  <w:tcW w:type="dxa" w:w="2492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26" w:after="0"/>
                    <w:ind w:left="0" w:right="990" w:firstLine="0"/>
                    <w:jc w:val="righ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Variant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721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26" w:after="0"/>
              <w:ind w:left="0" w:right="3154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Biomarker Description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4519"/>
        <w:gridCol w:w="4519"/>
      </w:tblGrid>
      <w:tr>
        <w:trPr>
          <w:trHeight w:hRule="exact" w:val="4544"/>
        </w:trPr>
        <w:tc>
          <w:tcPr>
            <w:tcW w:type="dxa" w:w="2368"/>
            <w:tcBorders>
              <w:start w:sz="6.400000000000006" w:val="single" w:color="#D9ECF2"/>
              <w:top w:sz="6.400000000000091" w:val="single" w:color="#D9ECF2"/>
              <w:end w:sz="5.599999999999909" w:val="single" w:color="#D9ECF2"/>
              <w:bottom w:sz="6.399999999999636" w:val="single" w:color="#D9ECF2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744" w:after="0"/>
              <w:ind w:left="100" w:right="864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TP53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NM_000546.6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chr17:7578525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c.405C&gt;A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p.(C135*)</w:t>
            </w:r>
          </w:p>
        </w:tc>
        <w:tc>
          <w:tcPr>
            <w:tcW w:type="dxa" w:w="8342"/>
            <w:tcBorders>
              <w:start w:sz="5.599999999999909" w:val="single" w:color="#D9ECF2"/>
              <w:top w:sz="6.400000000000091" w:val="single" w:color="#D9ECF2"/>
              <w:end w:sz="5.600000000000364" w:val="single" w:color="#D9ECF2"/>
              <w:bottom w:sz="6.399999999999636" w:val="single" w:color="#D9ECF2"/>
            </w:tcBorders>
            <w:shd w:fill="f7f7f7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80" w:after="0"/>
              <w:ind w:left="86" w:right="288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The TP53 gene encodes the tumor suppressor protein p53, which binds to DNA and activates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transcription in response to diverse cellular stresses to induce cell cycle arrest, apoptosis, or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DNA repair[1]. In unstressed cells, TP53 is kept inactive by targeted degradation via MDM2, a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substrate recognition factor for ubiquitin-dependent proteolysis[2]. Alterations in TP53 are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required for oncogenesis as they result in loss of protein function and gain of transforming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potential[3]. Germline mutations in TP53 are the underlying cause of Li-Fraumeni syndrome, a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complex hereditary cancer predisposition disorder associated with early-onset cancers[4,5].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TP53 is the most frequently mutated gene in the cancer genome with approximately half of all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cancers experiencing TP53 mutations. Ovarian, head and neck, esophageal, and lung squamous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cancers have particularly high TP53 mutation rates (60-90%)[6,7,8,9,10,11]. Approximately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two-thirds of TP53 mutations are missense mutations and several recurrent missense </w:t>
            </w:r>
            <w:r>
              <w:br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mutations are common, including substitutions at codons R158, R175, Y220, R248, R273, and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R282[6,7]. Invariably, recurrent missense mutations in TP53 inactivate its ability to bind DNA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and activate transcription of target genes[12,13,14,15]. Alterations in TP53 are also observed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in pediatric cancers[6,7]. Somatic mutations are observed in 53% of non-Hodgkin lymphoma,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24% of soft tissue sarcoma, 19% of glioma, 13% of bone cancer, 9% of B-lymphoblastic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leukemia/lymphoma, 4% of embryonal tumors, 3% of Wilms tumor and leukemia, 2% of T-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lymphoblastic leukemia/lymphoma, and less than 1% of peripheral nervous system cancers (5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in 1158 cases )[6,7]. Biallelic loss of TP53 is observed in 10% of bone cancer, 2% of Wilms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40.0" w:type="dxa"/>
      </w:tblPr>
      <w:tblGrid>
        <w:gridCol w:w="3013"/>
        <w:gridCol w:w="3013"/>
        <w:gridCol w:w="3013"/>
      </w:tblGrid>
      <w:tr>
        <w:trPr>
          <w:trHeight w:hRule="exact" w:val="802"/>
        </w:trPr>
        <w:tc>
          <w:tcPr>
            <w:tcW w:type="dxa" w:w="36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6" w:after="0"/>
              <w:ind w:left="0" w:right="33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61389" cy="41020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1389" cy="4102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40" w:after="0"/>
              <w:ind w:left="34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6"/>
              </w:rPr>
              <w:t>Page 2 of 10</w:t>
            </w:r>
          </w:p>
        </w:tc>
        <w:tc>
          <w:tcPr>
            <w:tcW w:type="dxa" w:w="34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6" w:after="0"/>
              <w:ind w:left="26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43610" cy="41020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3610" cy="4102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418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620.0" w:type="dxa"/>
      </w:tblPr>
      <w:tblGrid>
        <w:gridCol w:w="9038"/>
      </w:tblGrid>
      <w:tr>
        <w:trPr>
          <w:trHeight w:hRule="exact" w:val="284"/>
        </w:trPr>
        <w:tc>
          <w:tcPr>
            <w:tcW w:type="dxa" w:w="98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60" w:after="0"/>
              <w:ind w:left="164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tumor, and less than 1% of B-lymphoblastic leukemia/lymphoma (2 in 731 cases) and</w:t>
            </w:r>
          </w:p>
        </w:tc>
      </w:tr>
    </w:tbl>
    <w:p>
      <w:pPr>
        <w:autoSpaceDN w:val="0"/>
        <w:autoSpaceDE w:val="0"/>
        <w:widowControl/>
        <w:spacing w:line="245" w:lineRule="auto" w:before="2" w:after="0"/>
        <w:ind w:left="3024" w:right="720" w:firstLine="0"/>
        <w:jc w:val="center"/>
      </w:pPr>
      <w:r>
        <w:rPr>
          <w:rFonts w:ascii="Cambria" w:hAnsi="Cambria" w:eastAsia="Cambria"/>
          <w:b/>
          <w:i w:val="0"/>
          <w:color w:val="FFFFFF"/>
          <w:sz w:val="19"/>
        </w:rPr>
        <w:t xml:space="preserve">leukemia (1 in 250 cases)[6,7]. The small molecule p53 reactivator, PC14586[16] (2020), </w:t>
      </w:r>
      <w:r>
        <w:rPr>
          <w:rFonts w:ascii="Cambria" w:hAnsi="Cambria" w:eastAsia="Cambria"/>
          <w:b/>
          <w:i w:val="0"/>
          <w:color w:val="FFFFFF"/>
          <w:sz w:val="19"/>
        </w:rPr>
        <w:t xml:space="preserve">received a fast track designation by the FDA for advanced tumors harboring a TP53 Y220C </w:t>
      </w:r>
      <w:r>
        <w:rPr>
          <w:rFonts w:ascii="Cambria" w:hAnsi="Cambria" w:eastAsia="Cambria"/>
          <w:b/>
          <w:i w:val="0"/>
          <w:color w:val="FFFFFF"/>
          <w:sz w:val="19"/>
        </w:rPr>
        <w:t xml:space="preserve">mutation. The FDA has granted fast track designation to the p53 reactivator, </w:t>
      </w:r>
      <w:r>
        <w:br/>
      </w:r>
      <w:r>
        <w:rPr>
          <w:rFonts w:ascii="Cambria" w:hAnsi="Cambria" w:eastAsia="Cambria"/>
          <w:b/>
          <w:i w:val="0"/>
          <w:color w:val="FFFFFF"/>
          <w:sz w:val="19"/>
        </w:rPr>
        <w:t xml:space="preserve">eprenetapopt[17], (2019) and breakthrough designation[18] (2020) in combination with </w:t>
      </w:r>
      <w:r>
        <w:rPr>
          <w:rFonts w:ascii="Cambria" w:hAnsi="Cambria" w:eastAsia="Cambria"/>
          <w:b/>
          <w:i w:val="0"/>
          <w:color w:val="FFFFFF"/>
          <w:sz w:val="19"/>
        </w:rPr>
        <w:t>azacitidine or azacitidine and venetoclax for acute myeloid leukemia patients (AML) and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436"/>
        </w:trPr>
        <w:tc>
          <w:tcPr>
            <w:tcW w:type="dxa" w:w="1071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2448" w:right="144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myelodysplastic syndrome (MDS) harboring a TP53 mutation, respectively. In addition to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investigational therapies aimed at restoring wild-type TP53 activity, compounds that</w:t>
            </w:r>
          </w:p>
        </w:tc>
      </w:tr>
    </w:tbl>
    <w:p>
      <w:pPr>
        <w:autoSpaceDN w:val="0"/>
        <w:autoSpaceDE w:val="0"/>
        <w:widowControl/>
        <w:spacing w:line="245" w:lineRule="auto" w:before="2" w:after="0"/>
        <w:ind w:left="3024" w:right="720" w:firstLine="0"/>
        <w:jc w:val="center"/>
      </w:pPr>
      <w:r>
        <w:rPr>
          <w:rFonts w:ascii="Cambria" w:hAnsi="Cambria" w:eastAsia="Cambria"/>
          <w:b/>
          <w:i w:val="0"/>
          <w:color w:val="FFFFFF"/>
          <w:sz w:val="19"/>
        </w:rPr>
        <w:t xml:space="preserve">induce synthetic lethality are also under clinical evaluation[19,20]. TP53 mutation are a </w:t>
      </w:r>
      <w:r>
        <w:rPr>
          <w:rFonts w:ascii="Cambria" w:hAnsi="Cambria" w:eastAsia="Cambria"/>
          <w:b/>
          <w:i w:val="0"/>
          <w:color w:val="FFFFFF"/>
          <w:sz w:val="19"/>
        </w:rPr>
        <w:t xml:space="preserve">diagnostic marker of SHH-activated, TP53-mutant medulloblastoma[21]. TP53 mutations </w:t>
      </w:r>
      <w:r>
        <w:rPr>
          <w:rFonts w:ascii="Cambria" w:hAnsi="Cambria" w:eastAsia="Cambria"/>
          <w:b/>
          <w:i w:val="0"/>
          <w:color w:val="FFFFFF"/>
          <w:sz w:val="19"/>
        </w:rPr>
        <w:t xml:space="preserve">confer poor prognosis and poor risk in multiple blood cancers including AML, MDS, </w:t>
      </w:r>
      <w:r>
        <w:rPr>
          <w:rFonts w:ascii="Cambria" w:hAnsi="Cambria" w:eastAsia="Cambria"/>
          <w:b/>
          <w:i w:val="0"/>
          <w:color w:val="FFFFFF"/>
          <w:sz w:val="19"/>
        </w:rPr>
        <w:t xml:space="preserve">myeloproliferative neoplasms (MPN), and chronic lymphocytic leukemia (CLL), and acute </w:t>
      </w:r>
      <w:r>
        <w:rPr>
          <w:rFonts w:ascii="Cambria" w:hAnsi="Cambria" w:eastAsia="Cambria"/>
          <w:b/>
          <w:i w:val="0"/>
          <w:color w:val="FFFFFF"/>
          <w:sz w:val="19"/>
        </w:rPr>
        <w:t>lymphoblastic leukemia (ALL)[22,23,24,25,26,27]. In mantle cell lymphoma, TP53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20.0" w:type="dxa"/>
      </w:tblPr>
      <w:tblGrid>
        <w:gridCol w:w="9038"/>
      </w:tblGrid>
      <w:tr>
        <w:trPr>
          <w:trHeight w:hRule="exact" w:val="436"/>
        </w:trPr>
        <w:tc>
          <w:tcPr>
            <w:tcW w:type="dxa" w:w="10040"/>
            <w:tcBorders/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1440" w:right="288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mutations are associated with poor prognosis when treated with conventional therapy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including hematopoietic cell transplant[28]. Mono- and bi-allelic mutations in TP53 confer</w:t>
            </w:r>
          </w:p>
        </w:tc>
      </w:tr>
    </w:tbl>
    <w:p>
      <w:pPr>
        <w:autoSpaceDN w:val="0"/>
        <w:autoSpaceDE w:val="0"/>
        <w:widowControl/>
        <w:spacing w:line="245" w:lineRule="auto" w:before="2" w:after="0"/>
        <w:ind w:left="3024" w:right="576" w:firstLine="0"/>
        <w:jc w:val="center"/>
      </w:pPr>
      <w:r>
        <w:rPr>
          <w:rFonts w:ascii="Cambria" w:hAnsi="Cambria" w:eastAsia="Cambria"/>
          <w:b/>
          <w:i w:val="0"/>
          <w:color w:val="FFFFFF"/>
          <w:sz w:val="19"/>
        </w:rPr>
        <w:t xml:space="preserve">unique characteristics in MDS, with multi-hit patients also experiencing associations with </w:t>
      </w:r>
      <w:r>
        <w:rPr>
          <w:rFonts w:ascii="Cambria" w:hAnsi="Cambria" w:eastAsia="Cambria"/>
          <w:b/>
          <w:i w:val="0"/>
          <w:color w:val="FFFFFF"/>
          <w:sz w:val="19"/>
        </w:rPr>
        <w:t>complex karyotype, few co-occurring mutations, and high-risk disease presentation as well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0.0" w:type="dxa"/>
      </w:tblPr>
      <w:tblGrid>
        <w:gridCol w:w="9038"/>
      </w:tblGrid>
      <w:tr>
        <w:trPr>
          <w:trHeight w:hRule="exact" w:val="670"/>
        </w:trPr>
        <w:tc>
          <w:tcPr>
            <w:tcW w:type="dxa" w:w="10724"/>
            <w:tcBorders>
              <w:bottom w:sz="6.400000000000091" w:val="single" w:color="#D9ECF2"/>
            </w:tcBorders>
            <w:shd w:fill="1f497d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" w:after="0"/>
              <w:ind w:left="2736" w:right="432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as predicted death and leukemic transformation independent of the IPSS-R staging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system[29].</w:t>
            </w:r>
          </w:p>
        </w:tc>
      </w:tr>
    </w:tbl>
    <w:p>
      <w:pPr>
        <w:autoSpaceDN w:val="0"/>
        <w:autoSpaceDE w:val="0"/>
        <w:widowControl/>
        <w:spacing w:line="240" w:lineRule="auto" w:before="290" w:after="0"/>
        <w:ind w:left="930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4"/>
        </w:rPr>
        <w:t>Therapy &amp; Clinical Trials:</w:t>
      </w:r>
    </w:p>
    <w:p>
      <w:pPr>
        <w:autoSpaceDN w:val="0"/>
        <w:autoSpaceDE w:val="0"/>
        <w:widowControl/>
        <w:spacing w:line="240" w:lineRule="auto" w:before="402" w:after="8"/>
        <w:ind w:left="716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0"/>
        </w:rPr>
        <w:t>TP53 p.(C135*) c.405C&gt;A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506"/>
        <w:gridCol w:w="1506"/>
        <w:gridCol w:w="1506"/>
        <w:gridCol w:w="1506"/>
        <w:gridCol w:w="1506"/>
        <w:gridCol w:w="1506"/>
      </w:tblGrid>
      <w:tr>
        <w:trPr>
          <w:trHeight w:hRule="exact" w:val="392"/>
        </w:trPr>
        <w:tc>
          <w:tcPr>
            <w:tcW w:type="dxa" w:w="4412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4412"/>
            </w:tblGrid>
            <w:tr>
              <w:trPr>
                <w:trHeight w:hRule="exact" w:val="350"/>
              </w:trPr>
              <w:tc>
                <w:tcPr>
                  <w:tcW w:type="dxa" w:w="3732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26" w:after="0"/>
                    <w:ind w:left="0" w:right="642" w:firstLine="0"/>
                    <w:jc w:val="righ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Therapy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0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26" w:after="0"/>
              <w:ind w:left="0" w:right="298" w:firstLine="0"/>
              <w:jc w:val="righ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FDA</w:t>
            </w:r>
          </w:p>
        </w:tc>
        <w:tc>
          <w:tcPr>
            <w:tcW w:type="dxa" w:w="10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NCCN</w:t>
            </w:r>
          </w:p>
        </w:tc>
        <w:tc>
          <w:tcPr>
            <w:tcW w:type="dxa" w:w="10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EMA</w:t>
            </w:r>
          </w:p>
        </w:tc>
        <w:tc>
          <w:tcPr>
            <w:tcW w:type="dxa" w:w="11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ESMO</w:t>
            </w:r>
          </w:p>
        </w:tc>
        <w:tc>
          <w:tcPr>
            <w:tcW w:type="dxa" w:w="1098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Trials</w:t>
            </w:r>
          </w:p>
        </w:tc>
      </w:tr>
      <w:tr>
        <w:trPr>
          <w:trHeight w:hRule="exact" w:val="4396"/>
        </w:trPr>
        <w:tc>
          <w:tcPr>
            <w:tcW w:type="dxa" w:w="10710"/>
            <w:gridSpan w:val="6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4.000000000000057" w:type="dxa"/>
            </w:tblPr>
            <w:tblGrid>
              <w:gridCol w:w="1785"/>
              <w:gridCol w:w="1785"/>
              <w:gridCol w:w="1785"/>
              <w:gridCol w:w="1785"/>
              <w:gridCol w:w="1785"/>
              <w:gridCol w:w="1785"/>
            </w:tblGrid>
            <w:tr>
              <w:trPr>
                <w:trHeight w:hRule="exact" w:val="448"/>
              </w:trPr>
              <w:tc>
                <w:tcPr>
                  <w:tcW w:type="dxa" w:w="5416"/>
                  <w:tcBorders>
                    <w:start w:sz="6.400000000000006" w:val="single" w:color="#D9ECF2"/>
                    <w:top w:sz="5.600000000000364" w:val="single" w:color="#D9ECF2"/>
                    <w:end w:sz="5.599999999999909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56" w:after="0"/>
                    <w:ind w:left="8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niraparib</w:t>
                  </w:r>
                </w:p>
              </w:tc>
              <w:tc>
                <w:tcPr>
                  <w:tcW w:type="dxa" w:w="1020"/>
                  <w:tcBorders>
                    <w:start w:sz="5.599999999999909" w:val="single" w:color="#D9ECF2"/>
                    <w:top w:sz="5.600000000000364" w:val="single" w:color="#D9ECF2"/>
                    <w:end w:sz="5.599999999999909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2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4"/>
                  <w:tcBorders>
                    <w:start w:sz="5.599999999999909" w:val="single" w:color="#D9ECF2"/>
                    <w:top w:sz="5.600000000000364" w:val="single" w:color="#D9ECF2"/>
                    <w:end w:sz="5.599999999999909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2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20"/>
                  <w:tcBorders>
                    <w:start w:sz="5.599999999999909" w:val="single" w:color="#D9ECF2"/>
                    <w:top w:sz="5.600000000000364" w:val="single" w:color="#D9ECF2"/>
                    <w:end w:sz="5.599999999999909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2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94"/>
                  <w:tcBorders>
                    <w:start w:sz="5.599999999999909" w:val="single" w:color="#D9ECF2"/>
                    <w:top w:sz="5.600000000000364" w:val="single" w:color="#D9ECF2"/>
                    <w:end w:sz="5.600000000000364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02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8"/>
                  <w:tcBorders>
                    <w:start w:sz="5.600000000000364" w:val="single" w:color="#D9ECF2"/>
                    <w:top w:sz="5.600000000000364" w:val="single" w:color="#D9ECF2"/>
                    <w:end w:sz="5.600000000000364" w:val="single" w:color="#D9ECF2"/>
                  </w:tcBorders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5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II</w:t>
                  </w:r>
                </w:p>
              </w:tc>
            </w:tr>
            <w:tr>
              <w:trPr>
                <w:trHeight w:hRule="exact" w:val="446"/>
              </w:trPr>
              <w:tc>
                <w:tcPr>
                  <w:tcW w:type="dxa" w:w="54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80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atezolizumab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9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8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8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II</w:t>
                  </w:r>
                </w:p>
              </w:tc>
            </w:tr>
            <w:tr>
              <w:trPr>
                <w:trHeight w:hRule="exact" w:val="466"/>
              </w:trPr>
              <w:tc>
                <w:tcPr>
                  <w:tcW w:type="dxa" w:w="541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84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azenosertib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6.000000000000227" w:type="dxa"/>
                  </w:tblPr>
                  <w:tblGrid>
                    <w:gridCol w:w="1020"/>
                  </w:tblGrid>
                  <w:tr>
                    <w:trPr>
                      <w:trHeight w:hRule="exact" w:val="416"/>
                    </w:trPr>
                    <w:tc>
                      <w:tcPr>
                        <w:tcW w:type="dxa" w:w="992"/>
                        <w:tcBorders/>
                        <w:shd w:fill="f7f7f7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118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808080"/>
                            <w:sz w:val="24"/>
                          </w:rPr>
                          <w:t>X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1064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3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2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3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94"/>
                  <w:tcBorders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7.999999999999545" w:type="dxa"/>
                  </w:tblPr>
                  <w:tblGrid>
                    <w:gridCol w:w="1094"/>
                  </w:tblGrid>
                  <w:tr>
                    <w:trPr>
                      <w:trHeight w:hRule="exact" w:val="416"/>
                    </w:trPr>
                    <w:tc>
                      <w:tcPr>
                        <w:tcW w:type="dxa" w:w="1066"/>
                        <w:tcBorders/>
                        <w:shd w:fill="f7f7f7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118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808080"/>
                            <w:sz w:val="24"/>
                          </w:rPr>
                          <w:t>X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1068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8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II</w:t>
                  </w:r>
                </w:p>
              </w:tc>
            </w:tr>
            <w:tr>
              <w:trPr>
                <w:trHeight w:hRule="exact" w:val="450"/>
              </w:trPr>
              <w:tc>
                <w:tcPr>
                  <w:tcW w:type="dxa" w:w="54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ART-6043, olaparib, niraparib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9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8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I/II</w:t>
                  </w:r>
                </w:p>
              </w:tc>
            </w:tr>
            <w:tr>
              <w:trPr>
                <w:trHeight w:hRule="exact" w:val="450"/>
              </w:trPr>
              <w:tc>
                <w:tcPr>
                  <w:tcW w:type="dxa" w:w="541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ATRN-119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6.000000000000227" w:type="dxa"/>
                  </w:tblPr>
                  <w:tblGrid>
                    <w:gridCol w:w="1020"/>
                  </w:tblGrid>
                  <w:tr>
                    <w:trPr>
                      <w:trHeight w:hRule="exact" w:val="416"/>
                    </w:trPr>
                    <w:tc>
                      <w:tcPr>
                        <w:tcW w:type="dxa" w:w="992"/>
                        <w:tcBorders/>
                        <w:shd w:fill="f7f7f7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118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808080"/>
                            <w:sz w:val="24"/>
                          </w:rPr>
                          <w:t>X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1064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2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94"/>
                  <w:tcBorders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7.999999999999545" w:type="dxa"/>
                  </w:tblPr>
                  <w:tblGrid>
                    <w:gridCol w:w="1094"/>
                  </w:tblGrid>
                  <w:tr>
                    <w:trPr>
                      <w:trHeight w:hRule="exact" w:val="416"/>
                    </w:trPr>
                    <w:tc>
                      <w:tcPr>
                        <w:tcW w:type="dxa" w:w="1066"/>
                        <w:tcBorders/>
                        <w:shd w:fill="f7f7f7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118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808080"/>
                            <w:sz w:val="24"/>
                          </w:rPr>
                          <w:t>X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1068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I/II</w:t>
                  </w:r>
                </w:p>
              </w:tc>
            </w:tr>
            <w:tr>
              <w:trPr>
                <w:trHeight w:hRule="exact" w:val="450"/>
              </w:trPr>
              <w:tc>
                <w:tcPr>
                  <w:tcW w:type="dxa" w:w="54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niraparib, GSK-101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9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8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I/II</w:t>
                  </w:r>
                </w:p>
              </w:tc>
            </w:tr>
            <w:tr>
              <w:trPr>
                <w:trHeight w:hRule="exact" w:val="450"/>
              </w:trPr>
              <w:tc>
                <w:tcPr>
                  <w:tcW w:type="dxa" w:w="5416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VB-15010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6.000000000000227" w:type="dxa"/>
                  </w:tblPr>
                  <w:tblGrid>
                    <w:gridCol w:w="1020"/>
                  </w:tblGrid>
                  <w:tr>
                    <w:trPr>
                      <w:trHeight w:hRule="exact" w:val="432"/>
                    </w:trPr>
                    <w:tc>
                      <w:tcPr>
                        <w:tcW w:type="dxa" w:w="992"/>
                        <w:tcBorders/>
                        <w:shd w:fill="f7f7f7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118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808080"/>
                            <w:sz w:val="24"/>
                          </w:rPr>
                          <w:t>X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1064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20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94"/>
                  <w:tcBorders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7.999999999999545" w:type="dxa"/>
                  </w:tblPr>
                  <w:tblGrid>
                    <w:gridCol w:w="1094"/>
                  </w:tblGrid>
                  <w:tr>
                    <w:trPr>
                      <w:trHeight w:hRule="exact" w:val="432"/>
                    </w:trPr>
                    <w:tc>
                      <w:tcPr>
                        <w:tcW w:type="dxa" w:w="1066"/>
                        <w:tcBorders/>
                        <w:shd w:fill="f7f7f7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118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 w:val="0"/>
                            <w:i w:val="0"/>
                            <w:color w:val="808080"/>
                            <w:sz w:val="24"/>
                          </w:rPr>
                          <w:t>X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1068"/>
                  <w:tcBorders/>
                  <w:shd w:fill="f7f7f7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I/II</w:t>
                  </w:r>
                </w:p>
              </w:tc>
            </w:tr>
            <w:tr>
              <w:trPr>
                <w:trHeight w:hRule="exact" w:val="456"/>
              </w:trPr>
              <w:tc>
                <w:tcPr>
                  <w:tcW w:type="dxa" w:w="54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GenSci-122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9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14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808080"/>
                      <w:sz w:val="24"/>
                    </w:rPr>
                    <w:t>X</w:t>
                  </w:r>
                </w:p>
              </w:tc>
              <w:tc>
                <w:tcPr>
                  <w:tcW w:type="dxa" w:w="1068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68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38" w:lineRule="auto" w:before="0" w:after="0"/>
              <w:ind w:left="0" w:right="4782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6"/>
              </w:rPr>
              <w:t>Page 3 of 10</w:t>
            </w:r>
          </w:p>
          <w:p>
            <w:pPr>
              <w:autoSpaceDN w:val="0"/>
              <w:tabs>
                <w:tab w:pos="6456" w:val="left"/>
              </w:tabs>
              <w:autoSpaceDE w:val="0"/>
              <w:widowControl/>
              <w:spacing w:line="240" w:lineRule="auto" w:before="0" w:after="0"/>
              <w:ind w:left="2902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61389" cy="41020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1389" cy="4102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drawing>
                <wp:inline xmlns:a="http://schemas.openxmlformats.org/drawingml/2006/main" xmlns:pic="http://schemas.openxmlformats.org/drawingml/2006/picture">
                  <wp:extent cx="943610" cy="41020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3610" cy="4102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40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506"/>
        <w:gridCol w:w="1506"/>
        <w:gridCol w:w="1506"/>
        <w:gridCol w:w="1506"/>
        <w:gridCol w:w="1506"/>
        <w:gridCol w:w="1506"/>
      </w:tblGrid>
      <w:tr>
        <w:trPr>
          <w:trHeight w:hRule="exact" w:val="9246"/>
        </w:trPr>
        <w:tc>
          <w:tcPr>
            <w:tcW w:type="dxa" w:w="5436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5436"/>
            </w:tblGrid>
            <w:tr>
              <w:trPr>
                <w:trHeight w:hRule="exact" w:val="474"/>
              </w:trPr>
              <w:tc>
                <w:tcPr>
                  <w:tcW w:type="dxa" w:w="4252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26" w:after="0"/>
                    <w:ind w:left="0" w:right="1146" w:firstLine="0"/>
                    <w:jc w:val="righ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GH-2616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99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X</w:t>
            </w:r>
          </w:p>
        </w:tc>
        <w:tc>
          <w:tcPr>
            <w:tcW w:type="dxa" w:w="106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X</w:t>
            </w:r>
          </w:p>
        </w:tc>
        <w:tc>
          <w:tcPr>
            <w:tcW w:type="dxa" w:w="105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X</w:t>
            </w:r>
          </w:p>
        </w:tc>
        <w:tc>
          <w:tcPr>
            <w:tcW w:type="dxa" w:w="106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X</w:t>
            </w:r>
          </w:p>
        </w:tc>
        <w:tc>
          <w:tcPr>
            <w:tcW w:type="dxa" w:w="110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I</w:t>
            </w:r>
          </w:p>
        </w:tc>
      </w:tr>
      <w:tr>
        <w:trPr>
          <w:trHeight w:hRule="exact" w:val="436"/>
        </w:trPr>
        <w:tc>
          <w:tcPr>
            <w:tcW w:type="dxa" w:w="5436"/>
            <w:tcBorders/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992"/>
            <w:tcBorders/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64"/>
            <w:tcBorders/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50"/>
            <w:tcBorders/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66"/>
            <w:tcBorders/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102"/>
            <w:tcBorders/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7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740.0" w:type="dxa"/>
      </w:tblPr>
      <w:tblGrid>
        <w:gridCol w:w="3013"/>
        <w:gridCol w:w="3013"/>
        <w:gridCol w:w="3013"/>
      </w:tblGrid>
      <w:tr>
        <w:trPr>
          <w:trHeight w:hRule="exact" w:val="822"/>
        </w:trPr>
        <w:tc>
          <w:tcPr>
            <w:tcW w:type="dxa" w:w="36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6" w:after="0"/>
              <w:ind w:left="0" w:right="33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61389" cy="41020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1389" cy="4102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0" w:after="0"/>
              <w:ind w:left="34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6"/>
              </w:rPr>
              <w:t>Page 4 of 10</w:t>
            </w:r>
          </w:p>
        </w:tc>
        <w:tc>
          <w:tcPr>
            <w:tcW w:type="dxa" w:w="34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6" w:after="0"/>
              <w:ind w:left="26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43610" cy="41020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3610" cy="4102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40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1506"/>
        <w:gridCol w:w="1506"/>
        <w:gridCol w:w="1506"/>
        <w:gridCol w:w="1506"/>
        <w:gridCol w:w="1506"/>
        <w:gridCol w:w="1506"/>
      </w:tblGrid>
      <w:tr>
        <w:trPr>
          <w:trHeight w:hRule="exact" w:val="4086"/>
        </w:trPr>
        <w:tc>
          <w:tcPr>
            <w:tcW w:type="dxa" w:w="5436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5436"/>
            </w:tblGrid>
            <w:tr>
              <w:trPr>
                <w:trHeight w:hRule="exact" w:val="474"/>
              </w:trPr>
              <w:tc>
                <w:tcPr>
                  <w:tcW w:type="dxa" w:w="4552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26" w:after="0"/>
                    <w:ind w:left="0" w:right="858" w:firstLine="0"/>
                    <w:jc w:val="righ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olaparib, durvalumab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99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X</w:t>
            </w:r>
          </w:p>
        </w:tc>
        <w:tc>
          <w:tcPr>
            <w:tcW w:type="dxa" w:w="106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X</w:t>
            </w:r>
          </w:p>
        </w:tc>
        <w:tc>
          <w:tcPr>
            <w:tcW w:type="dxa" w:w="105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X</w:t>
            </w:r>
          </w:p>
        </w:tc>
        <w:tc>
          <w:tcPr>
            <w:tcW w:type="dxa" w:w="1066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X</w:t>
            </w:r>
          </w:p>
        </w:tc>
        <w:tc>
          <w:tcPr>
            <w:tcW w:type="dxa" w:w="1102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2" w:lineRule="auto" w:before="12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II</w:t>
            </w:r>
          </w:p>
        </w:tc>
      </w:tr>
      <w:tr>
        <w:trPr>
          <w:trHeight w:hRule="exact" w:val="452"/>
        </w:trPr>
        <w:tc>
          <w:tcPr>
            <w:tcW w:type="dxa" w:w="5436"/>
            <w:tcBorders/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992"/>
            <w:tcBorders/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64"/>
            <w:tcBorders/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50"/>
            <w:tcBorders/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066"/>
            <w:tcBorders/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1102"/>
            <w:tcBorders/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34" w:lineRule="exact" w:before="100" w:after="196"/>
        <w:ind w:left="716" w:right="1440" w:firstLine="0"/>
        <w:jc w:val="left"/>
      </w:pPr>
      <w:r>
        <w:rPr>
          <w:rFonts w:ascii="Type3 (19 0 R)" w:hAnsi="Type3 (19 0 R)" w:eastAsia="Type3 (19 0 R)"/>
          <w:b w:val="0"/>
          <w:i w:val="0"/>
          <w:color w:val="000000"/>
          <w:sz w:val="20"/>
        </w:rPr>
        <w:t>📝</w:t>
      </w:r>
      <w:r>
        <w:rPr>
          <w:rFonts w:ascii="Cambria" w:hAnsi="Cambria" w:eastAsia="Cambria"/>
          <w:b w:val="0"/>
          <w:i w:val="0"/>
          <w:color w:val="000000"/>
          <w:sz w:val="20"/>
        </w:rPr>
        <w:t>Note:</w:t>
      </w:r>
      <w:r>
        <w:rPr>
          <w:rFonts w:ascii="Segoe UI Symbol" w:hAnsi="Segoe UI Symbol" w:eastAsia="Segoe UI Symbol"/>
          <w:b w:val="0"/>
          <w:i w:val="0"/>
          <w:color w:val="00B050"/>
          <w:sz w:val="20"/>
        </w:rPr>
        <w:t>✓</w:t>
      </w:r>
      <w:r>
        <w:rPr>
          <w:rFonts w:ascii="Cambria" w:hAnsi="Cambria" w:eastAsia="Cambria"/>
          <w:b w:val="0"/>
          <w:i w:val="0"/>
          <w:color w:val="000000"/>
          <w:sz w:val="20"/>
        </w:rPr>
        <w:t>: In this Cancer Type,</w:t>
      </w:r>
      <w:r>
        <w:rPr>
          <w:rFonts w:ascii="Segoe UI Symbol" w:hAnsi="Segoe UI Symbol" w:eastAsia="Segoe UI Symbol"/>
          <w:b w:val="0"/>
          <w:i w:val="0"/>
          <w:color w:val="FFC000"/>
          <w:sz w:val="20"/>
        </w:rPr>
        <w:t>✓</w:t>
      </w:r>
      <w:r>
        <w:rPr>
          <w:rFonts w:ascii="Cambria" w:hAnsi="Cambria" w:eastAsia="Cambria"/>
          <w:b w:val="0"/>
          <w:i w:val="0"/>
          <w:color w:val="000000"/>
          <w:sz w:val="20"/>
        </w:rPr>
        <w:t>: In Other Cancer Type,</w:t>
      </w:r>
      <w:r>
        <w:rPr>
          <w:rFonts w:ascii="Segoe UI Symbol" w:hAnsi="Segoe UI Symbol" w:eastAsia="Segoe UI Symbol"/>
          <w:b w:val="0"/>
          <w:i w:val="0"/>
          <w:color w:val="00B050"/>
          <w:sz w:val="20"/>
        </w:rPr>
        <w:t>✓</w:t>
      </w:r>
      <w:r>
        <w:rPr>
          <w:rFonts w:ascii="Segoe UI Symbol" w:hAnsi="Segoe UI Symbol" w:eastAsia="Segoe UI Symbol"/>
          <w:b w:val="0"/>
          <w:i w:val="0"/>
          <w:color w:val="FFC000"/>
          <w:sz w:val="20"/>
        </w:rPr>
        <w:t>✓</w:t>
      </w:r>
      <w:r>
        <w:rPr>
          <w:rFonts w:ascii="Cambria" w:hAnsi="Cambria" w:eastAsia="Cambria"/>
          <w:b w:val="0"/>
          <w:i w:val="0"/>
          <w:color w:val="000000"/>
          <w:sz w:val="20"/>
        </w:rPr>
        <w:t>: both In this and Other Cancer Type,</w:t>
      </w:r>
      <w:r>
        <w:rPr>
          <w:rFonts w:ascii="Cambria" w:hAnsi="Cambria" w:eastAsia="Cambria"/>
          <w:b w:val="0"/>
          <w:i w:val="0"/>
          <w:color w:val="808080"/>
          <w:sz w:val="20"/>
        </w:rPr>
        <w:t xml:space="preserve"> X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 : No Evidence.</w:t>
      </w:r>
      <w:r>
        <w:rPr>
          <w:rFonts w:ascii="Type3 (21 0 R)" w:hAnsi="Type3 (21 0 R)" w:eastAsia="Type3 (21 0 R)"/>
          <w:b w:val="0"/>
          <w:i w:val="0"/>
          <w:color w:val="EE0000"/>
          <w:sz w:val="20"/>
        </w:rPr>
        <w:t>⚠️</w:t>
      </w: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: </w:t>
      </w:r>
      <w:r>
        <w:rPr>
          <w:rFonts w:ascii="Cambria" w:hAnsi="Cambria" w:eastAsia="Cambria"/>
          <w:b w:val="0"/>
          <w:i w:val="0"/>
          <w:color w:val="000000"/>
          <w:sz w:val="20"/>
        </w:rPr>
        <w:t>Caution for Use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9038"/>
      </w:tblGrid>
      <w:tr>
        <w:trPr>
          <w:trHeight w:hRule="exact" w:val="5276"/>
        </w:trPr>
        <w:tc>
          <w:tcPr>
            <w:tcW w:type="dxa" w:w="1069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6" w:after="0"/>
              <w:ind w:left="19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Test Description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8.000000000000043" w:type="dxa"/>
            </w:tblPr>
            <w:tblGrid>
              <w:gridCol w:w="10694"/>
            </w:tblGrid>
            <w:tr>
              <w:trPr>
                <w:trHeight w:hRule="exact" w:val="2834"/>
              </w:trPr>
              <w:tc>
                <w:tcPr>
                  <w:tcW w:type="dxa" w:w="10710"/>
                  <w:tcBorders>
                    <w:start w:sz="6.400000000000006" w:val="single" w:color="#D9ECF2"/>
                    <w:top w:sz="6.400000000000091" w:val="single" w:color="#D9ECF2"/>
                    <w:end w:sz="5.600000000000364" w:val="single" w:color="#D9ECF2"/>
                    <w:bottom w:sz="5.600000000000364" w:val="single" w:color="#D9ECF2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124" w:after="0"/>
                    <w:ind w:left="100" w:right="1008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Liquidseq Actionable Genomic Profiling Panel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 is advancing precision oncology research through the analysis of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multiple relevant biomarkers in a single next-generation sequencing (NGS) test.</w:t>
                  </w:r>
                </w:p>
                <w:p>
                  <w:pPr>
                    <w:autoSpaceDN w:val="0"/>
                    <w:autoSpaceDE w:val="0"/>
                    <w:widowControl/>
                    <w:spacing w:line="245" w:lineRule="auto" w:before="396" w:after="0"/>
                    <w:ind w:left="100" w:right="432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The Liquidseq Actionable Genomic Profiling assay analyses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 xml:space="preserve"> 34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 unique genes (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28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 DNA +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 xml:space="preserve"> 6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 Fusions driver genes) for single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gene and multiple gene biomarker insights, detects single gene biomarkers from all variant types including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 xml:space="preserve"> SNVs, indels, 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CNVs, known and novel fusions, and splice variants.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 Analyze complex multi-gene biomarkers for mutational signatures,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including microsatellite instability (</w:t>
                  </w: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MSI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) for immunotherapy research.</w:t>
                  </w:r>
                </w:p>
                <w:p>
                  <w:pPr>
                    <w:autoSpaceDN w:val="0"/>
                    <w:autoSpaceDE w:val="0"/>
                    <w:widowControl/>
                    <w:spacing w:line="245" w:lineRule="auto" w:before="396" w:after="0"/>
                    <w:ind w:left="100" w:right="1152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The performance of the panel was verified using both commercially sourced reference controls and cell-free DNA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(cfTNA)samples.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40" w:lineRule="auto" w:before="320" w:after="0"/>
              <w:ind w:left="190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20"/>
              </w:rPr>
              <w:t>Test Methodology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8.000000000000043" w:type="dxa"/>
            </w:tblPr>
            <w:tblGrid>
              <w:gridCol w:w="10694"/>
            </w:tblGrid>
            <w:tr>
              <w:trPr>
                <w:trHeight w:hRule="exact" w:val="998"/>
              </w:trPr>
              <w:tc>
                <w:tcPr>
                  <w:tcW w:type="dxa" w:w="10710"/>
                  <w:tcBorders>
                    <w:start w:sz="6.400000000000006" w:val="single" w:color="#D9ECF2"/>
                    <w:top w:sz="6.399999999999636" w:val="single" w:color="#D9ECF2"/>
                    <w:end w:sz="5.600000000000364" w:val="single" w:color="#D9ECF2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66" w:after="0"/>
                    <w:ind w:left="98" w:right="576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Extraction &amp; Library Preparation: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 Cell free Total Nucleic acid (cfTNA) extracted from the liquid biopsy sample is used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for targeted gene capture using a custom designed hybrid capture panel. In process quality controls were determined for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prepared library.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38" w:lineRule="auto" w:before="0" w:after="0"/>
              <w:ind w:left="0" w:right="4774" w:firstLine="0"/>
              <w:jc w:val="righ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6"/>
              </w:rPr>
              <w:t>Page 5 of 10</w:t>
            </w:r>
          </w:p>
          <w:p>
            <w:pPr>
              <w:autoSpaceDN w:val="0"/>
              <w:tabs>
                <w:tab w:pos="6448" w:val="left"/>
              </w:tabs>
              <w:autoSpaceDE w:val="0"/>
              <w:widowControl/>
              <w:spacing w:line="240" w:lineRule="auto" w:before="0" w:after="0"/>
              <w:ind w:left="289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61389" cy="410209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1389" cy="4102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drawing>
                <wp:inline xmlns:a="http://schemas.openxmlformats.org/drawingml/2006/main" xmlns:pic="http://schemas.openxmlformats.org/drawingml/2006/picture">
                  <wp:extent cx="943610" cy="41020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3610" cy="4102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40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2566"/>
        </w:trPr>
        <w:tc>
          <w:tcPr>
            <w:tcW w:type="dxa" w:w="10710"/>
            <w:tcBorders>
              <w:start w:sz="6.400000000000006" w:val="single" w:color="#D9ECF2"/>
              <w:end w:sz="5.600000000000364" w:val="single" w:color="#D9ECF2"/>
              <w:bottom w:sz="5.599999999999909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4" w:after="0"/>
              <w:ind w:left="100" w:right="576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Sequencing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: The libraries were sequenced at mean depth: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&gt;25,000x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 on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Illumina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 Novaseq- next generation sequencing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platform.</w:t>
            </w:r>
          </w:p>
          <w:p>
            <w:pPr>
              <w:autoSpaceDN w:val="0"/>
              <w:autoSpaceDE w:val="0"/>
              <w:widowControl/>
              <w:spacing w:line="245" w:lineRule="auto" w:before="260" w:after="0"/>
              <w:ind w:left="98" w:right="288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Data Analysis: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 Sequencing data analyzed using a customized and validated bioinformatics pipeline capable of detecting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various classes of genomic alterations, including single nucleotide variants (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SNVs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),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Indels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, copy number variations (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CNVs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)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 xml:space="preserve"> fusions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. As part of the streamlined bioinformatics workflow, Multi-gene Biomarkers such as Microsatellite Instability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(</w:t>
            </w:r>
            <w:r>
              <w:rPr>
                <w:rFonts w:ascii="Cambria" w:hAnsi="Cambria" w:eastAsia="Cambria"/>
                <w:b/>
                <w:i w:val="0"/>
                <w:color w:val="000000"/>
                <w:sz w:val="20"/>
              </w:rPr>
              <w:t>MSI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) Score is calculated. Reportable genomic alterations and fusions are prioritized, classified, and reported based on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AMP-ASCO-CAP guidelines and NCCN guidelines.</w:t>
            </w:r>
          </w:p>
          <w:p>
            <w:pPr>
              <w:autoSpaceDN w:val="0"/>
              <w:autoSpaceDE w:val="0"/>
              <w:widowControl/>
              <w:spacing w:line="245" w:lineRule="auto" w:before="80" w:after="0"/>
              <w:ind w:left="100" w:right="432" w:hanging="2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Limit of Detection (LOD): The LOD for SNVs and Short InDels is 0.1% Variant allele Frequency (VAF) and for Fusions is 05 </w:t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supporting reads.</w:t>
            </w:r>
          </w:p>
        </w:tc>
      </w:tr>
    </w:tbl>
    <w:p>
      <w:pPr>
        <w:autoSpaceDN w:val="0"/>
        <w:autoSpaceDE w:val="0"/>
        <w:widowControl/>
        <w:spacing w:line="27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16.0" w:type="dxa"/>
      </w:tblPr>
      <w:tblGrid>
        <w:gridCol w:w="2259"/>
        <w:gridCol w:w="2259"/>
        <w:gridCol w:w="2259"/>
        <w:gridCol w:w="2259"/>
      </w:tblGrid>
      <w:tr>
        <w:trPr>
          <w:trHeight w:hRule="exact" w:val="7720"/>
        </w:trPr>
        <w:tc>
          <w:tcPr>
            <w:tcW w:type="dxa" w:w="7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3.99999999999999" w:type="dxa"/>
            </w:tblPr>
            <w:tblGrid>
              <w:gridCol w:w="780"/>
            </w:tblGrid>
            <w:tr>
              <w:trPr>
                <w:trHeight w:hRule="exact" w:val="280"/>
              </w:trPr>
              <w:tc>
                <w:tcPr>
                  <w:tcW w:type="dxa" w:w="676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36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20"/>
                    </w:rPr>
                    <w:t>Notes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964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034" w:after="0"/>
              <w:ind w:left="0" w:right="33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61389" cy="41020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1389" cy="4102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958" w:after="0"/>
              <w:ind w:left="34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6"/>
              </w:rPr>
              <w:t>Page 6 of 10</w:t>
            </w:r>
          </w:p>
        </w:tc>
        <w:tc>
          <w:tcPr>
            <w:tcW w:type="dxa" w:w="451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034" w:after="0"/>
              <w:ind w:left="26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43610" cy="41020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3610" cy="4102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40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3556"/>
        </w:trPr>
        <w:tc>
          <w:tcPr>
            <w:tcW w:type="dxa" w:w="10710"/>
            <w:tcBorders>
              <w:start w:sz="6.400000000000006" w:val="single" w:color="#D9ECF2"/>
              <w:end w:sz="5.600000000000364" w:val="single" w:color="#D9ECF2"/>
              <w:bottom w:sz="6.400000000000091" w:val="single" w:color="#D9ECF2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64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Poor-quality cfDNA/ Previous or Ongoing therapy may fail QC thresholds at various stages such as cfDNA extraction,</w:t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library preparation, or bioinformatics, and may result in assay failure or compromised results, such as low gene coverage</w:t>
            </w:r>
          </w:p>
          <w:p>
            <w:pPr>
              <w:autoSpaceDN w:val="0"/>
              <w:autoSpaceDE w:val="0"/>
              <w:widowControl/>
              <w:spacing w:line="240" w:lineRule="auto" w:before="6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or shallow variant depth.</w:t>
            </w:r>
          </w:p>
          <w:p>
            <w:pPr>
              <w:autoSpaceDN w:val="0"/>
              <w:autoSpaceDE w:val="0"/>
              <w:widowControl/>
              <w:spacing w:line="240" w:lineRule="auto" w:before="396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Variants with lower allele frequencies may be reported if they are of strong or potential clinical relevance, or if previously</w:t>
            </w:r>
          </w:p>
          <w:p>
            <w:pPr>
              <w:autoSpaceDN w:val="0"/>
              <w:autoSpaceDE w:val="0"/>
              <w:widowControl/>
              <w:spacing w:line="240" w:lineRule="auto" w:before="0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detected in the same patient. False positives or negatives below assay sensitivity cannot be ruled out.</w:t>
            </w:r>
          </w:p>
          <w:p>
            <w:pPr>
              <w:autoSpaceDN w:val="0"/>
              <w:autoSpaceDE w:val="0"/>
              <w:widowControl/>
              <w:spacing w:line="240" w:lineRule="auto" w:before="396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CNVs/gene amplifications reported, Confirmation using orthogonal methods such as DDPCR is recommended when</w:t>
            </w:r>
          </w:p>
          <w:p>
            <w:pPr>
              <w:autoSpaceDN w:val="0"/>
              <w:autoSpaceDE w:val="0"/>
              <w:widowControl/>
              <w:spacing w:line="240" w:lineRule="auto" w:before="6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clinically indicated.</w:t>
            </w:r>
          </w:p>
          <w:p>
            <w:pPr>
              <w:autoSpaceDN w:val="0"/>
              <w:autoSpaceDE w:val="0"/>
              <w:widowControl/>
              <w:spacing w:line="240" w:lineRule="auto" w:before="396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Variants in non-coding regions or deep intronic sequences are not assessed in this assay.</w:t>
            </w:r>
          </w:p>
          <w:p>
            <w:pPr>
              <w:autoSpaceDN w:val="0"/>
              <w:autoSpaceDE w:val="0"/>
              <w:widowControl/>
              <w:spacing w:line="240" w:lineRule="auto" w:before="80" w:after="0"/>
              <w:ind w:left="98" w:right="0" w:firstLine="0"/>
              <w:jc w:val="left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This assay is under the scope of NABL as Liquidseq Actionable Panel.</w:t>
            </w:r>
          </w:p>
        </w:tc>
      </w:tr>
    </w:tbl>
    <w:p>
      <w:pPr>
        <w:autoSpaceDN w:val="0"/>
        <w:autoSpaceDE w:val="0"/>
        <w:widowControl/>
        <w:spacing w:line="2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3013"/>
        <w:gridCol w:w="3013"/>
        <w:gridCol w:w="3013"/>
      </w:tblGrid>
      <w:tr>
        <w:trPr>
          <w:trHeight w:hRule="exact" w:val="5988"/>
        </w:trPr>
        <w:tc>
          <w:tcPr>
            <w:tcW w:type="dxa" w:w="11320"/>
            <w:gridSpan w:val="3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42.0" w:type="dxa"/>
            </w:tblPr>
            <w:tblGrid>
              <w:gridCol w:w="2264"/>
              <w:gridCol w:w="2264"/>
              <w:gridCol w:w="2264"/>
              <w:gridCol w:w="2264"/>
              <w:gridCol w:w="2264"/>
            </w:tblGrid>
            <w:tr>
              <w:trPr>
                <w:trHeight w:hRule="exact" w:val="240"/>
              </w:trPr>
              <w:tc>
                <w:tcPr>
                  <w:tcW w:type="dxa" w:w="10682"/>
                  <w:gridSpan w:val="5"/>
                  <w:tcBorders/>
                  <w:shd w:fill="008080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97.99999999999997" w:type="dxa"/>
                  </w:tblPr>
                  <w:tblGrid>
                    <w:gridCol w:w="10682"/>
                  </w:tblGrid>
                  <w:tr>
                    <w:trPr>
                      <w:trHeight w:hRule="exact" w:val="222"/>
                    </w:trPr>
                    <w:tc>
                      <w:tcPr>
                        <w:tcW w:type="dxa" w:w="1440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8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DNA Gene List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236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AKT1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ALK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APC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ATM</w:t>
                  </w:r>
                </w:p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BRAF</w:t>
                  </w:r>
                </w:p>
              </w:tc>
            </w:tr>
            <w:tr>
              <w:trPr>
                <w:trHeight w:hRule="exact" w:val="255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BRCA1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BRCA2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CTNNB1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EGFR</w:t>
                  </w:r>
                </w:p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0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ERBB2</w:t>
                  </w:r>
                </w:p>
              </w:tc>
            </w:tr>
            <w:tr>
              <w:trPr>
                <w:trHeight w:hRule="exact" w:val="240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ERBB3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ESR1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FOXL2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GNA11</w:t>
                  </w:r>
                </w:p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GNAQ</w:t>
                  </w:r>
                </w:p>
              </w:tc>
            </w:tr>
            <w:tr>
              <w:trPr>
                <w:trHeight w:hRule="exact" w:val="240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HRAS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IDH1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IDH2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KIT</w:t>
                  </w:r>
                </w:p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KRAS</w:t>
                  </w:r>
                </w:p>
              </w:tc>
            </w:tr>
            <w:tr>
              <w:trPr>
                <w:trHeight w:hRule="exact" w:val="255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9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MET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NRAS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PDGFRA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PIK3CA</w:t>
                  </w:r>
                </w:p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22" w:after="0"/>
                    <w:ind w:left="92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POLE</w:t>
                  </w:r>
                </w:p>
              </w:tc>
            </w:tr>
            <w:tr>
              <w:trPr>
                <w:trHeight w:hRule="exact" w:val="231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1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tabs>
                <w:tab w:pos="2576" w:val="left"/>
                <w:tab w:pos="4718" w:val="left"/>
              </w:tabs>
              <w:autoSpaceDE w:val="0"/>
              <w:widowControl/>
              <w:spacing w:line="240" w:lineRule="auto" w:before="0" w:after="234"/>
              <w:ind w:left="43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RAF1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RET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TP53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40.0" w:type="dxa"/>
            </w:tblPr>
            <w:tblGrid>
              <w:gridCol w:w="2264"/>
              <w:gridCol w:w="2264"/>
              <w:gridCol w:w="2264"/>
              <w:gridCol w:w="2264"/>
              <w:gridCol w:w="2264"/>
            </w:tblGrid>
            <w:tr>
              <w:trPr>
                <w:trHeight w:hRule="exact" w:val="240"/>
              </w:trPr>
              <w:tc>
                <w:tcPr>
                  <w:tcW w:type="dxa" w:w="10686"/>
                  <w:gridSpan w:val="5"/>
                  <w:tcBorders/>
                  <w:shd w:fill="008080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100.0" w:type="dxa"/>
                  </w:tblPr>
                  <w:tblGrid>
                    <w:gridCol w:w="10686"/>
                  </w:tblGrid>
                  <w:tr>
                    <w:trPr>
                      <w:trHeight w:hRule="exact" w:val="224"/>
                    </w:trPr>
                    <w:tc>
                      <w:tcPr>
                        <w:tcW w:type="dxa" w:w="1440"/>
                        <w:tcBorders/>
                        <w:shd w:fill="1f497d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40" w:lineRule="auto" w:before="10" w:after="0"/>
                          <w:ind w:left="0" w:right="0" w:firstLine="0"/>
                          <w:jc w:val="center"/>
                        </w:pPr>
                        <w:r>
                          <w:rPr>
                            <w:rFonts w:ascii="Cambria" w:hAnsi="Cambria" w:eastAsia="Cambria"/>
                            <w:b/>
                            <w:i w:val="0"/>
                            <w:color w:val="FFFFFF"/>
                            <w:sz w:val="20"/>
                          </w:rPr>
                          <w:t>RNA Gene List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234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ALK</w:t>
                  </w:r>
                </w:p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10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MET</w:t>
                  </w:r>
                </w:p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NTRK1</w:t>
                  </w:r>
                </w:p>
              </w:tc>
              <w:tc>
                <w:tcPr>
                  <w:tcW w:type="dxa" w:w="2142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NTRK2</w:t>
                  </w:r>
                </w:p>
              </w:tc>
              <w:tc>
                <w:tcPr>
                  <w:tcW w:type="dxa" w:w="212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0" w:after="0"/>
                    <w:ind w:left="98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NTRK3</w:t>
                  </w:r>
                </w:p>
              </w:tc>
            </w:tr>
            <w:tr>
              <w:trPr>
                <w:trHeight w:hRule="exact" w:val="244"/>
              </w:trPr>
              <w:tc>
                <w:tcPr>
                  <w:tcW w:type="dxa" w:w="2130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6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42"/>
                  <w:tcBorders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2124"/>
                  <w:tcBorders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autoSpaceDE w:val="0"/>
              <w:widowControl/>
              <w:spacing w:line="240" w:lineRule="auto" w:before="0" w:after="204"/>
              <w:ind w:left="43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ROS1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32.0" w:type="dxa"/>
            </w:tblPr>
            <w:tblGrid>
              <w:gridCol w:w="5660"/>
              <w:gridCol w:w="5660"/>
            </w:tblGrid>
            <w:tr>
              <w:trPr>
                <w:trHeight w:hRule="exact" w:val="232"/>
              </w:trPr>
              <w:tc>
                <w:tcPr>
                  <w:tcW w:type="dxa" w:w="4704"/>
                  <w:tcBorders>
                    <w:start w:sz="12.0" w:val="single" w:color="#1F497D"/>
                    <w:top w:sz="12.0" w:val="single" w:color="#1F497D"/>
                    <w:end w:sz="12.0" w:val="single" w:color="#1F497D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MSI</w:t>
                  </w:r>
                </w:p>
              </w:tc>
              <w:tc>
                <w:tcPr>
                  <w:tcW w:type="dxa" w:w="5998"/>
                  <w:tcBorders>
                    <w:start w:sz="12.0" w:val="single" w:color="#1F497D"/>
                    <w:top w:sz="12.0" w:val="single" w:color="#1F497D"/>
                    <w:end w:sz="12.0" w:val="single" w:color="#1F497D"/>
                  </w:tcBorders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0" w:after="0"/>
                    <w:ind w:left="0" w:right="0" w:firstLine="0"/>
                    <w:jc w:val="center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% of Unstable Loci</w:t>
                  </w:r>
                </w:p>
              </w:tc>
            </w:tr>
            <w:tr>
              <w:trPr>
                <w:trHeight w:hRule="exact" w:val="248"/>
              </w:trPr>
              <w:tc>
                <w:tcPr>
                  <w:tcW w:type="dxa" w:w="4704"/>
                  <w:tcBorders/>
                  <w:shd w:fill="ececec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998"/>
                  <w:tcBorders/>
                  <w:shd w:fill="ececec"/>
                  <w:tcMar>
                    <w:start w:w="0" w:type="dxa"/>
                    <w:end w:w="0" w:type="dxa"/>
                  </w:tcMar>
                </w:tcPr>
                <w:p/>
              </w:tc>
            </w:tr>
            <w:tr>
              <w:trPr>
                <w:trHeight w:hRule="exact" w:val="248"/>
              </w:trPr>
              <w:tc>
                <w:tcPr>
                  <w:tcW w:type="dxa" w:w="470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" w:after="0"/>
                    <w:ind w:left="104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MSI - Low / Intermediate</w:t>
                  </w:r>
                </w:p>
              </w:tc>
              <w:tc>
                <w:tcPr>
                  <w:tcW w:type="dxa" w:w="5998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14" w:after="0"/>
                    <w:ind w:left="106" w:right="0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20-30%</w:t>
                  </w:r>
                </w:p>
              </w:tc>
            </w:tr>
            <w:tr>
              <w:trPr>
                <w:trHeight w:hRule="exact" w:val="235"/>
              </w:trPr>
              <w:tc>
                <w:tcPr>
                  <w:tcW w:type="dxa" w:w="4704"/>
                  <w:tcBorders/>
                  <w:shd w:fill="ececec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5998"/>
                  <w:tcBorders/>
                  <w:shd w:fill="ececec"/>
                  <w:tcMar>
                    <w:start w:w="0" w:type="dxa"/>
                    <w:end w:w="0" w:type="dxa"/>
                  </w:tcMar>
                </w:tcPr>
                <w:p/>
              </w:tc>
            </w:tr>
          </w:tbl>
          <w:p>
            <w:pPr>
              <w:autoSpaceDN w:val="0"/>
              <w:tabs>
                <w:tab w:pos="5142" w:val="left"/>
              </w:tabs>
              <w:autoSpaceDE w:val="0"/>
              <w:widowControl/>
              <w:spacing w:line="240" w:lineRule="auto" w:before="0" w:after="0"/>
              <w:ind w:left="436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 xml:space="preserve">MSI - High </w:t>
            </w:r>
            <w:r>
              <w:tab/>
            </w: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&gt;30%</w:t>
            </w:r>
          </w:p>
          <w:p>
            <w:pPr>
              <w:autoSpaceDN w:val="0"/>
              <w:tabs>
                <w:tab w:pos="5948" w:val="left"/>
              </w:tabs>
              <w:autoSpaceDE w:val="0"/>
              <w:widowControl/>
              <w:spacing w:line="242" w:lineRule="auto" w:before="344" w:after="0"/>
              <w:ind w:left="1066" w:right="0" w:firstLine="0"/>
              <w:jc w:val="left"/>
            </w:pP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 xml:space="preserve">Tier </w:t>
            </w:r>
            <w:r>
              <w:rPr>
                <w:rFonts w:ascii="Cambria" w:hAnsi="Cambria" w:eastAsia="Cambria"/>
                <w:b/>
                <w:i w:val="0"/>
                <w:color w:val="FFFFFF"/>
                <w:sz w:val="19"/>
              </w:rPr>
              <w:t>Interpretation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336.0" w:type="dxa"/>
            </w:tblPr>
            <w:tblGrid>
              <w:gridCol w:w="5660"/>
              <w:gridCol w:w="5660"/>
            </w:tblGrid>
            <w:tr>
              <w:trPr>
                <w:trHeight w:hRule="exact" w:val="948"/>
              </w:trPr>
              <w:tc>
                <w:tcPr>
                  <w:tcW w:type="dxa" w:w="1848"/>
                  <w:tcBorders>
                    <w:start w:sz="6.400000000000006" w:val="single" w:color="#008080"/>
                    <w:end w:sz="6.399999999999977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846"/>
                  <w:tcBorders>
                    <w:start w:sz="6.399999999999977" w:val="single" w:color="#008080"/>
                    <w:end w:sz="5.600000000000364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302" w:after="0"/>
                    <w:ind w:left="94" w:right="576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approved therapies for a specific type of tumor or have been included in professional guidelines as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therapeutic, diagnostic, and/or prognostic biomarkers for specific types of tumors.</w:t>
                  </w:r>
                </w:p>
              </w:tc>
            </w:tr>
            <w:tr>
              <w:trPr>
                <w:trHeight w:hRule="exact" w:val="460"/>
              </w:trPr>
              <w:tc>
                <w:tcPr>
                  <w:tcW w:type="dxa" w:w="1848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74" w:after="0"/>
                    <w:ind w:left="100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IB</w:t>
                  </w:r>
                </w:p>
              </w:tc>
              <w:tc>
                <w:tcPr>
                  <w:tcW w:type="dxa" w:w="8846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20" w:after="0"/>
                    <w:ind w:left="102" w:right="576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Variants of Strong Clinical Significance: Biomarkers that predict response or resistance to a therapy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based on well-powered studies with consensus from experts in the field, or have diagnostic and/or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796"/>
        </w:trPr>
        <w:tc>
          <w:tcPr>
            <w:tcW w:type="dxa" w:w="50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33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61389" cy="410209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1389" cy="4102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4" w:after="0"/>
              <w:ind w:left="34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6"/>
              </w:rPr>
              <w:t>Page 7 of 10</w:t>
            </w:r>
          </w:p>
        </w:tc>
        <w:tc>
          <w:tcPr>
            <w:tcW w:type="dxa" w:w="48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26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43610" cy="41020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3610" cy="4102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40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08.0" w:type="dxa"/>
      </w:tblPr>
      <w:tblGrid>
        <w:gridCol w:w="9038"/>
      </w:tblGrid>
      <w:tr>
        <w:trPr>
          <w:trHeight w:hRule="exact" w:val="526"/>
        </w:trPr>
        <w:tc>
          <w:tcPr>
            <w:tcW w:type="dxa" w:w="1071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0.0" w:type="dxa"/>
            </w:tblPr>
            <w:tblGrid>
              <w:gridCol w:w="10710"/>
            </w:tblGrid>
            <w:tr>
              <w:trPr>
                <w:trHeight w:hRule="exact" w:val="506"/>
              </w:trPr>
              <w:tc>
                <w:tcPr>
                  <w:tcW w:type="dxa" w:w="10710"/>
                  <w:tcBorders/>
                  <w:shd w:fill="1f497d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2" w:lineRule="auto" w:before="142" w:after="0"/>
                    <w:ind w:left="1928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FFFFFF"/>
                      <w:sz w:val="19"/>
                    </w:rPr>
                    <w:t>prognostic significance of certain diseases based on well-powered studies with expert consensus.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946"/>
        </w:trPr>
        <w:tc>
          <w:tcPr>
            <w:tcW w:type="dxa" w:w="10710"/>
            <w:tcBorders/>
            <w:shd w:fill="ffffff"/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.0" w:type="dxa"/>
            </w:tblPr>
            <w:tblGrid>
              <w:gridCol w:w="5355"/>
              <w:gridCol w:w="5355"/>
            </w:tblGrid>
            <w:tr>
              <w:trPr>
                <w:trHeight w:hRule="exact" w:val="1184"/>
              </w:trPr>
              <w:tc>
                <w:tcPr>
                  <w:tcW w:type="dxa" w:w="1842"/>
                  <w:tcBorders>
                    <w:start w:sz="6.400000000000006" w:val="single" w:color="#008080"/>
                    <w:top w:sz="6.400000000000091" w:val="single" w:color="#008080"/>
                    <w:end w:sz="6.399999999999977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/>
              </w:tc>
              <w:tc>
                <w:tcPr>
                  <w:tcW w:type="dxa" w:w="8848"/>
                  <w:tcBorders>
                    <w:start w:sz="6.399999999999977" w:val="single" w:color="#008080"/>
                    <w:top w:sz="6.400000000000091" w:val="single" w:color="#008080"/>
                    <w:end w:sz="5.600000000000364" w:val="single" w:color="#008080"/>
                  </w:tcBorders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290" w:after="0"/>
                    <w:ind w:left="98" w:right="432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therapies approved by FDA or professional societies for a different tumor type (i.e., off-label use of a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drug), serve as inclusion criteria for clinical trials, or have diagnostic and/or prognostic significance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based on the results of multiple small studies.</w:t>
                  </w:r>
                </w:p>
              </w:tc>
            </w:tr>
            <w:tr>
              <w:trPr>
                <w:trHeight w:hRule="exact" w:val="941"/>
              </w:trPr>
              <w:tc>
                <w:tcPr>
                  <w:tcW w:type="dxa" w:w="1842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58" w:after="0"/>
                    <w:ind w:left="98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IID</w:t>
                  </w:r>
                </w:p>
              </w:tc>
              <w:tc>
                <w:tcPr>
                  <w:tcW w:type="dxa" w:w="8848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58" w:after="0"/>
                    <w:ind w:left="106" w:right="576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Variants of Potential Clinical Significance: Biomarkers that show plausible therapeutic significance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based on preclinical studies or may assist disease diagnosis and/or prognosis themselves or along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with other biomarkers based on small studies or multiple case reports with no consensus.</w:t>
                  </w:r>
                </w:p>
              </w:tc>
            </w:tr>
            <w:tr>
              <w:trPr>
                <w:trHeight w:hRule="exact" w:val="698"/>
              </w:trPr>
              <w:tc>
                <w:tcPr>
                  <w:tcW w:type="dxa" w:w="1842"/>
                  <w:tcBorders/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0" w:lineRule="auto" w:before="64" w:after="0"/>
                    <w:ind w:left="98" w:right="0" w:firstLine="0"/>
                    <w:jc w:val="left"/>
                  </w:pPr>
                  <w:r>
                    <w:rPr>
                      <w:rFonts w:ascii="Cambria" w:hAnsi="Cambria" w:eastAsia="Cambria"/>
                      <w:b/>
                      <w:i w:val="0"/>
                      <w:color w:val="000000"/>
                      <w:sz w:val="20"/>
                    </w:rPr>
                    <w:t>Tier III</w:t>
                  </w:r>
                </w:p>
              </w:tc>
              <w:tc>
                <w:tcPr>
                  <w:tcW w:type="dxa" w:w="8848"/>
                  <w:tcBorders/>
                  <w:shd w:fill="ecece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5" w:lineRule="auto" w:before="64" w:after="0"/>
                    <w:ind w:left="106" w:right="432" w:firstLine="0"/>
                    <w:jc w:val="left"/>
                  </w:pP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 xml:space="preserve">Variants of Unknown clinical significance (VUS): Not observed at a significant allele frequency in the </w:t>
                  </w:r>
                  <w:r>
                    <w:rPr>
                      <w:rFonts w:ascii="Cambria" w:hAnsi="Cambria" w:eastAsia="Cambria"/>
                      <w:b w:val="0"/>
                      <w:i w:val="0"/>
                      <w:color w:val="000000"/>
                      <w:sz w:val="20"/>
                    </w:rPr>
                    <w:t>general or specific subpopulation or pancancer or tumor specific variant databases. No convincing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40" w:lineRule="auto" w:before="0" w:after="0"/>
              <w:ind w:left="195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20"/>
              </w:rPr>
              <w:t>published evidence of cancer Association</w:t>
            </w:r>
          </w:p>
        </w:tc>
      </w:tr>
    </w:tbl>
    <w:p>
      <w:pPr>
        <w:autoSpaceDN w:val="0"/>
        <w:autoSpaceDE w:val="0"/>
        <w:widowControl/>
        <w:spacing w:line="240" w:lineRule="auto" w:before="186" w:after="0"/>
        <w:ind w:left="716" w:right="0" w:firstLine="0"/>
        <w:jc w:val="left"/>
      </w:pPr>
      <w:r>
        <w:rPr>
          <w:rFonts w:ascii="Cambria" w:hAnsi="Cambria" w:eastAsia="Cambria"/>
          <w:b/>
          <w:i w:val="0"/>
          <w:color w:val="008080"/>
          <w:sz w:val="20"/>
        </w:rPr>
        <w:t>References: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26" w:after="0"/>
        <w:ind w:left="716" w:right="864" w:firstLine="0"/>
        <w:jc w:val="left"/>
      </w:pPr>
      <w:r>
        <w:rPr>
          <w:rFonts w:ascii="Cambria" w:hAnsi="Cambria" w:eastAsia="Cambria"/>
          <w:b w:val="0"/>
          <w:i w:val="0"/>
          <w:color w:val="000000"/>
          <w:sz w:val="20"/>
        </w:rPr>
        <w:t xml:space="preserve">1.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 xml:space="preserve">O&amp;#x27;Leary et al. Reference sequence (RefSeq) database at NCBI: current status, taxonomic expansion, and functional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annotation. Nucleic Acids Res. 2016 Jan 4;44(D1):D733-45. PMID: 26553804</w:t>
      </w:r>
    </w:p>
    <w:p>
      <w:pPr>
        <w:autoSpaceDN w:val="0"/>
        <w:autoSpaceDE w:val="0"/>
        <w:widowControl/>
        <w:spacing w:line="240" w:lineRule="auto" w:before="112" w:after="0"/>
        <w:ind w:left="716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Nag et al. The MDM2-p53 pathway revisited. J Biomed Res. 2013 Jul;27(4):254-71. PMID: 23885265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26" w:after="0"/>
        <w:ind w:left="716" w:right="1152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Muller et al. Mutant p53 in cancer: new functions and therapeutic opportunities. Cancer Cell. 2014 Mar 17;25(3):304-17.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PMID: 24651012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0" w:after="0"/>
        <w:ind w:left="716" w:right="864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Olivier et al. TP53 mutations in human cancers: origins, consequences, and clinical use. Cold Spring Harb Perspect Biol. 2010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Jan;2(1):a001008. PMID: 20182602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2" w:after="0"/>
        <w:ind w:left="716" w:right="72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Guha et al. Inherited TP53 Mutations and the Li-Fraumeni Syndrome. Cold Spring Harb Perspect Med. 2017 Apr 3;7(4). PMID: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28270529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0" w:after="0"/>
        <w:ind w:left="716" w:right="72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Cerami et al. The cBio cancer genomics portal: an open platform for exploring multidimensional cancer genomics data. Cancer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Discov. 2012 May;2(5):401-4. PMID: 22588877</w:t>
      </w:r>
    </w:p>
    <w:p>
      <w:pPr>
        <w:autoSpaceDN w:val="0"/>
        <w:autoSpaceDE w:val="0"/>
        <w:widowControl/>
        <w:spacing w:line="240" w:lineRule="auto" w:before="126" w:after="0"/>
        <w:ind w:left="0" w:right="0" w:firstLine="0"/>
        <w:jc w:val="center"/>
      </w:pPr>
      <w:r>
        <w:rPr>
          <w:rFonts w:ascii="Cambria" w:hAnsi="Cambria" w:eastAsia="Cambria"/>
          <w:b w:val="0"/>
          <w:i/>
          <w:color w:val="000000"/>
          <w:sz w:val="20"/>
        </w:rPr>
        <w:t>Weinstein et al. The Cancer Genome Atlas Pan-Cancer analysis project. Nat. Genet. 2013 Oct;45(10):1113-20. PMID: 24071849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2" w:after="0"/>
        <w:ind w:left="716" w:right="864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Peter et al. Comprehensive genomic characterization of squamous cell lung cancers. Nature. 2012 Sep 27;489(7417):519-25.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PMID: 22960745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10" w:after="0"/>
        <w:ind w:left="716" w:right="72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Cancer Genome Atlas Network. Comprehensive genomic characterization of head and neck squamous cell carcinomas. Nature.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2015 Jan 29;517(7536):576-82. PMID: 25631445</w:t>
      </w:r>
    </w:p>
    <w:p>
      <w:pPr>
        <w:autoSpaceDN w:val="0"/>
        <w:tabs>
          <w:tab w:pos="1076" w:val="left"/>
        </w:tabs>
        <w:autoSpaceDE w:val="0"/>
        <w:widowControl/>
        <w:spacing w:line="259" w:lineRule="auto" w:before="126" w:after="210"/>
        <w:ind w:left="716" w:right="72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Campbell et al. Distinct patterns of somatic genome alterations in lung adenocarcinomas and squamous cell carcinomas. Nat.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Genet. 2016 Jun;48(6):607-16. PMID: 27158780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40.0" w:type="dxa"/>
      </w:tblPr>
      <w:tblGrid>
        <w:gridCol w:w="3013"/>
        <w:gridCol w:w="3013"/>
        <w:gridCol w:w="3013"/>
      </w:tblGrid>
      <w:tr>
        <w:trPr>
          <w:trHeight w:hRule="exact" w:val="822"/>
        </w:trPr>
        <w:tc>
          <w:tcPr>
            <w:tcW w:type="dxa" w:w="36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6" w:after="0"/>
              <w:ind w:left="0" w:right="33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61389" cy="410209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1389" cy="4102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0" w:after="0"/>
              <w:ind w:left="34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6"/>
              </w:rPr>
              <w:t>Page 8 of 10</w:t>
            </w:r>
          </w:p>
        </w:tc>
        <w:tc>
          <w:tcPr>
            <w:tcW w:type="dxa" w:w="34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6" w:after="0"/>
              <w:ind w:left="26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43610" cy="410209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3610" cy="4102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tabs>
          <w:tab w:pos="1074" w:val="left"/>
        </w:tabs>
        <w:autoSpaceDE w:val="0"/>
        <w:widowControl/>
        <w:spacing w:line="259" w:lineRule="auto" w:before="4146" w:after="0"/>
        <w:ind w:left="716" w:right="1008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Cancer Genome Atlas Research Network. Integrated genomic characterization of oesophageal carcinoma. Nature. 2017 Jan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12;541(7636):169-175. doi: 10.1038/nature20805. Epub 2017 Jan 4. PMID: 28052061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0" w:after="0"/>
        <w:ind w:left="714" w:right="1296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Olivier et al. The IARC TP53 database: new online mutation analysis and recommendations to users. Hum. Mutat. 2002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Jun;19(6):607-14. PMID: 12007217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2" w:after="0"/>
        <w:ind w:left="714" w:right="864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Rivlin et al. Mutations in the p53 Tumor Suppressor Gene: Important Milestones at the Various Steps of Tumorigenesis. Genes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Cancer. 2011 Apr;2(4):466-74. PMID: 21779514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0" w:after="0"/>
        <w:ind w:left="716" w:right="144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Petitjean et al. TP53 mutations in human cancers: functional selection and impact on cancer prognosis and outcomes.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Oncogene. 2007 Apr 2;26(15):2157-65. PMID: 17401424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26" w:after="0"/>
        <w:ind w:left="714" w:right="864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Soussi et al. Recommendations for analyzing and reporting TP53 gene variants in the high-throughput sequencing era. Hum.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Mutat. 2014 Jun;35(6):766-78. PMID: 24729566</w:t>
      </w:r>
    </w:p>
    <w:p>
      <w:pPr>
        <w:autoSpaceDN w:val="0"/>
        <w:autoSpaceDE w:val="0"/>
        <w:widowControl/>
        <w:spacing w:line="264" w:lineRule="auto" w:before="112" w:after="0"/>
        <w:ind w:left="1074" w:right="1440" w:hanging="36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https://www.globenewswire.com/news-release/2020/10/13/2107498/0/en/PMV-Pharma-Granted-FDA-Fast-Track-</w:t>
      </w:r>
      <w:r>
        <w:rPr>
          <w:rFonts w:ascii="Cambria" w:hAnsi="Cambria" w:eastAsia="Cambria"/>
          <w:b w:val="0"/>
          <w:i/>
          <w:color w:val="000000"/>
          <w:sz w:val="20"/>
        </w:rPr>
        <w:t>Designation-of-PC14586-for-the-Treatment-of-Advanced-Cancer-Patients-that-have-Tumors-with-a-p53-Y220C-</w:t>
      </w:r>
      <w:r>
        <w:rPr>
          <w:rFonts w:ascii="Cambria" w:hAnsi="Cambria" w:eastAsia="Cambria"/>
          <w:b w:val="0"/>
          <w:i/>
          <w:color w:val="000000"/>
          <w:sz w:val="20"/>
        </w:rPr>
        <w:t>Mutation.html</w:t>
      </w:r>
    </w:p>
    <w:p>
      <w:pPr>
        <w:autoSpaceDN w:val="0"/>
        <w:autoSpaceDE w:val="0"/>
        <w:widowControl/>
        <w:spacing w:line="240" w:lineRule="auto" w:before="110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https://ir.aprea.com//news-releases/news-release-details/aprea-therapeutics-receives-fda-fast-track-designation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26" w:after="56"/>
        <w:ind w:left="714" w:right="1008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http://vp280.alertir.com/en/pressreleases/karolinska-development%27s-portfolio-company-aprea-therapeutics-receives-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fda-breakthrough-therapy-designation-1769167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40.0" w:type="dxa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rHeight w:hRule="exact" w:val="308"/>
        </w:trPr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66" w:firstLine="0"/>
              <w:jc w:val="right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Parrales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et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al.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Targeting</w:t>
            </w:r>
          </w:p>
        </w:tc>
        <w:tc>
          <w:tcPr>
            <w:tcW w:type="dxa" w:w="1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Oncogenic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Mutant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p53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for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Cancer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Therapy.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Front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Oncol.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2015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Dec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0" w:right="0" w:firstLine="0"/>
              <w:jc w:val="center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21;5:288.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6" w:after="0"/>
              <w:ind w:left="92" w:right="0" w:firstLine="0"/>
              <w:jc w:val="left"/>
            </w:pPr>
            <w:r>
              <w:rPr>
                <w:rFonts w:ascii="Cambria" w:hAnsi="Cambria" w:eastAsia="Cambria"/>
                <w:b w:val="0"/>
                <w:i/>
                <w:color w:val="000000"/>
                <w:sz w:val="20"/>
              </w:rPr>
              <w:t>doi:</w:t>
            </w:r>
          </w:p>
        </w:tc>
      </w:tr>
    </w:tbl>
    <w:p>
      <w:pPr>
        <w:autoSpaceDN w:val="0"/>
        <w:autoSpaceDE w:val="0"/>
        <w:widowControl/>
        <w:spacing w:line="240" w:lineRule="auto" w:before="18" w:after="0"/>
        <w:ind w:left="107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10.3389/fonc.2015.00288. eCollection 2015. PMID: 26732534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0" w:after="0"/>
        <w:ind w:left="714" w:right="1152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Zhao et al. Molecularly targeted therapies for p53-mutant cancers. Cell. Mol. Life Sci. 2017 Nov;74(22):4171-4187. PMID: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28643165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2" w:after="0"/>
        <w:ind w:left="714" w:right="144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Louis et al. The 2021 WHO Classification of Tumors of the Central Nervous System: a summary. Neuro Oncol. 2021 Aug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2;23(8):1231-1251. PMID: 34185076</w:t>
      </w:r>
    </w:p>
    <w:p>
      <w:pPr>
        <w:autoSpaceDN w:val="0"/>
        <w:autoSpaceDE w:val="0"/>
        <w:widowControl/>
        <w:spacing w:line="240" w:lineRule="auto" w:before="126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NCCN-Acute Myeloid Leukemia [Version 2.2025]</w:t>
      </w:r>
    </w:p>
    <w:p>
      <w:pPr>
        <w:autoSpaceDN w:val="0"/>
        <w:tabs>
          <w:tab w:pos="1074" w:val="left"/>
        </w:tabs>
        <w:autoSpaceDE w:val="0"/>
        <w:widowControl/>
        <w:spacing w:line="259" w:lineRule="auto" w:before="110" w:after="0"/>
        <w:ind w:left="714" w:right="1152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Döhner et al. Diagnosis and management of AML in adults: 2022 recommendations from an international expert panel on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behalf of the ELN. Blood. 2022 Sep 22;140(12):1345-1377. PMID: 35797463</w:t>
      </w:r>
    </w:p>
    <w:p>
      <w:pPr>
        <w:autoSpaceDN w:val="0"/>
        <w:autoSpaceDE w:val="0"/>
        <w:widowControl/>
        <w:spacing w:line="240" w:lineRule="auto" w:before="112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NCCN-Myelodysplastic Syndromes [Version 2.2025]</w:t>
      </w:r>
    </w:p>
    <w:p>
      <w:pPr>
        <w:autoSpaceDN w:val="0"/>
        <w:autoSpaceDE w:val="0"/>
        <w:widowControl/>
        <w:spacing w:line="240" w:lineRule="auto" w:before="126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NCCN-Myeloproliferative Neoplasms [Version 1.2025]</w:t>
      </w:r>
    </w:p>
    <w:p>
      <w:pPr>
        <w:autoSpaceDN w:val="0"/>
        <w:autoSpaceDE w:val="0"/>
        <w:widowControl/>
        <w:spacing w:line="240" w:lineRule="auto" w:before="110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NCCN-Chronic Lymphocytic Leukemia/Small Lymphocytic Lymphoma [Version 3.2025]</w:t>
      </w:r>
    </w:p>
    <w:p>
      <w:pPr>
        <w:autoSpaceDN w:val="0"/>
        <w:autoSpaceDE w:val="0"/>
        <w:widowControl/>
        <w:spacing w:line="240" w:lineRule="auto" w:before="112" w:after="0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NCCN-Acute Lymphoblastic Leukemia [Version 3.2024]</w:t>
      </w:r>
    </w:p>
    <w:p>
      <w:pPr>
        <w:autoSpaceDN w:val="0"/>
        <w:autoSpaceDE w:val="0"/>
        <w:widowControl/>
        <w:spacing w:line="240" w:lineRule="auto" w:before="126" w:after="254"/>
        <w:ind w:left="714" w:right="0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>NCCN Guidelines&amp;amp;reg; - NCCN-B-Cell Lymphomas [Version 2.2025]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40.0" w:type="dxa"/>
      </w:tblPr>
      <w:tblGrid>
        <w:gridCol w:w="3013"/>
        <w:gridCol w:w="3013"/>
        <w:gridCol w:w="3013"/>
      </w:tblGrid>
      <w:tr>
        <w:trPr>
          <w:trHeight w:hRule="exact" w:val="822"/>
        </w:trPr>
        <w:tc>
          <w:tcPr>
            <w:tcW w:type="dxa" w:w="36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6" w:after="0"/>
              <w:ind w:left="0" w:right="33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61389" cy="410209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1389" cy="4102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0" w:after="0"/>
              <w:ind w:left="34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6"/>
              </w:rPr>
              <w:t>Page 9 of 10</w:t>
            </w:r>
          </w:p>
        </w:tc>
        <w:tc>
          <w:tcPr>
            <w:tcW w:type="dxa" w:w="34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6" w:after="0"/>
              <w:ind w:left="26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43610" cy="410209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3610" cy="4102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18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tabs>
          <w:tab w:pos="1076" w:val="left"/>
        </w:tabs>
        <w:autoSpaceDE w:val="0"/>
        <w:widowControl/>
        <w:spacing w:line="259" w:lineRule="auto" w:before="4146" w:after="0"/>
        <w:ind w:left="716" w:right="1008" w:firstLine="0"/>
        <w:jc w:val="left"/>
      </w:pPr>
      <w:r>
        <w:rPr>
          <w:rFonts w:ascii="Cambria" w:hAnsi="Cambria" w:eastAsia="Cambria"/>
          <w:b w:val="0"/>
          <w:i/>
          <w:color w:val="000000"/>
          <w:sz w:val="20"/>
        </w:rPr>
        <w:t xml:space="preserve">Bernard et al. Implications of TP53 allelic state for genome stability, clinical presentation and outcomes in myelodysplastic </w:t>
      </w:r>
      <w:r>
        <w:tab/>
      </w:r>
      <w:r>
        <w:rPr>
          <w:rFonts w:ascii="Cambria" w:hAnsi="Cambria" w:eastAsia="Cambria"/>
          <w:b w:val="0"/>
          <w:i/>
          <w:color w:val="000000"/>
          <w:sz w:val="20"/>
        </w:rPr>
        <w:t>syndromes. Nat. Med. 2020 Aug 3. PMID: 32747829</w:t>
      </w:r>
    </w:p>
    <w:p>
      <w:pPr>
        <w:autoSpaceDN w:val="0"/>
        <w:autoSpaceDE w:val="0"/>
        <w:widowControl/>
        <w:spacing w:line="240" w:lineRule="auto" w:before="576" w:after="8354"/>
        <w:ind w:left="0" w:right="0" w:firstLine="0"/>
        <w:jc w:val="center"/>
      </w:pPr>
      <w:r>
        <w:rPr>
          <w:rFonts w:ascii="Cambria" w:hAnsi="Cambria" w:eastAsia="Cambria"/>
          <w:b w:val="0"/>
          <w:i w:val="0"/>
          <w:color w:val="000000"/>
          <w:sz w:val="20"/>
        </w:rPr>
        <w:t>------------------ End Of Report ------------------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40.0" w:type="dxa"/>
      </w:tblPr>
      <w:tblGrid>
        <w:gridCol w:w="3013"/>
        <w:gridCol w:w="3013"/>
        <w:gridCol w:w="3013"/>
      </w:tblGrid>
      <w:tr>
        <w:trPr>
          <w:trHeight w:hRule="exact" w:val="822"/>
        </w:trPr>
        <w:tc>
          <w:tcPr>
            <w:tcW w:type="dxa" w:w="36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6" w:after="0"/>
              <w:ind w:left="0" w:right="33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61389" cy="410209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1389" cy="4102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60" w:after="0"/>
              <w:ind w:left="348" w:right="0" w:firstLine="0"/>
              <w:jc w:val="left"/>
            </w:pPr>
            <w:r>
              <w:rPr>
                <w:rFonts w:ascii="Cambria" w:hAnsi="Cambria" w:eastAsia="Cambria"/>
                <w:b w:val="0"/>
                <w:i w:val="0"/>
                <w:color w:val="000000"/>
                <w:sz w:val="16"/>
              </w:rPr>
              <w:t>Page 10 of 10</w:t>
            </w:r>
          </w:p>
        </w:tc>
        <w:tc>
          <w:tcPr>
            <w:tcW w:type="dxa" w:w="33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36" w:after="0"/>
              <w:ind w:left="224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943610" cy="410209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3610" cy="4102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18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