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rPr/>
        <w:drawing>
          <wp:inline xmlns:a="http://schemas.openxmlformats.org/drawingml/2006/main" xmlns:pic="http://schemas.openxmlformats.org/drawingml/2006/picture">
            <wp:extent cx="647700" cy="64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rPr/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atLeast" w:val="264"/>
          <w:cantSplit w:val="true"/>
          <w:tblHeader w:val="true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atLeast" w:val="290"/>
          <w:cantSplit w:val="true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4644" w:val="left"/>
        </w:tabs>
        <w:autoSpaceDE w:val="0"/>
        <w:widowControl/>
        <w:spacing w:line="304" w:lineRule="exact" w:before="0" w:after="696"/>
        <w:ind w:left="120" w:right="4752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rPr/>
        <w:br/>
      </w:r>
      <w:r>
        <w:rPr/>
        <w:tab/>
      </w:r>
      <w:r>
        <w:rPr>
          <w:rFonts w:ascii="Cambria" w:hAnsi="Cambria" w:eastAsia="Cambria"/>
          <w:b/>
          <w:i/>
          <w:color w:val="008080"/>
          <w:sz w:val="28"/>
        </w:rPr>
        <w:t>TEST NAME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atLeast" w:val="478"/>
          <w:cantSplit w:val="true"/>
        </w:trPr>
        <w:tc>
          <w:tcPr>
            <w:tcW w:type="dxa" w:w="10706"/>
            <w:tcBorders>
              <w:start w:sz="4.0" w:val="single" w:color="#4AACC5"/>
              <w:top w:sz="4.0" w:val="single" w:color="#4AACC5"/>
              <w:end w:sz="4.0" w:val="single" w:color="#4AACC5"/>
              <w:bottom w:sz="4.0" w:val="single" w:color="#4AACC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0284" w:type="dxa"/>
            </w:tblPr>
            <w:tblGrid>
              <w:gridCol w:w="10706"/>
            </w:tblGrid>
            <w:tr>
              <w:trPr>
                <w:trHeight w:hRule="exact" w:val="234"/>
              </w:trPr>
              <w:tc>
                <w:tcPr>
                  <w:tcW w:type="dxa" w:w="10696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Clinical Indication: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Metastatic Adenocarcinoma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2498.0" w:type="dxa"/>
      </w:tblPr>
      <w:tblGrid>
        <w:gridCol w:w="10850"/>
      </w:tblGrid>
      <w:tr>
        <w:trPr>
          <w:trHeight w:hRule="atLeast" w:val="2048"/>
          <w:cantSplit w:val="true"/>
        </w:trPr>
        <w:tc>
          <w:tcPr>
            <w:tcW w:type="dxa" w:w="5732"/>
            <w:tcBorders>
              <w:top w:sz="7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584" w:after="0"/>
              <w:ind w:left="1152" w:right="1152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8"/>
              </w:rPr>
              <w:t xml:space="preserve">Positive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(Clinically significant Variant detected)</w:t>
            </w:r>
          </w:p>
        </w:tc>
      </w:tr>
    </w:tbl>
    <w:p>
      <w:pPr>
        <w:autoSpaceDN w:val="0"/>
        <w:autoSpaceDE w:val="0"/>
        <w:widowControl/>
        <w:spacing w:line="282" w:lineRule="exact" w:before="260" w:after="20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Report Highlights: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atLeast" w:val="452"/>
          <w:cantSplit w:val="true"/>
          <w:tblHeader w:val="true"/>
        </w:trPr>
        <w:tc>
          <w:tcPr>
            <w:tcW w:type="dxa" w:w="1368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</w:t>
            </w:r>
          </w:p>
        </w:tc>
        <w:tc>
          <w:tcPr>
            <w:tcW w:type="dxa" w:w="1370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II</w:t>
            </w:r>
          </w:p>
        </w:tc>
        <w:tc>
          <w:tcPr>
            <w:tcW w:type="dxa" w:w="140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III</w:t>
            </w:r>
          </w:p>
        </w:tc>
        <w:tc>
          <w:tcPr>
            <w:tcW w:type="dxa" w:w="1438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2018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Therapies</w:t>
            </w:r>
          </w:p>
        </w:tc>
        <w:tc>
          <w:tcPr>
            <w:tcW w:type="dxa" w:w="3106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Clinical Trials</w:t>
            </w:r>
          </w:p>
        </w:tc>
      </w:tr>
      <w:tr>
        <w:trPr>
          <w:trHeight w:hRule="atLeast" w:val="406"/>
          <w:cantSplit w:val="true"/>
        </w:trPr>
        <w:tc>
          <w:tcPr>
            <w:tcW w:type="dxa" w:w="13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37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3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201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31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280" w:lineRule="exact" w:before="260" w:after="202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Key Findings: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2170"/>
        <w:gridCol w:w="2170"/>
        <w:gridCol w:w="2170"/>
        <w:gridCol w:w="2170"/>
        <w:gridCol w:w="2170"/>
      </w:tblGrid>
      <w:tr>
        <w:trPr>
          <w:trHeight w:hRule="atLeast" w:val="450"/>
          <w:cantSplit w:val="true"/>
          <w:tblHeader w:val="true"/>
        </w:trPr>
        <w:tc>
          <w:tcPr>
            <w:tcW w:type="dxa" w:w="1526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</w:t>
            </w:r>
          </w:p>
        </w:tc>
        <w:tc>
          <w:tcPr>
            <w:tcW w:type="dxa" w:w="281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Gene &amp; Transcript</w:t>
            </w:r>
          </w:p>
        </w:tc>
        <w:tc>
          <w:tcPr>
            <w:tcW w:type="dxa" w:w="264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1570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Exon</w:t>
            </w:r>
          </w:p>
        </w:tc>
        <w:tc>
          <w:tcPr>
            <w:tcW w:type="dxa" w:w="2148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Coverage/VAF</w:t>
            </w:r>
          </w:p>
        </w:tc>
      </w:tr>
      <w:tr>
        <w:trPr>
          <w:trHeight w:hRule="atLeast" w:val="640"/>
          <w:cantSplit w:val="true"/>
        </w:trPr>
        <w:tc>
          <w:tcPr>
            <w:tcW w:type="dxa" w:w="152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IIC</w:t>
            </w:r>
          </w:p>
        </w:tc>
        <w:tc>
          <w:tcPr>
            <w:tcW w:type="dxa" w:w="281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NM_000546.6</w:t>
            </w:r>
          </w:p>
        </w:tc>
        <w:tc>
          <w:tcPr>
            <w:tcW w:type="dxa" w:w="264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c.405C&gt;A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157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14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691x /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93.13%</w:t>
            </w:r>
          </w:p>
        </w:tc>
      </w:tr>
    </w:tbl>
    <w:p>
      <w:pPr>
        <w:autoSpaceDN w:val="0"/>
        <w:autoSpaceDE w:val="0"/>
        <w:widowControl/>
        <w:spacing w:line="234" w:lineRule="exact" w:before="6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*Genetic test results are reported based on the recommendations of AMP-ASCO-CAP guidelines.</w:t>
      </w:r>
    </w:p>
    <w:p>
      <w:pPr>
        <w:autoSpaceDN w:val="0"/>
        <w:autoSpaceDE w:val="0"/>
        <w:widowControl/>
        <w:spacing w:line="234" w:lineRule="exact" w:before="36" w:after="0"/>
        <w:ind w:left="11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**Public data sources included in relevant targeted therapies, guidelines: EMA, FDA, ESMO, NCCN.</w:t>
      </w:r>
    </w:p>
    <w:p>
      <w:pPr>
        <w:autoSpaceDN w:val="0"/>
        <w:autoSpaceDE w:val="0"/>
        <w:widowControl/>
        <w:spacing w:line="282" w:lineRule="exact" w:before="256" w:after="20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Multi-Gene Biomarkers Results: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3617"/>
        <w:gridCol w:w="3617"/>
        <w:gridCol w:w="3617"/>
      </w:tblGrid>
      <w:tr>
        <w:trPr>
          <w:trHeight w:hRule="atLeast" w:val="452"/>
          <w:cantSplit w:val="true"/>
          <w:tblHeader w:val="true"/>
        </w:trPr>
        <w:tc>
          <w:tcPr>
            <w:tcW w:type="dxa" w:w="4442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Assay Biomarker</w:t>
            </w:r>
          </w:p>
        </w:tc>
        <w:tc>
          <w:tcPr>
            <w:tcW w:type="dxa" w:w="3042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222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Interpretation</w:t>
            </w:r>
          </w:p>
        </w:tc>
      </w:tr>
      <w:tr>
        <w:trPr>
          <w:trHeight w:hRule="atLeast" w:val="486"/>
          <w:cantSplit w:val="true"/>
        </w:trPr>
        <w:tc>
          <w:tcPr>
            <w:tcW w:type="dxa" w:w="444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Microsatellite Instability (MSI)</w:t>
            </w:r>
          </w:p>
        </w:tc>
        <w:tc>
          <w:tcPr>
            <w:tcW w:type="dxa" w:w="3042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322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 Microsatellite detected</w:t>
            </w:r>
          </w:p>
        </w:tc>
      </w:tr>
    </w:tbl>
    <w:p>
      <w:pPr>
        <w:autoSpaceDN w:val="0"/>
        <w:autoSpaceDE w:val="0"/>
        <w:widowControl/>
        <w:spacing w:line="234" w:lineRule="exact" w:before="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# Correlation of the genetic findings with the clinical condition of the patient is required to arrive at accurate diagnosis,</w:t>
      </w:r>
    </w:p>
    <w:p>
      <w:pPr>
        <w:autoSpaceDN w:val="0"/>
        <w:autoSpaceDE w:val="0"/>
        <w:widowControl/>
        <w:spacing w:line="234" w:lineRule="exact" w:before="36" w:after="1156"/>
        <w:ind w:left="11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prognosis or therapeutic decisions.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12.00000000000003" w:type="dxa"/>
      </w:tblPr>
      <w:tblGrid>
        <w:gridCol w:w="2712"/>
        <w:gridCol w:w="2712"/>
        <w:gridCol w:w="2712"/>
        <w:gridCol w:w="2712"/>
      </w:tblGrid>
      <w:tr>
        <w:trPr>
          <w:trHeight w:hRule="atLeast" w:val="230"/>
          <w:cantSplit w:val="true"/>
          <w:tblHeader w:val="true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 w:val="790"/>
          <w:cantSplit w:val="true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1153160" cy="5003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5039" cy="412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2500" cy="40893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899159" cy="9004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240"/>
          <w:cantSplit w:val="true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20"/>
          <w:cantSplit w:val="true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76"/>
          <w:cantSplit w:val="true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15"/>
          <w:footerReference w:type="default" r:id="rId16"/>
          <w:headerReference w:type="first" r:id="rId17"/>
          <w:headerReference w:type="even" r:id="rId18"/>
          <w:footerReference w:type="first" r:id="rId19"/>
          <w:footerReference w:type="even" r:id="rId20"/>
          <w:pgSz w:w="11906" w:h="16838"/>
          <w:pgMar w:top="680" w:right="466" w:bottom="283" w:left="590" w:header="680" w:footer="283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rPr/>
        <w:drawing>
          <wp:inline xmlns:a="http://schemas.openxmlformats.org/drawingml/2006/main" xmlns:pic="http://schemas.openxmlformats.org/drawingml/2006/picture">
            <wp:extent cx="647700" cy="64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rPr/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atLeast" w:val="264"/>
          <w:cantSplit w:val="true"/>
          <w:tblHeader w:val="true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atLeast" w:val="290"/>
          <w:cantSplit w:val="true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82" w:lineRule="exact" w:before="98" w:after="206"/>
        <w:ind w:left="35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Clinical Significance: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3617"/>
        <w:gridCol w:w="3617"/>
        <w:gridCol w:w="3617"/>
      </w:tblGrid>
      <w:tr>
        <w:trPr>
          <w:trHeight w:hRule="atLeast" w:val="520"/>
          <w:cantSplit w:val="true"/>
          <w:tblHeader w:val="true"/>
        </w:trPr>
        <w:tc>
          <w:tcPr>
            <w:tcW w:type="dxa" w:w="2169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2638"/>
            <w:gridSpan w:val="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Therapy</w:t>
            </w:r>
          </w:p>
        </w:tc>
      </w:tr>
      <w:tr>
        <w:trPr>
          <w:trHeight w:hRule="atLeast" w:val="522"/>
          <w:cantSplit w:val="true"/>
        </w:trPr>
        <w:tc>
          <w:tcPr>
            <w:tcW w:type="dxa" w:w="35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357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In This Cancer</w:t>
            </w:r>
          </w:p>
        </w:tc>
        <w:tc>
          <w:tcPr>
            <w:tcW w:type="dxa" w:w="356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In Other Cancer</w:t>
            </w:r>
          </w:p>
        </w:tc>
      </w:tr>
      <w:tr>
        <w:trPr>
          <w:trHeight w:hRule="atLeast" w:val="980"/>
          <w:cantSplit w:val="true"/>
        </w:trPr>
        <w:tc>
          <w:tcPr>
            <w:tcW w:type="dxa" w:w="35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8" w:after="0"/>
              <w:ind w:left="1296" w:right="1296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IIC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57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56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3617"/>
        <w:gridCol w:w="3617"/>
        <w:gridCol w:w="3617"/>
      </w:tblGrid>
      <w:tr>
        <w:trPr>
          <w:trHeight w:hRule="atLeast" w:val="452"/>
          <w:cantSplit w:val="true"/>
          <w:tblHeader w:val="true"/>
        </w:trPr>
        <w:tc>
          <w:tcPr>
            <w:tcW w:type="dxa" w:w="2778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3964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Diagnostic Significance</w:t>
            </w:r>
          </w:p>
        </w:tc>
        <w:tc>
          <w:tcPr>
            <w:tcW w:type="dxa" w:w="3964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Prognostic Significance</w:t>
            </w:r>
          </w:p>
        </w:tc>
      </w:tr>
      <w:tr>
        <w:trPr>
          <w:trHeight w:hRule="atLeast" w:val="640"/>
          <w:cantSplit w:val="true"/>
        </w:trPr>
        <w:tc>
          <w:tcPr>
            <w:tcW w:type="dxa" w:w="277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96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96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13.999999999999986" w:type="dxa"/>
      </w:tblPr>
      <w:tblGrid>
        <w:gridCol w:w="2712"/>
        <w:gridCol w:w="2712"/>
        <w:gridCol w:w="2712"/>
        <w:gridCol w:w="2712"/>
      </w:tblGrid>
      <w:tr>
        <w:trPr>
          <w:trHeight w:hRule="atLeast" w:val="5658"/>
          <w:cantSplit w:val="true"/>
          <w:tblHeader w:val="true"/>
        </w:trPr>
        <w:tc>
          <w:tcPr>
            <w:tcW w:type="dxa" w:w="43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" w:after="202"/>
              <w:ind w:left="32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>Biomarker Description: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5364"/>
              <w:gridCol w:w="5364"/>
            </w:tblGrid>
            <w:tr>
              <w:trPr>
                <w:trHeight w:hRule="exact" w:val="450"/>
              </w:trPr>
              <w:tc>
                <w:tcPr>
                  <w:tcW w:type="dxa" w:w="2358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Variant</w:t>
                  </w:r>
                </w:p>
              </w:tc>
              <w:tc>
                <w:tcPr>
                  <w:tcW w:type="dxa" w:w="8348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Biomarker Description</w:t>
                  </w:r>
                </w:p>
              </w:tc>
            </w:tr>
            <w:tr>
              <w:trPr>
                <w:trHeight w:hRule="exact" w:val="4548"/>
              </w:trPr>
              <w:tc>
                <w:tcPr>
                  <w:tcW w:type="dxa" w:w="235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682" w:after="0"/>
                    <w:ind w:left="106" w:right="864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NM_000546.6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chr17:7578525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c.405C&gt;A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p.(C135*)</w:t>
                  </w:r>
                </w:p>
              </w:tc>
              <w:tc>
                <w:tcPr>
                  <w:tcW w:type="dxa" w:w="834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00" w:right="102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encodes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suppressor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p53,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which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binds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DNA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activates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diverse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cellular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stresses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induce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cycle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arrest,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apoptosis,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or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DNA repair[1]. In unstressed cells, TP53 is kept inactive by targeted degradation via MDM2,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substrate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recognition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factor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ubiquitin-dependent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proteolysis[2].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are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required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oncogenesis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result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loss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function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gain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transforming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potential[3]. Germline mutations in TP53 are the underlying cause of Li-Fraumeni syndrome,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complex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hereditary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predisposition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disorder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associated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early-onset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cancers[4,5].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is the most frequently mutated gene in the cancer genome with approximately half of all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cancers experiencing TP53 mutations. Ovarian, head and neck, esophageal, and lung squamous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particularly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high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rates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(60-90%)[6,7,8,9,10,11].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Approximately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two-thirds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missense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several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recurrent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missense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 common, 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substitutions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 codons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R158, R175, Y220, R248, R273, and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R282[6,7]. Invariably, recurrent missense mutations in TP53 inactivate its ability to bind DNA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activate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target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genes[12,13,14,15].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also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observed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pediatric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cancers[6,7].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Somatic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observed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53%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non-Hodgkin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lymphoma,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24%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soft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tissue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sarcoma,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19%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glioma,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bone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9%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B-lymphoblastic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leukemia/lymphoma,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4%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embryonal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Wilms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leukemia,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lymphoblastic leukemia/lymphoma, and less than 1% of peripheral nervous system cancers (5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1158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cases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)[6,7].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Biallelic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loss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observed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bone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Wilms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2 of 10</w:t>
            </w:r>
          </w:p>
        </w:tc>
      </w:tr>
      <w:tr>
        <w:trPr>
          <w:trHeight w:hRule="atLeast" w:val="790"/>
          <w:cantSplit w:val="true"/>
        </w:trPr>
        <w:tc>
          <w:tcPr>
            <w:tcW w:type="dxa" w:w="249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1153160" cy="50037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5039" cy="4127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2500" cy="40893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899159" cy="90042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240"/>
          <w:cantSplit w:val="true"/>
        </w:trPr>
        <w:tc>
          <w:tcPr>
            <w:tcW w:type="dxa" w:w="2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20"/>
          <w:cantSplit w:val="true"/>
        </w:trPr>
        <w:tc>
          <w:tcPr>
            <w:tcW w:type="dxa" w:w="24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76"/>
          <w:cantSplit w:val="true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0" w:right="466" w:bottom="283" w:left="590" w:header="680" w:footer="283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rPr/>
        <w:drawing>
          <wp:inline xmlns:a="http://schemas.openxmlformats.org/drawingml/2006/main" xmlns:pic="http://schemas.openxmlformats.org/drawingml/2006/picture">
            <wp:extent cx="647700" cy="64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rPr/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atLeast" w:val="264"/>
          <w:cantSplit w:val="true"/>
          <w:tblHeader w:val="true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atLeast" w:val="290"/>
          <w:cantSplit w:val="true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5425"/>
        <w:gridCol w:w="5425"/>
      </w:tblGrid>
      <w:tr>
        <w:trPr>
          <w:trHeight w:hRule="atLeast" w:val="4552"/>
          <w:cantSplit w:val="true"/>
        </w:trPr>
        <w:tc>
          <w:tcPr>
            <w:tcW w:type="dxa" w:w="235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834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  <w:tab w:pos="1600" w:val="left"/>
                <w:tab w:pos="2306" w:val="left"/>
                <w:tab w:pos="2784" w:val="left"/>
                <w:tab w:pos="3314" w:val="left"/>
                <w:tab w:pos="3916" w:val="left"/>
                <w:tab w:pos="4074" w:val="left"/>
                <w:tab w:pos="5044" w:val="left"/>
                <w:tab w:pos="5506" w:val="left"/>
                <w:tab w:pos="5936" w:val="left"/>
                <w:tab w:pos="6400" w:val="left"/>
                <w:tab w:pos="6930" w:val="left"/>
                <w:tab w:pos="7260" w:val="left"/>
                <w:tab w:pos="7630" w:val="left"/>
              </w:tabs>
              <w:autoSpaceDE w:val="0"/>
              <w:widowControl/>
              <w:spacing w:line="245" w:lineRule="auto" w:before="14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less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1%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B-lymphoblastic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leukemia/lymphoma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731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cases)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and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leukemia </w:t>
            </w:r>
            <w:r>
              <w:rPr/>
              <w:tab/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(1 </w:t>
            </w:r>
            <w:r>
              <w:rPr/>
              <w:tab/>
            </w:r>
            <w:r>
              <w:rPr/>
              <w:tab/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 </w:t>
            </w:r>
            <w:r>
              <w:rPr/>
              <w:tab/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250 </w:t>
            </w:r>
            <w:r>
              <w:rPr/>
              <w:tab/>
            </w:r>
            <w:r>
              <w:rPr/>
              <w:tab/>
            </w:r>
            <w:r>
              <w:rPr/>
              <w:tab/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cases)[6,7].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small molecule p53 reactivator, PC14586[16] (2020), received a fast track designation by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harboring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Y220C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granted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fast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track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designation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reactivator,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eprenetapopt[17],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(2019)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breakthrough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designation[18] (2020) in combination with azacitidine or azacitidine and venetoclax for acute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(AML)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myelodysplastic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syndrome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(MDS)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harboring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respectively.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addition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investigational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aimed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restoring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wild-type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activity, 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compounds 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that 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induce </w:t>
            </w:r>
            <w:r>
              <w:rPr/>
              <w:tab/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synthetic 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lethality 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are 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under 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clinical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evaluation[19,20].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diagnostic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marker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SHH-activated,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TP53-mutant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medulloblastoma[21].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risk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blood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cancers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AML,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myeloproliferative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neoplasms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(MPN),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chronic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lymphocytic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(CLL),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acute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lymphoblastic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(ALL)[22,23,24,25,26,27].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mantle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cell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lymphoma,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treated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with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conventional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hematopoietic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transplant[28].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Mono-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bi-allelic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unique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characteristics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multi-hit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experiencing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complex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karyotype,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few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co-occurring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high-risk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disease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presentation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death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transformation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independent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IPSS-R staging system[29].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13.999999999999986" w:type="dxa"/>
      </w:tblPr>
      <w:tblGrid>
        <w:gridCol w:w="2712"/>
        <w:gridCol w:w="2712"/>
        <w:gridCol w:w="2712"/>
        <w:gridCol w:w="2712"/>
      </w:tblGrid>
      <w:tr>
        <w:trPr>
          <w:trHeight w:hRule="atLeast" w:val="5082"/>
          <w:cantSplit w:val="true"/>
          <w:tblHeader w:val="true"/>
        </w:trPr>
        <w:tc>
          <w:tcPr>
            <w:tcW w:type="dxa" w:w="43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0" w:val="left"/>
              </w:tabs>
              <w:autoSpaceDE w:val="0"/>
              <w:widowControl/>
              <w:spacing w:line="450" w:lineRule="exact" w:before="0" w:after="74"/>
              <w:ind w:left="106" w:right="7488" w:firstLine="0"/>
              <w:jc w:val="left"/>
            </w:pPr>
            <w:r>
              <w:rPr/>
              <w:tab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 xml:space="preserve">Therapy &amp; Clinical Trials: </w:t>
            </w:r>
            <w:r>
              <w:rPr/>
              <w:br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0"/>
              </w:rPr>
              <w:t>TP53 p.(C135*) c.405C&gt;A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1788"/>
              <w:gridCol w:w="1788"/>
              <w:gridCol w:w="1788"/>
              <w:gridCol w:w="1788"/>
              <w:gridCol w:w="1788"/>
              <w:gridCol w:w="1788"/>
            </w:tblGrid>
            <w:tr>
              <w:trPr>
                <w:trHeight w:hRule="exact" w:val="452"/>
              </w:trPr>
              <w:tc>
                <w:tcPr>
                  <w:tcW w:type="dxa" w:w="5430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Therapy</w:t>
                  </w:r>
                </w:p>
              </w:tc>
              <w:tc>
                <w:tcPr>
                  <w:tcW w:type="dxa" w:w="1010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FDA</w:t>
                  </w:r>
                </w:p>
              </w:tc>
              <w:tc>
                <w:tcPr>
                  <w:tcW w:type="dxa" w:w="1068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NCCN</w:t>
                  </w:r>
                </w:p>
              </w:tc>
              <w:tc>
                <w:tcPr>
                  <w:tcW w:type="dxa" w:w="1024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EMA</w:t>
                  </w:r>
                </w:p>
              </w:tc>
              <w:tc>
                <w:tcPr>
                  <w:tcW w:type="dxa" w:w="1084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ESMO</w:t>
                  </w:r>
                </w:p>
              </w:tc>
              <w:tc>
                <w:tcPr>
                  <w:tcW w:type="dxa" w:w="1090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Trials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niraparib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2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atezolizumab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azenosertib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ART-6043, olaparib, niraparib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ATRN-119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niraparib, GSK-101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VB-15010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GenSci-122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3 of 10</w:t>
            </w:r>
          </w:p>
        </w:tc>
      </w:tr>
      <w:tr>
        <w:trPr>
          <w:trHeight w:hRule="atLeast" w:val="790"/>
          <w:cantSplit w:val="true"/>
        </w:trPr>
        <w:tc>
          <w:tcPr>
            <w:tcW w:type="dxa" w:w="249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1153160" cy="50037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5039" cy="4127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2500" cy="40893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899159" cy="90042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240"/>
          <w:cantSplit w:val="true"/>
        </w:trPr>
        <w:tc>
          <w:tcPr>
            <w:tcW w:type="dxa" w:w="2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20"/>
          <w:cantSplit w:val="true"/>
        </w:trPr>
        <w:tc>
          <w:tcPr>
            <w:tcW w:type="dxa" w:w="24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76"/>
          <w:cantSplit w:val="true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0" w:right="466" w:bottom="283" w:left="590" w:header="680" w:footer="283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rPr/>
        <w:drawing>
          <wp:inline xmlns:a="http://schemas.openxmlformats.org/drawingml/2006/main" xmlns:pic="http://schemas.openxmlformats.org/drawingml/2006/picture">
            <wp:extent cx="647700" cy="648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rPr/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atLeast" w:val="264"/>
          <w:cantSplit w:val="true"/>
          <w:tblHeader w:val="true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atLeast" w:val="290"/>
          <w:cantSplit w:val="true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atLeast" w:val="455"/>
          <w:cantSplit w:val="true"/>
          <w:tblHeader w:val="true"/>
        </w:trPr>
        <w:tc>
          <w:tcPr>
            <w:tcW w:type="dxa" w:w="543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GH-2616</w:t>
            </w:r>
          </w:p>
        </w:tc>
        <w:tc>
          <w:tcPr>
            <w:tcW w:type="dxa" w:w="101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HRS-1167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HS-10502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atLeast" w:val="452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SIM-0501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atLeast" w:val="452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talazoparib, palbociclib, axitinib, crizotinib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atLeast" w:val="452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XL-309, olaparib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atLeast" w:val="452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pembrolizumab,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IV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chemotherapy, radiation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atLeast" w:val="452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saruparib, hormone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radiation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atLeast" w:val="454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atLeast" w:val="64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abiraterone + niraparib, hormone therapy, radiation therapy,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steroid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atLeast" w:val="448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camrelizumab, fluzoparib,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atLeast" w:val="452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eflornithine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atLeast" w:val="454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hormone therapy +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trastuzumab, chemotherapy, camonsertib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dostarlimab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atLeast" w:val="454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hormone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112.00000000000003" w:type="dxa"/>
      </w:tblPr>
      <w:tblGrid>
        <w:gridCol w:w="2712"/>
        <w:gridCol w:w="2712"/>
        <w:gridCol w:w="2712"/>
        <w:gridCol w:w="2712"/>
      </w:tblGrid>
      <w:tr>
        <w:trPr>
          <w:trHeight w:hRule="atLeast" w:val="188"/>
          <w:cantSplit w:val="true"/>
          <w:tblHeader w:val="true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4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 w:val="790"/>
          <w:cantSplit w:val="true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1153160" cy="50037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5039" cy="4127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2500" cy="40893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899159" cy="90042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240"/>
          <w:cantSplit w:val="true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20"/>
          <w:cantSplit w:val="true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76"/>
          <w:cantSplit w:val="true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0" w:right="466" w:bottom="283" w:left="590" w:header="680" w:footer="283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rPr/>
        <w:drawing>
          <wp:inline xmlns:a="http://schemas.openxmlformats.org/drawingml/2006/main" xmlns:pic="http://schemas.openxmlformats.org/drawingml/2006/picture">
            <wp:extent cx="647700" cy="6489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rPr/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atLeast" w:val="264"/>
          <w:cantSplit w:val="true"/>
          <w:tblHeader w:val="true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atLeast" w:val="290"/>
          <w:cantSplit w:val="true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atLeast" w:val="455"/>
          <w:cantSplit w:val="true"/>
          <w:tblHeader w:val="true"/>
        </w:trPr>
        <w:tc>
          <w:tcPr>
            <w:tcW w:type="dxa" w:w="543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durvalumab</w:t>
            </w:r>
          </w:p>
        </w:tc>
        <w:tc>
          <w:tcPr>
            <w:tcW w:type="dxa" w:w="101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pembrolizumab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sintilimab,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atLeast" w:val="452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fluzoparib, camrelizumab,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atLeast" w:val="452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IMP-1734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atLeast" w:val="452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tislelizumab, radiation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atLeast" w:val="452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A2A-252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GB-3010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camonsertib, Debio-0123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atLeast" w:val="452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SC0245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34" w:lineRule="exact" w:before="38" w:after="246"/>
        <w:ind w:left="120" w:right="5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📝Note:</w:t>
      </w:r>
      <w:r>
        <w:rPr>
          <w:rFonts w:ascii="SegoeUISymbol" w:hAnsi="SegoeUISymbol" w:eastAsia="SegoeUISymbol"/>
          <w:b w:val="0"/>
          <w:i w:val="0"/>
          <w:color w:val="00B050"/>
          <w:sz w:val="20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this Cancer Type,</w:t>
      </w:r>
      <w:r>
        <w:rPr>
          <w:rFonts w:ascii="SegoeUISymbol" w:hAnsi="SegoeUISymbol" w:eastAsia="SegoeUISymbol"/>
          <w:b w:val="0"/>
          <w:i w:val="0"/>
          <w:color w:val="FFC000"/>
          <w:sz w:val="20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Other Cancer Type,</w:t>
      </w:r>
      <w:r>
        <w:rPr>
          <w:rFonts w:ascii="SegoeUISymbol" w:hAnsi="SegoeUISymbol" w:eastAsia="SegoeUISymbol"/>
          <w:b w:val="0"/>
          <w:i w:val="0"/>
          <w:color w:val="00B050"/>
          <w:sz w:val="20"/>
        </w:rPr>
        <w:t xml:space="preserve"> ✓</w:t>
      </w:r>
      <w:r>
        <w:rPr>
          <w:rFonts w:ascii="SegoeUISymbol" w:hAnsi="SegoeUISymbol" w:eastAsia="SegoeUISymbol"/>
          <w:b w:val="0"/>
          <w:i w:val="0"/>
          <w:color w:val="FFC000"/>
          <w:sz w:val="20"/>
        </w:rPr>
        <w:t>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both In this and Other Cancer Type,</w:t>
      </w:r>
      <w:r>
        <w:rPr>
          <w:rFonts w:ascii="Cambria" w:hAnsi="Cambria" w:eastAsia="Cambria"/>
          <w:b w:val="0"/>
          <w:i w:val="0"/>
          <w:color w:val="808080"/>
          <w:sz w:val="20"/>
        </w:rPr>
        <w:t xml:space="preserve"> X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: No Evidence.</w:t>
      </w:r>
      <w:r>
        <w:rPr>
          <w:rFonts w:ascii="SegoeUISymbol" w:hAnsi="SegoeUISymbol" w:eastAsia="SegoeUISymbol"/>
          <w:b w:val="0"/>
          <w:i w:val="0"/>
          <w:color w:val="EE0000"/>
          <w:sz w:val="20"/>
        </w:rPr>
        <w:t>⚠️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: </w:t>
      </w:r>
      <w:r>
        <w:rPr>
          <w:rFonts w:ascii="Cambria" w:hAnsi="Cambria" w:eastAsia="Cambria"/>
          <w:b w:val="0"/>
          <w:i w:val="0"/>
          <w:color w:val="000000"/>
          <w:sz w:val="20"/>
        </w:rPr>
        <w:t>Caution for Use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atLeast" w:val="252"/>
          <w:cantSplit w:val="true"/>
          <w:tblHeader w:val="true"/>
        </w:trPr>
        <w:tc>
          <w:tcPr>
            <w:tcW w:type="dxa" w:w="10706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Test Description</w:t>
            </w:r>
          </w:p>
        </w:tc>
      </w:tr>
      <w:tr>
        <w:trPr>
          <w:trHeight w:hRule="atLeast" w:val="2834"/>
          <w:cantSplit w:val="true"/>
        </w:trPr>
        <w:tc>
          <w:tcPr>
            <w:tcW w:type="dxa" w:w="107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Liquidseq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Actionable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Genomic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Profiling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precision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oncology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research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through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 relevant biomarkers in a single next-generation sequencing (NGS) test.</w:t>
            </w:r>
          </w:p>
          <w:p>
            <w:pPr>
              <w:autoSpaceDN w:val="0"/>
              <w:autoSpaceDE w:val="0"/>
              <w:widowControl/>
              <w:spacing w:line="234" w:lineRule="exact" w:before="394" w:after="0"/>
              <w:ind w:left="106" w:right="10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Liquidseq Actionable Genomic Profiling assay analyses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34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unique genes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28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DNA +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6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Fusions driver genes) for single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 and multiple gene biomarker insights, detects single gene biomarkers from all variant types including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SNVs, indels, 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CNVs, known and novel fusions, and splice variants.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Analyze complex multi-gene biomarkers for mutational signatures,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 microsatellite instability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 for immunotherapy research.</w:t>
            </w:r>
          </w:p>
          <w:p>
            <w:pPr>
              <w:autoSpaceDN w:val="0"/>
              <w:autoSpaceDE w:val="0"/>
              <w:widowControl/>
              <w:spacing w:line="245" w:lineRule="auto" w:before="39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performance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verified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both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commercially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sourced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reference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controls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cell-free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DNA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(cfTNA)samples.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atLeast" w:val="252"/>
          <w:cantSplit w:val="true"/>
          <w:tblHeader w:val="true"/>
        </w:trPr>
        <w:tc>
          <w:tcPr>
            <w:tcW w:type="dxa" w:w="10706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Test Methodology</w:t>
            </w:r>
          </w:p>
        </w:tc>
      </w:tr>
      <w:tr>
        <w:trPr>
          <w:trHeight w:hRule="atLeast" w:val="992"/>
          <w:cantSplit w:val="true"/>
        </w:trPr>
        <w:tc>
          <w:tcPr>
            <w:tcW w:type="dxa" w:w="1070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Extraction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&amp;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Library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Preparation: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free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Total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Nucleic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liquid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biopsy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used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for targeted gene capture using a custom designed hybrid capture panel. In process quality controls were determined for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prepared library.</w:t>
            </w:r>
          </w:p>
          <w:p>
            <w:pPr>
              <w:autoSpaceDN w:val="0"/>
              <w:autoSpaceDE w:val="0"/>
              <w:widowControl/>
              <w:spacing w:line="178" w:lineRule="exact" w:before="106" w:after="0"/>
              <w:ind w:left="0" w:right="46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5 of 10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110.0" w:type="dxa"/>
      </w:tblPr>
      <w:tblGrid>
        <w:gridCol w:w="2712"/>
        <w:gridCol w:w="2712"/>
        <w:gridCol w:w="2712"/>
        <w:gridCol w:w="2712"/>
      </w:tblGrid>
      <w:tr>
        <w:trPr>
          <w:trHeight w:hRule="atLeast" w:val="792"/>
          <w:cantSplit w:val="true"/>
          <w:tblHeader w:val="true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16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1153160" cy="50037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41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5039" cy="4127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33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2500" cy="40893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899159" cy="90042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240"/>
          <w:cantSplit w:val="true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/>
          </w:tcPr>
          <w:p/>
        </w:tc>
      </w:tr>
      <w:tr>
        <w:trPr>
          <w:trHeight w:hRule="atLeast" w:val="220"/>
          <w:cantSplit w:val="true"/>
        </w:trPr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/>
          </w:tcPr>
          <w:p/>
        </w:tc>
      </w:tr>
      <w:tr>
        <w:trPr>
          <w:trHeight w:hRule="atLeast" w:val="276"/>
          <w:cantSplit w:val="true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0" w:right="466" w:bottom="283" w:left="590" w:header="680" w:footer="283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rPr/>
        <w:drawing>
          <wp:inline xmlns:a="http://schemas.openxmlformats.org/drawingml/2006/main" xmlns:pic="http://schemas.openxmlformats.org/drawingml/2006/picture">
            <wp:extent cx="647700" cy="6489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rPr/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atLeast" w:val="264"/>
          <w:cantSplit w:val="true"/>
          <w:tblHeader w:val="true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atLeast" w:val="290"/>
          <w:cantSplit w:val="true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atLeast" w:val="2552"/>
          <w:cantSplit w:val="true"/>
        </w:trPr>
        <w:tc>
          <w:tcPr>
            <w:tcW w:type="dxa" w:w="107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libraries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depth: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&gt;25,000x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Illumina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Novaseq-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next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sequencing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platform.</w:t>
            </w:r>
          </w:p>
          <w:p>
            <w:pPr>
              <w:autoSpaceDN w:val="0"/>
              <w:autoSpaceDE w:val="0"/>
              <w:widowControl/>
              <w:spacing w:line="234" w:lineRule="exact" w:before="270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Data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Analysis: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customized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validated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bioinformatics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pipeline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capable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detecting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 classes of genomic alterations, including single nucleotide variants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SNVs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),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Indels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, copy number variations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CNVs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. As part of the streamlined bioinformatics workflow, Multi-gene Biomarkers such as Microsatellite Instability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Score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calculated.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genomic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alterations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prioritized,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classified,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AMP-ASCO-CAP guidelines and NCCN guidelines.</w:t>
            </w:r>
          </w:p>
          <w:p>
            <w:pPr>
              <w:autoSpaceDN w:val="0"/>
              <w:autoSpaceDE w:val="0"/>
              <w:widowControl/>
              <w:spacing w:line="245" w:lineRule="auto" w:before="80" w:after="0"/>
              <w:ind w:left="106" w:right="0" w:hanging="2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Limit of Detection (LOD): The LOD for SNVs and Short InDels is 0.1% Variant allele Frequency (VAF) and for Fusions is 05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supporting reads.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12.000000000000028" w:type="dxa"/>
      </w:tblPr>
      <w:tblGrid>
        <w:gridCol w:w="2712"/>
        <w:gridCol w:w="2712"/>
        <w:gridCol w:w="2712"/>
        <w:gridCol w:w="2712"/>
      </w:tblGrid>
      <w:tr>
        <w:trPr>
          <w:trHeight w:hRule="atLeast" w:val="7042"/>
          <w:cantSplit w:val="true"/>
          <w:tblHeader w:val="true"/>
        </w:trPr>
        <w:tc>
          <w:tcPr>
            <w:tcW w:type="dxa" w:w="43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730"/>
            </w:tblGrid>
            <w:tr>
              <w:trPr>
                <w:trHeight w:hRule="exact" w:val="234"/>
              </w:trPr>
              <w:tc>
                <w:tcPr>
                  <w:tcW w:type="dxa" w:w="10698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Notes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0284" w:type="dxa"/>
            </w:tblPr>
            <w:tblGrid>
              <w:gridCol w:w="10730"/>
            </w:tblGrid>
            <w:tr>
              <w:trPr>
                <w:trHeight w:hRule="exact" w:val="3210"/>
              </w:trPr>
              <w:tc>
                <w:tcPr>
                  <w:tcW w:type="dxa" w:w="107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6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decisions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 be 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solely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 the results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 this test. Findings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must be interpreted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 the context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of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patient’s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profile—including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pathological,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radiological,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family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history—to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diagnosis,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prognosis, and therapeutic decisions.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Therapy-related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derived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multiple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sources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FDA-approved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drug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NCCN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peer-reviewed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literature,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standard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databases,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strength.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However,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options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listed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may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suitable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beneficial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patients.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aims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provide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summary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potentially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effective treatments, therapies that may pose increased risks, and those that may have limited benefit, based on genomic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 identified. Prognostic and diagnostic biomarkers relevant to the disease context may also be reported.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78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LaboratoryPvtLtddoesnotguaranteecompleteness,accuracy,oreligibilityfortrialenrollment.Physiciansmustverify eligibility criteria for specific trials independently.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</w:p>
              </w:tc>
            </w:tr>
            <w:tr>
              <w:trPr>
                <w:trHeight w:hRule="exact" w:val="3466"/>
              </w:trPr>
              <w:tc>
                <w:tcPr>
                  <w:tcW w:type="dxa" w:w="10710"/>
                  <w:tcBorders>
                    <w:start w:sz="4.0" w:val="single" w:color="#DAEDF3"/>
                    <w:top w:sz="6.0" w:val="single" w:color="#FFFFFF"/>
                    <w:end w:sz="4.0" w:val="single" w:color="#DAEDF3"/>
                    <w:bottom w:sz="4.0" w:val="single" w:color="#DAEDF3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6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Identification of a genomic alteration does not guarantee therapeutic efficacy or predict ineffectiveness. Final decisions on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physician.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absence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options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does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imply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ineffectiveness or lack of safety of any medication selected independently.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classifications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latest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peer-reviewed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publications,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public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databases,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medical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(e.g.,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NCCN,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ASCO,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AMP)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available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time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report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generation. However, literature is continuously evolving, and classification may change with emerging evidence.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 assay is designed and validated for somatic variant detection, it does not differentiate between somatic and germline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variants. If indicated, germline testing and genetic counselling are recommended.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6 of 10</w:t>
            </w:r>
          </w:p>
        </w:tc>
      </w:tr>
      <w:tr>
        <w:trPr>
          <w:trHeight w:hRule="atLeast" w:val="790"/>
          <w:cantSplit w:val="true"/>
        </w:trPr>
        <w:tc>
          <w:tcPr>
            <w:tcW w:type="dxa" w:w="24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4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1153160" cy="50037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5039" cy="4127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2500" cy="40893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899159" cy="90042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240"/>
          <w:cantSplit w:val="true"/>
        </w:trPr>
        <w:tc>
          <w:tcPr>
            <w:tcW w:type="dxa" w:w="2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20"/>
          <w:cantSplit w:val="true"/>
        </w:trPr>
        <w:tc>
          <w:tcPr>
            <w:tcW w:type="dxa" w:w="24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76"/>
          <w:cantSplit w:val="true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0" w:right="466" w:bottom="283" w:left="590" w:header="680" w:footer="283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rPr/>
        <w:drawing>
          <wp:inline xmlns:a="http://schemas.openxmlformats.org/drawingml/2006/main" xmlns:pic="http://schemas.openxmlformats.org/drawingml/2006/picture">
            <wp:extent cx="647700" cy="6489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rPr/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atLeast" w:val="264"/>
          <w:cantSplit w:val="true"/>
          <w:tblHeader w:val="true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atLeast" w:val="290"/>
          <w:cantSplit w:val="true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atLeast" w:val="3544"/>
          <w:cantSplit w:val="true"/>
        </w:trPr>
        <w:tc>
          <w:tcPr>
            <w:tcW w:type="dxa" w:w="107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04" w:right="10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Poor-quality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cfDNA/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Previous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Ongoing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fail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QC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thresholds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stages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cfDNA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extraction,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library preparation, or bioinformatics, and may result in assay failure or compromised results, such as low gene coverage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 shallow variant depth.</w:t>
            </w:r>
          </w:p>
          <w:p>
            <w:pPr>
              <w:autoSpaceDN w:val="0"/>
              <w:autoSpaceDE w:val="0"/>
              <w:widowControl/>
              <w:spacing w:line="245" w:lineRule="auto" w:before="3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with lower allele frequencies may be reported if they are of strong or potential clinical relevance, or if previously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detected in the same patient. False positives or negatives below assay sensitivity cannot be ruled out.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CNVs/gene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amplifications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Confirmation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orthogonal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methods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DDPCR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recommended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when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clinically indicated.</w:t>
            </w:r>
          </w:p>
          <w:p>
            <w:pPr>
              <w:autoSpaceDN w:val="0"/>
              <w:autoSpaceDE w:val="0"/>
              <w:widowControl/>
              <w:spacing w:line="242" w:lineRule="auto" w:before="3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 in non-coding regions or deep intronic sequences are not assessed in this assay.</w:t>
            </w:r>
          </w:p>
          <w:p>
            <w:pPr>
              <w:autoSpaceDN w:val="0"/>
              <w:autoSpaceDE w:val="0"/>
              <w:widowControl/>
              <w:spacing w:line="234" w:lineRule="exact" w:before="8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This assay is under the scope of NABL as Liquidseq Actionable Panel.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2170"/>
        <w:gridCol w:w="2170"/>
        <w:gridCol w:w="2170"/>
        <w:gridCol w:w="2170"/>
        <w:gridCol w:w="2170"/>
      </w:tblGrid>
      <w:tr>
        <w:trPr>
          <w:trHeight w:hRule="atLeast" w:val="246"/>
          <w:cantSplit w:val="true"/>
          <w:tblHeader w:val="true"/>
        </w:trPr>
        <w:tc>
          <w:tcPr>
            <w:tcW w:type="dxa" w:w="3"/>
            <w:gridSpan w:val="5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DNA Gene List</w:t>
            </w:r>
          </w:p>
        </w:tc>
      </w:tr>
      <w:tr>
        <w:trPr>
          <w:trHeight w:hRule="atLeast" w:val="242"/>
          <w:cantSplit w:val="true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AKT1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ALK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APC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ATM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BRAF</w:t>
            </w:r>
          </w:p>
        </w:tc>
      </w:tr>
      <w:tr>
        <w:trPr>
          <w:trHeight w:hRule="atLeast" w:val="246"/>
          <w:cantSplit w:val="true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BRCA2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CTNNB1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EGFR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ERBB2</w:t>
            </w:r>
          </w:p>
        </w:tc>
      </w:tr>
      <w:tr>
        <w:trPr>
          <w:trHeight w:hRule="atLeast" w:val="244"/>
          <w:cantSplit w:val="true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ERBB3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ESR1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FOXL2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GNA11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GNAQ</w:t>
            </w:r>
          </w:p>
        </w:tc>
      </w:tr>
      <w:tr>
        <w:trPr>
          <w:trHeight w:hRule="atLeast" w:val="244"/>
          <w:cantSplit w:val="true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HRAS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IDH1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IDH2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KIT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KRAS</w:t>
            </w:r>
          </w:p>
        </w:tc>
      </w:tr>
      <w:tr>
        <w:trPr>
          <w:trHeight w:hRule="atLeast" w:val="246"/>
          <w:cantSplit w:val="true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NRAS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PDGFRA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PIK3CA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POLE</w:t>
            </w:r>
          </w:p>
        </w:tc>
      </w:tr>
      <w:tr>
        <w:trPr>
          <w:trHeight w:hRule="atLeast" w:val="242"/>
          <w:cantSplit w:val="true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RAF1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RET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2170"/>
        <w:gridCol w:w="2170"/>
        <w:gridCol w:w="2170"/>
        <w:gridCol w:w="2170"/>
        <w:gridCol w:w="2170"/>
      </w:tblGrid>
      <w:tr>
        <w:trPr>
          <w:trHeight w:hRule="atLeast" w:val="246"/>
          <w:cantSplit w:val="true"/>
          <w:tblHeader w:val="true"/>
        </w:trPr>
        <w:tc>
          <w:tcPr>
            <w:tcW w:type="dxa" w:w="3"/>
            <w:gridSpan w:val="5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RNA Gene List</w:t>
            </w:r>
          </w:p>
        </w:tc>
      </w:tr>
      <w:tr>
        <w:trPr>
          <w:trHeight w:hRule="atLeast" w:val="246"/>
          <w:cantSplit w:val="true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ALK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NTRK2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NTRK3</w:t>
            </w:r>
          </w:p>
        </w:tc>
      </w:tr>
      <w:tr>
        <w:trPr>
          <w:trHeight w:hRule="atLeast" w:val="242"/>
          <w:cantSplit w:val="true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ROS1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5425"/>
        <w:gridCol w:w="5425"/>
      </w:tblGrid>
      <w:tr>
        <w:trPr>
          <w:trHeight w:hRule="atLeast" w:val="244"/>
          <w:cantSplit w:val="true"/>
          <w:tblHeader w:val="true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% of Unstable Loci</w:t>
            </w:r>
          </w:p>
        </w:tc>
      </w:tr>
      <w:tr>
        <w:trPr>
          <w:trHeight w:hRule="atLeast" w:val="246"/>
          <w:cantSplit w:val="true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Stable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0-19%</w:t>
            </w:r>
          </w:p>
        </w:tc>
      </w:tr>
      <w:tr>
        <w:trPr>
          <w:trHeight w:hRule="atLeast" w:val="244"/>
          <w:cantSplit w:val="true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Low / Intermediate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20-30%</w:t>
            </w:r>
          </w:p>
        </w:tc>
      </w:tr>
      <w:tr>
        <w:trPr>
          <w:trHeight w:hRule="atLeast" w:val="244"/>
          <w:cantSplit w:val="true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High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&gt;30%</w:t>
            </w:r>
          </w:p>
        </w:tc>
      </w:tr>
    </w:tbl>
    <w:p>
      <w:pPr>
        <w:autoSpaceDN w:val="0"/>
        <w:autoSpaceDE w:val="0"/>
        <w:widowControl/>
        <w:spacing w:line="21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-10.0" w:type="dxa"/>
      </w:tblPr>
      <w:tblGrid>
        <w:gridCol w:w="2712"/>
        <w:gridCol w:w="2712"/>
        <w:gridCol w:w="2712"/>
        <w:gridCol w:w="2712"/>
      </w:tblGrid>
      <w:tr>
        <w:trPr>
          <w:trHeight w:hRule="atLeast" w:val="1850"/>
          <w:cantSplit w:val="true"/>
          <w:tblHeader w:val="true"/>
        </w:trPr>
        <w:tc>
          <w:tcPr>
            <w:tcW w:type="dxa" w:w="43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5376"/>
              <w:gridCol w:w="5376"/>
            </w:tblGrid>
            <w:tr>
              <w:trPr>
                <w:trHeight w:hRule="exact" w:val="246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Tier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Interpretation</w:t>
                  </w:r>
                </w:p>
              </w:tc>
            </w:tr>
            <w:tr>
              <w:trPr>
                <w:trHeight w:hRule="exact" w:val="946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Tier IA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Strong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Significance: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predict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resistance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FDA-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approved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therapies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specific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type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been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professional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therapeutic, diagnostic, and/or prognostic biomarkers for specific types of tumors.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Tier IB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" w:after="0"/>
                    <w:ind w:left="0" w:right="144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Variants of Strong Clinical Significance: Biomarkers that predict response or resistance to a 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 on well-powered studies with consensus from experts in the field, or have diagnostic and/or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7 of 10</w:t>
            </w:r>
          </w:p>
        </w:tc>
      </w:tr>
      <w:tr>
        <w:trPr>
          <w:trHeight w:hRule="atLeast" w:val="790"/>
          <w:cantSplit w:val="true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1153160" cy="50037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5039" cy="41275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2500" cy="40893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899159" cy="900429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240"/>
          <w:cantSplit w:val="true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20"/>
          <w:cantSplit w:val="true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76"/>
          <w:cantSplit w:val="true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0" w:right="466" w:bottom="283" w:left="590" w:header="680" w:footer="283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rPr/>
        <w:drawing>
          <wp:inline xmlns:a="http://schemas.openxmlformats.org/drawingml/2006/main" xmlns:pic="http://schemas.openxmlformats.org/drawingml/2006/picture">
            <wp:extent cx="647700" cy="64897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rPr/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atLeast" w:val="264"/>
          <w:cantSplit w:val="true"/>
          <w:tblHeader w:val="true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atLeast" w:val="290"/>
          <w:cantSplit w:val="true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5425"/>
        <w:gridCol w:w="5425"/>
      </w:tblGrid>
      <w:tr>
        <w:trPr>
          <w:trHeight w:hRule="atLeast" w:val="488"/>
          <w:cantSplit w:val="true"/>
          <w:tblHeader w:val="true"/>
        </w:trPr>
        <w:tc>
          <w:tcPr>
            <w:tcW w:type="dxa" w:w="1852"/>
            <w:tcBorders>
              <w:start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58"/>
            <w:tcBorders>
              <w:start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prognostic significance of certain diseases based on well-powered studies with expert consensus.</w:t>
            </w:r>
          </w:p>
        </w:tc>
      </w:tr>
      <w:tr>
        <w:trPr>
          <w:trHeight w:hRule="atLeast" w:val="1182"/>
          <w:cantSplit w:val="true"/>
        </w:trPr>
        <w:tc>
          <w:tcPr>
            <w:tcW w:type="dxa" w:w="185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IIC</w:t>
            </w:r>
          </w:p>
        </w:tc>
        <w:tc>
          <w:tcPr>
            <w:tcW w:type="dxa" w:w="885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response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resistance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therapies approved by FDA or professional societies for a different tumor type (i.e., off-label use of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drug), serve as inclusion criteria for clinical trials, or have diagnostic and/or prognostic 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 on the results of multiple small studies.</w:t>
            </w:r>
          </w:p>
        </w:tc>
      </w:tr>
      <w:tr>
        <w:trPr>
          <w:trHeight w:hRule="atLeast" w:val="950"/>
          <w:cantSplit w:val="true"/>
        </w:trPr>
        <w:tc>
          <w:tcPr>
            <w:tcW w:type="dxa" w:w="185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IID</w:t>
            </w:r>
          </w:p>
        </w:tc>
        <w:tc>
          <w:tcPr>
            <w:tcW w:type="dxa" w:w="885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show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plausible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therapeutic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studies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assist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disease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diagnosis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and/or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themselves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along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 other biomarkers based on small studies or multiple case reports with no consensus.</w:t>
            </w:r>
          </w:p>
        </w:tc>
      </w:tr>
      <w:tr>
        <w:trPr>
          <w:trHeight w:hRule="atLeast" w:val="710"/>
          <w:cantSplit w:val="true"/>
        </w:trPr>
        <w:tc>
          <w:tcPr>
            <w:tcW w:type="dxa" w:w="185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III</w:t>
            </w:r>
          </w:p>
        </w:tc>
        <w:tc>
          <w:tcPr>
            <w:tcW w:type="dxa" w:w="885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of Unknown clinical significance (VUS): Not observed at a significant allele frequency in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subpopulation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pancancer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databases.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convincing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published evidence of cancer Association</w:t>
            </w:r>
          </w:p>
        </w:tc>
      </w:tr>
    </w:tbl>
    <w:p>
      <w:pPr>
        <w:autoSpaceDN w:val="0"/>
        <w:autoSpaceDE w:val="0"/>
        <w:widowControl/>
        <w:spacing w:line="234" w:lineRule="exact" w:before="242" w:after="0"/>
        <w:ind w:left="120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0"/>
        </w:rPr>
        <w:t>References: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4" w:after="0"/>
        <w:ind w:left="120" w:right="1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1.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O&amp;#x27;Leary et al. Reference sequence (RefSeq) database at NCBI: current status, taxonomic expansion, and functional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annotation. Nucleic Acids Res. 2016 Jan 4;44(D1):D733-45. PMID: 26553804</w:t>
      </w:r>
    </w:p>
    <w:p>
      <w:pPr>
        <w:autoSpaceDN w:val="0"/>
        <w:autoSpaceDE w:val="0"/>
        <w:widowControl/>
        <w:spacing w:line="236" w:lineRule="exact" w:before="11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Nag et al. The MDM2-p53 pathway revisited. J Biomed Res. 2013 Jul;27(4):254-71. PMID: 23885265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Muller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new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therapeutic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opportunities.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2014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17;25(3):304-17.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 24651012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Olivier et al. TP53 mutations in human cancers: origins, consequences, and clinical use. Cold Spring Harb Perspect Biol. 2010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Jan;2(1):a001008. PMID: 20182602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Guha et al. Inherited TP53 Mutations and the Li-Fraumeni Syndrome. Cold Spring Harb Perspect Med. 2017 Apr 3;7(4). PMID: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28270529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Cerami et al. The cBio cancer genomics portal: an open platform for exploring multidimensional cancer genomics data. Cancer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Discov. 2012 May;2(5):401-4. PMID: 22588877</w:t>
      </w:r>
    </w:p>
    <w:p>
      <w:pPr>
        <w:autoSpaceDN w:val="0"/>
        <w:autoSpaceDE w:val="0"/>
        <w:widowControl/>
        <w:spacing w:line="234" w:lineRule="exact" w:before="116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Weinstein et al. The Cancer Genome Atlas Pan-Cancer analysis project. Nat. Genet. 2013 Oct;45(10):1113-20. PMID: 24071849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Peter et al. Comprehensive genomic characterization of squamous cell lung cancers. Nature. 2012 Sep 27;489(7417):519-25.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 22960745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Cancer Genome Atlas Network. Comprehensive genomic characterization of head and neck squamous cell carcinomas. Nature.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2015 Jan 29;517(7536):576-82. PMID: 25631445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186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Campbell et al. Distinct patterns of somatic genome alterations in lung adenocarcinomas and squamous cell carcinomas. Nat.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Genet. 2016 Jun;48(6):607-16. PMID: 27158780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12.00000000000003" w:type="dxa"/>
      </w:tblPr>
      <w:tblGrid>
        <w:gridCol w:w="2712"/>
        <w:gridCol w:w="2712"/>
        <w:gridCol w:w="2712"/>
        <w:gridCol w:w="2712"/>
      </w:tblGrid>
      <w:tr>
        <w:trPr>
          <w:trHeight w:hRule="atLeast" w:val="230"/>
          <w:cantSplit w:val="true"/>
          <w:tblHeader w:val="true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8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 w:val="790"/>
          <w:cantSplit w:val="true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1153160" cy="500379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5039" cy="41275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2500" cy="40893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899159" cy="90042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240"/>
          <w:cantSplit w:val="true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20"/>
          <w:cantSplit w:val="true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76"/>
          <w:cantSplit w:val="true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0" w:right="466" w:bottom="283" w:left="590" w:header="680" w:footer="283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rPr/>
        <w:drawing>
          <wp:inline xmlns:a="http://schemas.openxmlformats.org/drawingml/2006/main" xmlns:pic="http://schemas.openxmlformats.org/drawingml/2006/picture">
            <wp:extent cx="647700" cy="64897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0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rPr/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2.0000000000000284" w:type="dxa"/>
      </w:tblPr>
      <w:tblGrid>
        <w:gridCol w:w="2684"/>
        <w:gridCol w:w="2684"/>
        <w:gridCol w:w="2684"/>
        <w:gridCol w:w="2684"/>
      </w:tblGrid>
      <w:tr>
        <w:trPr>
          <w:trHeight w:hRule="atLeast" w:val="264"/>
          <w:cantSplit w:val="true"/>
          <w:tblHeader w:val="true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atLeast" w:val="290"/>
          <w:cantSplit w:val="true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366" w:val="left"/>
        </w:tabs>
        <w:autoSpaceDE w:val="0"/>
        <w:widowControl/>
        <w:spacing w:line="304" w:lineRule="exact" w:before="0" w:after="0"/>
        <w:ind w:left="6" w:right="144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Atlas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Research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Network.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Integrated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characterization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oesophageal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carcinoma.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Nature.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2017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Jan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12;541(7636):169-175. doi: 10.1038/nature20805. Epub 2017 Jan 4. PMID: 28052061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Olivier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IARC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database: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new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online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analysis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recommendations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users.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2002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Jun;19(6):607-14. PMID: 12007217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Rivlin et al. Mutations in the p53 Tumor Suppressor Gene: Important Milestones at the Various Steps of Tumorigenesis. Genes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Cancer. 2011 Apr;2(4):466-74. PMID: 21779514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Petitjean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cancers: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selection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impact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prognosis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outcomes.</w:t>
      </w:r>
    </w:p>
    <w:p>
      <w:pPr>
        <w:autoSpaceDN w:val="0"/>
        <w:tabs>
          <w:tab w:pos="366" w:val="left"/>
        </w:tabs>
        <w:autoSpaceDE w:val="0"/>
        <w:widowControl/>
        <w:spacing w:line="310" w:lineRule="exact" w:before="0" w:after="0"/>
        <w:ind w:left="6" w:right="144" w:firstLine="0"/>
        <w:jc w:val="left"/>
      </w:pP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Oncogene. 2007 Apr 2;26(15):2157-65. PMID: 17401424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Soussi et al. Recommendations for analyzing and reporting TP53 gene variants in the high-throughput sequencing era. Hum.</w:t>
      </w:r>
    </w:p>
    <w:p>
      <w:pPr>
        <w:autoSpaceDN w:val="0"/>
        <w:tabs>
          <w:tab w:pos="366" w:val="left"/>
        </w:tabs>
        <w:autoSpaceDE w:val="0"/>
        <w:widowControl/>
        <w:spacing w:line="304" w:lineRule="exact" w:before="0" w:after="56"/>
        <w:ind w:left="6" w:right="432" w:firstLine="0"/>
        <w:jc w:val="left"/>
      </w:pP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Mutat. 2014 Jun;35(6):766-78. PMID: 24729566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https://www.globenewswire.com/news-release/2020/10/13/2107498/0/en/PMV-Pharma-Granted-FDA-Fast-Track-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Designation-of-PC14586-for-the-Treatment-of-Advanced-Cancer-Patients-that-have-Tumors-with-a-p53-Y220C-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Mutation.html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https://ir.aprea.com//news-releases/news-release-details/aprea-therapeutics-receives-fda-fast-track-designation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http://vp280.alertir.com/en/pressreleases/karolinska-development%27s-portfolio-company-aprea-therapeutics-receives-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fda-breakthrough-therapy-designation-1769167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-2.0000000000000284" w:type="dxa"/>
      </w:tblPr>
      <w:tblGrid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</w:tblGrid>
      <w:tr>
        <w:trPr>
          <w:trHeight w:hRule="atLeast" w:val="310"/>
          <w:cantSplit w:val="true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Parrales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et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al.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Targeting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Oncogenic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Mutant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p53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for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Cancer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Therapy.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Front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Oncol.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2015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Dec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21;5:288.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doi:</w:t>
            </w:r>
          </w:p>
        </w:tc>
      </w:tr>
    </w:tbl>
    <w:p>
      <w:pPr>
        <w:autoSpaceDN w:val="0"/>
        <w:tabs>
          <w:tab w:pos="366" w:val="left"/>
        </w:tabs>
        <w:autoSpaceDE w:val="0"/>
        <w:widowControl/>
        <w:spacing w:line="324" w:lineRule="exact" w:before="0" w:after="232"/>
        <w:ind w:left="6" w:right="144" w:firstLine="0"/>
        <w:jc w:val="left"/>
      </w:pP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10.3389/fonc.2015.00288. eCollection 2015. PMID: 26732534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Zhao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Molecularly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targeted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therapies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p53-mutant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Life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Sci.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2017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Nov;74(22):4171-4187.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PMID: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28643165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Louis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2021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WHO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Classification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Tumors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Central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Nervous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System: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summary.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Neuro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Oncol.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2021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Aug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2;23(8):1231-1251. PMID: 34185076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NCCN-Acute Myeloid Leukemia [Version 2.2025]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Döhner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Diagnosis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management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AML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adults: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2022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recommendations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from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international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expert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panel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on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behalf of the ELN. Blood. 2022 Sep 22;140(12):1345-1377. PMID: 35797463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NCCN-Myelodysplastic Syndromes [Version 2.2025]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NCCN-Myeloproliferative Neoplasms [Version 1.2025]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NCCN-Chronic Lymphocytic Leukemia/Small Lymphocytic Lymphoma [Version 3.2025]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NCCN-Acute Lymphoblastic Leukemia [Version 3.2024]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NCCN Guidelines&amp;amp;reg; - NCCN-B-Cell Lymphomas [Version 2.2025]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0.0" w:type="dxa"/>
      </w:tblPr>
      <w:tblGrid>
        <w:gridCol w:w="2684"/>
        <w:gridCol w:w="2684"/>
        <w:gridCol w:w="2684"/>
        <w:gridCol w:w="2684"/>
      </w:tblGrid>
      <w:tr>
        <w:trPr>
          <w:trHeight w:hRule="atLeast" w:val="230"/>
          <w:cantSplit w:val="true"/>
          <w:tblHeader w:val="true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9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 w:val="790"/>
          <w:cantSplit w:val="true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1153160" cy="50037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5039" cy="41275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2500" cy="40893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899159" cy="900429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240"/>
          <w:cantSplit w:val="true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20"/>
          <w:cantSplit w:val="true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76"/>
          <w:cantSplit w:val="true"/>
        </w:trPr>
        <w:tc>
          <w:tcPr>
            <w:tcW w:type="dxa" w:w="2684"/>
            <w:vMerge/>
            <w:tcBorders/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0" w:right="466" w:bottom="283" w:left="702" w:header="680" w:footer="283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rPr/>
        <w:drawing>
          <wp:inline xmlns:a="http://schemas.openxmlformats.org/drawingml/2006/main" xmlns:pic="http://schemas.openxmlformats.org/drawingml/2006/picture">
            <wp:extent cx="647700" cy="64897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0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rPr/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2.0000000000000284" w:type="dxa"/>
      </w:tblPr>
      <w:tblGrid>
        <w:gridCol w:w="2684"/>
        <w:gridCol w:w="2684"/>
        <w:gridCol w:w="2684"/>
        <w:gridCol w:w="2684"/>
      </w:tblGrid>
      <w:tr>
        <w:trPr>
          <w:trHeight w:hRule="atLeast" w:val="264"/>
          <w:cantSplit w:val="true"/>
          <w:tblHeader w:val="true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atLeast" w:val="290"/>
          <w:cantSplit w:val="true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8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34" w:lineRule="exact" w:before="78" w:after="0"/>
        <w:ind w:left="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Bernard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Implications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allelic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state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stability,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clinical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presentation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outcomes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myelodysplastic</w:t>
      </w:r>
    </w:p>
    <w:p>
      <w:pPr>
        <w:autoSpaceDN w:val="0"/>
        <w:autoSpaceDE w:val="0"/>
        <w:widowControl/>
        <w:spacing w:line="234" w:lineRule="exact" w:before="36" w:after="0"/>
        <w:ind w:left="36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syndromes. Nat. Med. 2020 Aug 3. PMID: 32747829</w:t>
      </w:r>
    </w:p>
    <w:p>
      <w:pPr>
        <w:autoSpaceDN w:val="0"/>
        <w:autoSpaceDE w:val="0"/>
        <w:widowControl/>
        <w:spacing w:line="246" w:lineRule="exact" w:before="584" w:after="8312"/>
        <w:ind w:left="0" w:right="376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>------------------ End Of Report ------------------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0.0" w:type="dxa"/>
      </w:tblPr>
      <w:tblGrid>
        <w:gridCol w:w="2684"/>
        <w:gridCol w:w="2684"/>
        <w:gridCol w:w="2684"/>
        <w:gridCol w:w="2684"/>
      </w:tblGrid>
      <w:tr>
        <w:trPr>
          <w:trHeight w:hRule="atLeast" w:val="230"/>
          <w:cantSplit w:val="true"/>
          <w:tblHeader w:val="true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10 of 10</w:t>
            </w:r>
          </w:p>
        </w:tc>
        <w:tc>
          <w:tcPr>
            <w:tcW w:type="dxa" w:w="23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 w:val="790"/>
          <w:cantSplit w:val="true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1153160" cy="50037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5039" cy="41275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2500" cy="40893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899159" cy="900429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240"/>
          <w:cantSplit w:val="true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20"/>
          <w:cantSplit w:val="true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76"/>
          <w:cantSplit w:val="true"/>
        </w:trPr>
        <w:tc>
          <w:tcPr>
            <w:tcW w:type="dxa" w:w="2684"/>
            <w:vMerge/>
            <w:tcBorders/>
          </w:tcPr>
          <w:p/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keepNext/>
        <w:spacing w:before="160" w:after="40"/>
      </w:pPr>
      <w:r>
        <w:rPr>
          <w:rFonts w:ascii="Cambria" w:hAnsi="Cambria"/>
          <w:b/>
          <w:color w:val="1F497D"/>
          <w:sz w:val="22"/>
        </w:rPr>
        <w:t>Clinical Therapies &amp; Trials Table (Source Page 7)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69"/>
        <w:gridCol w:w="5369"/>
      </w:tblGrid>
      <w:tr>
        <w:trPr>
          <w:cantSplit w:val="true"/>
          <w:tblHeader w:val="true"/>
        </w:trPr>
        <w:tc>
          <w:tcPr>
            <w:tcW w:type="dxa" w:w="5369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5369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Interpretation</w:t>
            </w:r>
          </w:p>
        </w:tc>
      </w:tr>
      <w:tr>
        <w:trPr>
          <w:cantSplit w:val="true"/>
        </w:trPr>
        <w:tc>
          <w:tcPr>
            <w:tcW w:type="dxa" w:w="5369"/>
          </w:tcPr>
          <w:p>
            <w:pPr>
              <w:jc w:val="left"/>
            </w:pPr>
            <w:r>
              <w:rPr>
                <w:rFonts w:ascii="Cambria" w:hAnsi="Cambria"/>
                <w:color w:val="000000"/>
                <w:sz w:val="19"/>
              </w:rPr>
              <w:t>Tier IA</w:t>
            </w:r>
          </w:p>
        </w:tc>
        <w:tc>
          <w:tcPr>
            <w:tcW w:type="dxa" w:w="5369"/>
          </w:tcPr>
          <w:p>
            <w:pPr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Variants of Strong Clinical Significance: Biomarkers that predict response or resistance to US FDA-</w:t>
              <w:br/>
              <w:t>approved therapies for a specific type of tumor or have been included in professional guidelines as</w:t>
              <w:br/>
              <w:t>therapeutic, diagnostic, and/or prognostic biomarkers for specific types of tumors.</w:t>
            </w:r>
          </w:p>
        </w:tc>
      </w:tr>
      <w:tr>
        <w:trPr>
          <w:cantSplit w:val="true"/>
        </w:trPr>
        <w:tc>
          <w:tcPr>
            <w:tcW w:type="dxa" w:w="5369"/>
          </w:tcPr>
          <w:p>
            <w:pPr>
              <w:jc w:val="left"/>
            </w:pPr>
            <w:r>
              <w:rPr>
                <w:rFonts w:ascii="Cambria" w:hAnsi="Cambria"/>
                <w:color w:val="000000"/>
                <w:sz w:val="19"/>
              </w:rPr>
              <w:t>Tier IB</w:t>
            </w:r>
          </w:p>
        </w:tc>
        <w:tc>
          <w:tcPr>
            <w:tcW w:type="dxa" w:w="5369"/>
          </w:tcPr>
          <w:p>
            <w:pPr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Variants of Strong Clinical Significance: Biomarkers that predict response or resistance to a therapy</w:t>
              <w:br/>
              <w:t>based on well-powered studies with consensus from experts in the field, or have diagnostic and/or</w:t>
            </w:r>
          </w:p>
        </w:tc>
      </w:tr>
    </w:tbl>
    <w:sectPr w:rsidR="00FC693F" w:rsidRPr="0006063C" w:rsidSect="00034616">
      <w:pgSz w:w="11906" w:h="16838"/>
      <w:pgMar w:top="680" w:right="466" w:bottom="283" w:left="702" w:header="680" w:footer="283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2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