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4120" w:after="214"/>
        <w:ind w:left="2976" w:right="0" w:firstLine="0"/>
        <w:jc w:val="left"/>
      </w:pPr>
      <w:r>
        <w:rPr>
          <w:rFonts w:ascii="Cambria" w:hAnsi="Cambria" w:eastAsia="Cambria"/>
          <w:b/>
          <w:i w:val="0"/>
          <w:color w:val="215868"/>
          <w:sz w:val="32"/>
        </w:rPr>
        <w:t>TEST NAME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534"/>
          <w:cantSplit w:val="true"/>
        </w:trPr>
        <w:tc>
          <w:tcPr>
            <w:tcW w:type="dxa" w:w="10702"/>
            <w:tcBorders>
              <w:start w:sz="12.0" w:val="single" w:color="#000000"/>
              <w:top w:sz="5.599999999999909" w:val="single" w:color="#000000"/>
              <w:end w:sz="5.600000000000364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" w:val="left"/>
              </w:tabs>
              <w:autoSpaceDE w:val="0"/>
              <w:widowControl/>
              <w:spacing w:line="252" w:lineRule="auto" w:before="0" w:after="0"/>
              <w:ind w:left="84" w:right="8352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Clinical Indication: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Carcinoma Breast</w:t>
            </w:r>
          </w:p>
        </w:tc>
      </w:tr>
    </w:tbl>
    <w:p>
      <w:pPr>
        <w:autoSpaceDN w:val="0"/>
        <w:autoSpaceDE w:val="0"/>
        <w:widowControl/>
        <w:spacing w:line="15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22.0" w:type="dxa"/>
      </w:tblPr>
      <w:tblGrid>
        <w:gridCol w:w="9038"/>
      </w:tblGrid>
      <w:tr>
        <w:trPr>
          <w:trHeight w:hRule="atLeast" w:val="960"/>
          <w:cantSplit w:val="true"/>
        </w:trPr>
        <w:tc>
          <w:tcPr>
            <w:tcW w:type="dxa" w:w="1071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bf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52" w:after="0"/>
              <w:ind w:left="3456" w:right="360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32"/>
              </w:rPr>
              <w:t xml:space="preserve">Positive </w:t>
            </w:r>
            <w:r>
              <w:rPr/>
              <w:br/>
            </w: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40" w:lineRule="auto" w:before="132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1F497D"/>
          <w:sz w:val="20"/>
        </w:rPr>
        <w:t>Key Findings: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62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480"/>
          <w:cantSplit w:val="true"/>
          <w:tblHeader w:val="true"/>
        </w:trPr>
        <w:tc>
          <w:tcPr>
            <w:tcW w:type="dxa" w:w="218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Gene &amp; Transcript</w:t>
            </w:r>
          </w:p>
        </w:tc>
        <w:tc>
          <w:tcPr>
            <w:tcW w:type="dxa" w:w="1490"/>
            <w:tcBorders>
              <w:start w:sz="12.0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Variant</w:t>
            </w:r>
          </w:p>
        </w:tc>
        <w:tc>
          <w:tcPr>
            <w:tcW w:type="dxa" w:w="1002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Exon</w:t>
            </w:r>
          </w:p>
        </w:tc>
        <w:tc>
          <w:tcPr>
            <w:tcW w:type="dxa" w:w="168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Coverage / VAF</w:t>
            </w:r>
          </w:p>
        </w:tc>
        <w:tc>
          <w:tcPr>
            <w:tcW w:type="dxa" w:w="1446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2888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Relevant Biomarker</w:t>
            </w:r>
          </w:p>
        </w:tc>
      </w:tr>
      <w:tr>
        <w:trPr>
          <w:trHeight w:hRule="atLeast" w:val="840"/>
          <w:cantSplit w:val="true"/>
        </w:trPr>
        <w:tc>
          <w:tcPr>
            <w:tcW w:type="dxa" w:w="2184"/>
            <w:tcBorders>
              <w:start w:sz="12.0" w:val="single" w:color="#000000"/>
              <w:top w:sz="12.0" w:val="single" w:color="#000000"/>
              <w:end w:sz="6.400000000000091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8" w:after="0"/>
              <w:ind w:left="8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NM_006218.4</w:t>
            </w:r>
          </w:p>
        </w:tc>
        <w:tc>
          <w:tcPr>
            <w:tcW w:type="dxa" w:w="1490"/>
            <w:tcBorders>
              <w:start w:sz="6.400000000000091" w:val="single" w:color="#000000"/>
              <w:top w:sz="5.599999999999909" w:val="single" w:color="#000000"/>
              <w:end w:sz="12.0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(p.Cys420Arg)</w:t>
            </w:r>
          </w:p>
        </w:tc>
        <w:tc>
          <w:tcPr>
            <w:tcW w:type="dxa" w:w="1002"/>
            <w:tcBorders>
              <w:start w:sz="12.0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/>
        </w:tc>
        <w:tc>
          <w:tcPr>
            <w:tcW w:type="dxa" w:w="1446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/>
        </w:tc>
        <w:tc>
          <w:tcPr>
            <w:tcW w:type="dxa" w:w="2888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d9ec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2" w:after="0"/>
              <w:ind w:left="100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 xml:space="preserve">&amp; global clinical trials info </w:t>
            </w:r>
            <w:r>
              <w:rPr>
                <w:rFonts w:ascii="Cambria" w:hAnsi="Cambria" w:eastAsia="Cambria"/>
                <w:b w:val="0"/>
                <w:i w:val="0"/>
                <w:color w:val="FF0000"/>
                <w:sz w:val="20"/>
              </w:rPr>
              <w:t>attached</w:t>
            </w:r>
          </w:p>
        </w:tc>
      </w:tr>
    </w:tbl>
    <w:p>
      <w:pPr>
        <w:autoSpaceDN w:val="0"/>
        <w:autoSpaceDE w:val="0"/>
        <w:widowControl/>
        <w:spacing w:line="240" w:lineRule="auto" w:before="42" w:after="136"/>
        <w:ind w:left="716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*Genetic test results are reported based on the recommendations of AMP-ASCO-CAP guidelines.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300"/>
          <w:cantSplit w:val="true"/>
          <w:tblHeader w:val="true"/>
        </w:trPr>
        <w:tc>
          <w:tcPr>
            <w:tcW w:type="dxa" w:w="10702"/>
            <w:tcBorders>
              <w:start w:sz="12.0" w:val="single" w:color="#000000"/>
              <w:top w:sz="12.0" w:val="single" w:color="#000000"/>
              <w:end w:sz="5.600000000000364" w:val="single" w:color="#000000"/>
              <w:bottom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4"/>
              </w:rPr>
              <w:t>Test Description:</w:t>
            </w:r>
          </w:p>
        </w:tc>
      </w:tr>
      <w:tr>
        <w:trPr>
          <w:trHeight w:hRule="atLeast" w:val="488"/>
          <w:cantSplit w:val="true"/>
        </w:trPr>
        <w:tc>
          <w:tcPr>
            <w:tcW w:type="dxa" w:w="10702"/>
            <w:tcBorders>
              <w:start w:sz="12.0" w:val="single" w:color="#000000"/>
              <w:top w:sz="12.0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4" w:right="475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TEST NAME is an NGS panel based on molecular tagging technical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 that tested to detect low MAFs mutation from plasma samples.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22.0" w:type="dxa"/>
      </w:tblPr>
      <w:tblGrid>
        <w:gridCol w:w="4519"/>
        <w:gridCol w:w="4519"/>
      </w:tblGrid>
      <w:tr>
        <w:trPr>
          <w:trHeight w:hRule="atLeast" w:val="277"/>
          <w:cantSplit w:val="true"/>
          <w:tblHeader w:val="true"/>
        </w:trPr>
        <w:tc>
          <w:tcPr>
            <w:tcW w:type="dxa" w:w="3324"/>
            <w:gridSpan w:val="2"/>
            <w:tcBorders>
              <w:start w:sz="12.0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1f497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4"/>
              </w:rPr>
              <w:t>Variant Classification as per AMP-ASCO-CAP Guidelines:</w:t>
            </w:r>
          </w:p>
        </w:tc>
      </w:tr>
      <w:tr>
        <w:trPr>
          <w:trHeight w:hRule="atLeast" w:val="238"/>
          <w:cantSplit w:val="true"/>
        </w:trPr>
        <w:tc>
          <w:tcPr>
            <w:tcW w:type="dxa" w:w="2074"/>
            <w:tcBorders>
              <w:start w:sz="12.0" w:val="single" w:color="#000000"/>
              <w:top w:sz="5.599999999999909" w:val="single" w:color="#000000"/>
              <w:end w:sz="6.400000000000091" w:val="single" w:color="#000000"/>
              <w:bottom w:sz="11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F497D"/>
                <w:sz w:val="20"/>
              </w:rPr>
              <w:t>Variant</w:t>
            </w:r>
          </w:p>
        </w:tc>
        <w:tc>
          <w:tcPr>
            <w:tcW w:type="dxa" w:w="8608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 change in a gene. This could be disease causing (pathogenic) or not disease causing (benign).</w:t>
            </w:r>
          </w:p>
        </w:tc>
      </w:tr>
      <w:tr>
        <w:trPr>
          <w:trHeight w:hRule="atLeast" w:val="1770"/>
          <w:cantSplit w:val="true"/>
        </w:trPr>
        <w:tc>
          <w:tcPr>
            <w:tcW w:type="dxa" w:w="2074"/>
            <w:tcBorders>
              <w:start w:sz="12.0" w:val="single" w:color="#000000"/>
              <w:top w:sz="11.199999999999818" w:val="single" w:color="#000000"/>
              <w:end w:sz="6.400000000000091" w:val="single" w:color="#000000"/>
              <w:bottom w:sz="12.7999999999992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78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F497D"/>
                <w:sz w:val="20"/>
              </w:rPr>
              <w:t xml:space="preserve">Tier I: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Strong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</w:t>
            </w:r>
          </w:p>
        </w:tc>
        <w:tc>
          <w:tcPr>
            <w:tcW w:type="dxa" w:w="8608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4"/>
              <w:ind w:left="108" w:right="432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Level 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, biomarkers that predict response or resistance to US FDA-approved therapies for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 type of tumor or have been included in professional guidelines as therapeutic, diagnostic,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6.00000000000023" w:type="dxa"/>
            </w:tblPr>
            <w:tblGrid>
              <w:gridCol w:w="1076"/>
              <w:gridCol w:w="1076"/>
              <w:gridCol w:w="1076"/>
              <w:gridCol w:w="1076"/>
              <w:gridCol w:w="1076"/>
              <w:gridCol w:w="1076"/>
              <w:gridCol w:w="1076"/>
              <w:gridCol w:w="1076"/>
            </w:tblGrid>
            <w:tr>
              <w:trPr>
                <w:trHeight w:hRule="exact" w:val="296"/>
              </w:trPr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7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and/or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prognostic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types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54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tumors;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72" w:after="0"/>
              <w:ind w:left="108" w:right="288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Level B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, biomarkers that predict response or resistance to a therapy based on well-powered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studies with consensus from experts in the field,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 certain diseases based on well-powered studies with expert consensus.</w:t>
            </w:r>
          </w:p>
        </w:tc>
      </w:tr>
      <w:tr>
        <w:trPr>
          <w:trHeight w:hRule="atLeast" w:val="1988"/>
          <w:cantSplit w:val="true"/>
        </w:trPr>
        <w:tc>
          <w:tcPr>
            <w:tcW w:type="dxa" w:w="2074"/>
            <w:tcBorders>
              <w:start w:sz="12.0" w:val="single" w:color="#000000"/>
              <w:top w:sz="12.799999999999272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78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F497D"/>
                <w:sz w:val="20"/>
              </w:rPr>
              <w:t xml:space="preserve">Tier II: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Potential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</w:t>
            </w:r>
          </w:p>
        </w:tc>
        <w:tc>
          <w:tcPr>
            <w:tcW w:type="dxa" w:w="8608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108" w:right="288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Level 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, biomarkers that predict response or resistance to therapies approved by FDA or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professional societies for a different tumor type (ie, off-label use of a drug), serve as inclusion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criteria for clinical trials, or have diagnostic and/or prognostic significance based on the results 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small studies;</w:t>
            </w:r>
          </w:p>
          <w:p>
            <w:pPr>
              <w:autoSpaceDN w:val="0"/>
              <w:autoSpaceDE w:val="0"/>
              <w:widowControl/>
              <w:spacing w:line="245" w:lineRule="auto" w:before="232" w:after="0"/>
              <w:ind w:left="108" w:right="432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Level 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, biomarkers that show plausible therapeutic significance based on preclinical studies 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may assist disease diagnosis and/or prognosis themselves or along with other biomarkers based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 small studies or multiple case reports with no consensus.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94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300.0" w:type="dxa"/>
      </w:tblPr>
      <w:tblGrid>
        <w:gridCol w:w="9038"/>
      </w:tblGrid>
      <w:tr>
        <w:trPr>
          <w:trHeight w:hRule="atLeast" w:val="1390"/>
          <w:cantSplit w:val="true"/>
        </w:trPr>
        <w:tc>
          <w:tcPr>
            <w:tcW w:type="dxa" w:w="1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5650"/>
              <w:gridCol w:w="5650"/>
            </w:tblGrid>
            <w:tr>
              <w:trPr>
                <w:trHeight w:hRule="exact" w:val="1199"/>
              </w:trPr>
              <w:tc>
                <w:tcPr>
                  <w:tcW w:type="dxa" w:w="2084"/>
                  <w:tcBorders>
                    <w:start w:sz="12.0" w:val="single" w:color="#000000"/>
                    <w:top w:sz="6.400000000000091" w:val="single" w:color="#000000"/>
                    <w:end w:sz="12.0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6" w:after="0"/>
                    <w:ind w:left="80" w:right="1008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1F497D"/>
                      <w:sz w:val="20"/>
                    </w:rPr>
                    <w:t xml:space="preserve">Tier III: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unknown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</w:p>
              </w:tc>
              <w:tc>
                <w:tcPr>
                  <w:tcW w:type="dxa" w:w="8606"/>
                  <w:tcBorders>
                    <w:start w:sz="12.0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78" w:after="0"/>
                    <w:ind w:left="94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Not observed at a significant allele frequency in the general or specific subpopulation 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pancancer or tumor specific variant databases. No convincing published evidence of cancer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300"/>
          <w:cantSplit w:val="true"/>
          <w:tblHeader w:val="true"/>
        </w:trPr>
        <w:tc>
          <w:tcPr>
            <w:tcW w:type="dxa" w:w="10702"/>
            <w:tcBorders>
              <w:start w:sz="12.0" w:val="single" w:color="#000000"/>
              <w:top w:sz="11.199999999999818" w:val="single" w:color="#000000"/>
              <w:end w:sz="5.600000000000364" w:val="single" w:color="#000000"/>
              <w:bottom w:sz="11.199999999999818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4"/>
              </w:rPr>
              <w:t>Test Methodology:</w:t>
            </w:r>
          </w:p>
        </w:tc>
      </w:tr>
      <w:tr>
        <w:trPr>
          <w:trHeight w:hRule="atLeast" w:val="1710"/>
          <w:cantSplit w:val="true"/>
        </w:trPr>
        <w:tc>
          <w:tcPr>
            <w:tcW w:type="dxa" w:w="10702"/>
            <w:tcBorders>
              <w:start w:sz="12.0" w:val="single" w:color="#000000"/>
              <w:top w:sz="11.199999999999818" w:val="single" w:color="#000000"/>
              <w:end w:sz="5.600000000000364" w:val="single" w:color="#000000"/>
              <w:bottom w:sz="12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44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cell-free DNA (cell-free total nucleic acid; cfTNA) isolated from the plasma fraction of whole blood.</w:t>
            </w:r>
          </w:p>
          <w:p>
            <w:pPr>
              <w:autoSpaceDN w:val="0"/>
              <w:autoSpaceDE w:val="0"/>
              <w:widowControl/>
              <w:spacing w:line="245" w:lineRule="auto" w:before="22" w:after="0"/>
              <w:ind w:left="444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 single pool of multiplex PCR primers used to preparation of libraries from cell-free DNA (cfDNA) obtained from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plasma fraction of a single tube of whole blood. In process quality controls were determined for prepared library.</w:t>
            </w:r>
          </w:p>
          <w:p>
            <w:pPr>
              <w:autoSpaceDN w:val="0"/>
              <w:autoSpaceDE w:val="0"/>
              <w:widowControl/>
              <w:spacing w:line="245" w:lineRule="auto" w:before="22" w:after="0"/>
              <w:ind w:left="444" w:right="115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libraries were sequenced at minimum mean depth: &gt;</w:t>
            </w:r>
            <w:r>
              <w:rPr>
                <w:rFonts w:ascii="Cambria" w:hAnsi="Cambria" w:eastAsia="Cambria"/>
                <w:b/>
                <w:i w:val="0"/>
                <w:color w:val="000000"/>
                <w:sz w:val="20"/>
              </w:rPr>
              <w:t>20,000x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on Illumina Novaseq 6000 next generation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 platform.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444" w:right="72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Highly automated workflow and streamlined bioinformatics analysis pipeline were used to provide a SNVs, Indels,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 and as part of the streamlined bioinformatics workflow, the mutational signature plot were generated.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0"/>
        <w:ind w:left="716" w:right="0" w:firstLine="0"/>
        <w:jc w:val="left"/>
      </w:pPr>
      <w:r>
        <w:rPr>
          <w:rFonts w:ascii="Cambria" w:hAnsi="Cambria" w:eastAsia="Cambria"/>
          <w:b/>
          <w:i w:val="0"/>
          <w:color w:val="1F497D"/>
          <w:sz w:val="20"/>
        </w:rPr>
        <w:t>Table:TEST NAME Gene List.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300"/>
          <w:cantSplit w:val="true"/>
          <w:tblHeader w:val="true"/>
        </w:trPr>
        <w:tc>
          <w:tcPr>
            <w:tcW w:type="dxa" w:w="10702"/>
            <w:tcBorders>
              <w:start w:sz="12.0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0"/>
              </w:rPr>
              <w:t>Gene List (93 Genes)</w:t>
            </w:r>
          </w:p>
        </w:tc>
      </w:tr>
      <w:tr>
        <w:trPr>
          <w:trHeight w:hRule="atLeast" w:val="1416"/>
          <w:cantSplit w:val="true"/>
        </w:trPr>
        <w:tc>
          <w:tcPr>
            <w:tcW w:type="dxa" w:w="10702"/>
            <w:tcBorders>
              <w:start w:sz="12.0" w:val="single" w:color="#000000"/>
              <w:top w:sz="6.400000000000091" w:val="single" w:color="#000000"/>
              <w:end w:sz="5.600000000000364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ACVR1B, CDKN2A, GEN1, NCOR1, SEPT9, AKT1, CHEK2, HERC1, NEK2, SMAD4, APC, CSMD1, HOXB13, NF1, SMARCA4, AR,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CTNNB1, IRAK4, PALB2, STK11, ATM, DIRAS3, ITCH, PALLD, SYNE1, ATR, EGFR, KMT2C, PBRM1, TGFB1, AXIN2, EP300,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KRAS, PCGF2, TP53, BAP1, EPCAM, MAP2K4, PIK3CA, TRAF5, BARD1, ERBB2, MAP3K1, PIK3R1, VHL, BLM, ERBB3, MDM2,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PMS1, WEE1, BMPR1A, ERCC4, MED12, PMS2, XRCC2, BRCA1, ESR1, MEN1, PPM1L, XRCC3, BRCA2, EXOC2, MLH1, PTEN,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ZBED4, BRIP1, EXT2, MRE11A, PTGFR, CASP8, FAM175A, MSH2, RAD50, CBFB, FANCC, MSH6, RAD51, CCND1, FBXO32,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MUC16, RAD51C, CDH1, FGFR1, MUTYH, RAD51D, CDK4, FGFR2, MYC, RB1, CDK6, GATA3, NBN, RET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308"/>
          <w:cantSplit w:val="true"/>
          <w:tblHeader w:val="true"/>
        </w:trPr>
        <w:tc>
          <w:tcPr>
            <w:tcW w:type="dxa" w:w="10702"/>
            <w:tcBorders>
              <w:start w:sz="12.0" w:val="single" w:color="#000000"/>
              <w:top w:sz="5.599999999999909" w:val="single" w:color="#000000"/>
              <w:end w:sz="5.600000000000364" w:val="single" w:color="#000000"/>
              <w:bottom w:sz="11.200000000000728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84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4"/>
              </w:rPr>
              <w:t>Disclaimer:</w:t>
            </w:r>
          </w:p>
        </w:tc>
      </w:tr>
      <w:tr>
        <w:trPr>
          <w:trHeight w:hRule="atLeast" w:val="3332"/>
          <w:cantSplit w:val="true"/>
        </w:trPr>
        <w:tc>
          <w:tcPr>
            <w:tcW w:type="dxa" w:w="10702"/>
            <w:tcBorders>
              <w:start w:sz="12.0" w:val="single" w:color="#000000"/>
              <w:top w:sz="11.200000000000728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442" w:right="288" w:firstLine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This test is limited to listed genes analysis only, It should be noted that this test does not sequence all bases in a human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genome, not all variants have been identified or interpreted, and this report is limited only to variants with evidence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 causing or contributing to disease/clinical details provided to SN Gene Lab Pvt Ltd.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444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This assay is not meant to interrogate most promoter regions, deep intronic regions, or other regulatory elements, 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does not detect single or multi-exon deletions or duplications.</w:t>
            </w:r>
          </w:p>
          <w:p>
            <w:pPr>
              <w:autoSpaceDN w:val="0"/>
              <w:autoSpaceDE w:val="0"/>
              <w:widowControl/>
              <w:spacing w:line="245" w:lineRule="auto" w:before="6" w:after="0"/>
              <w:ind w:left="442" w:right="288" w:firstLine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Due to poor quality of cell-free total nucleic acid; cfTNA possibility of assay failure/compromised results that include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low gene coverage and low variant depth, cannot be ruled out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No Guarantee: By providing drug and clinical trial information for the reported diagnosis, Laboratory is not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guaranteeing that any drug or clinical trial is necessarily appropriate for this patient. Healthcare providers should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evaluate and interpret the information provided in this report, along with all other available clinical information about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this patient, to determine the best treatment decisions in their own independent medical judgment. Patient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management decisions should not be based on a single test, including this one, nor solely on the information contained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 this report.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Drugs: The drugs listed on the report are not ranked in any specific order as to predicted efficacy or appropriateness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64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616.0" w:type="dxa"/>
      </w:tblPr>
      <w:tblGrid>
        <w:gridCol w:w="9038"/>
      </w:tblGrid>
      <w:tr>
        <w:trPr>
          <w:trHeight w:hRule="atLeast" w:val="960"/>
          <w:cantSplit w:val="true"/>
        </w:trPr>
        <w:tc>
          <w:tcPr>
            <w:tcW w:type="dxa" w:w="10702"/>
            <w:tcBorders>
              <w:start w:sz="12.0" w:val="single" w:color="#000000"/>
              <w:top w:sz="6.400000000000091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442" w:right="576" w:firstLine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this patient. Laboratory makes no guarantee or promise as to the effectiveness or suitability (or lack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thereof) of any drug listed on this report. For more detailed information, healthcare providers should refer to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package insert for each FDA-approved drug listed in this report, and go to clinicaltrials.gov for information regarding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drugs in clinical trials.</w:t>
            </w:r>
          </w:p>
        </w:tc>
      </w:tr>
    </w:tbl>
    <w:p>
      <w:pPr>
        <w:autoSpaceDN w:val="0"/>
        <w:autoSpaceDE w:val="0"/>
        <w:widowControl/>
        <w:spacing w:line="324" w:lineRule="auto" w:before="320" w:after="0"/>
        <w:ind w:left="714" w:right="864" w:firstLine="0"/>
        <w:jc w:val="left"/>
      </w:pPr>
      <w:r>
        <w:rPr>
          <w:rFonts w:ascii="Cambria" w:hAnsi="Cambria" w:eastAsia="Cambria"/>
          <w:b/>
          <w:i/>
          <w:color w:val="1F497D"/>
          <w:sz w:val="20"/>
        </w:rPr>
        <w:t>References</w:t>
      </w:r>
      <w:r>
        <w:rPr>
          <w:rFonts w:ascii="Cambria" w:hAnsi="Cambria" w:eastAsia="Cambria"/>
          <w:b/>
          <w:i w:val="0"/>
          <w:color w:val="1F497D"/>
          <w:sz w:val="20"/>
        </w:rPr>
        <w:t xml:space="preserve">: </w:t>
      </w:r>
      <w:r>
        <w:rPr/>
        <w:br/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1. Li, MM, et al. Standards and Guidelines for the Interpretation and Reporting of Sequence Variants in Cancer: A Joint </w:t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Consensus Recommendation of the Association for Molecular Pathology, American Society of Clinical Oncology, and College of </w:t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American Pathologists. Journal of Molecular Diagnostics. 19.1 (2017): 4-23 </w:t>
      </w:r>
      <w:r>
        <w:rPr/>
        <w:br/>
      </w:r>
      <w:r>
        <w:rPr>
          <w:rFonts w:ascii="Cambria" w:hAnsi="Cambria" w:eastAsia="Cambria"/>
          <w:b w:val="0"/>
          <w:i/>
          <w:color w:val="000000"/>
          <w:sz w:val="20"/>
        </w:rPr>
        <w:t>2. N. Rizvi et al. Mutational landscape determines sensitivity to PD-1 blockade in non–small cell lung cancer. Science, 2015.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3. E. M. Van Allen et al. Genomic correlates of response to CTLA-4 blockade in metastatic melanoma. Science, 2015.</w:t>
      </w:r>
    </w:p>
    <w:p>
      <w:pPr>
        <w:autoSpaceDN w:val="0"/>
        <w:autoSpaceDE w:val="0"/>
        <w:widowControl/>
        <w:spacing w:line="259" w:lineRule="auto" w:before="306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4. Meyer, LR, et al. The UCSC Genome Browser database: extensions and updates 2013. Nucleic Acids Research, (2013). 41 </w:t>
      </w:r>
      <w:r>
        <w:rPr>
          <w:rFonts w:ascii="Cambria" w:hAnsi="Cambria" w:eastAsia="Cambria"/>
          <w:b w:val="0"/>
          <w:i/>
          <w:color w:val="000000"/>
          <w:sz w:val="20"/>
        </w:rPr>
        <w:t>(Databaseissue): D64-9.</w:t>
      </w:r>
    </w:p>
    <w:p>
      <w:pPr>
        <w:autoSpaceDN w:val="0"/>
        <w:autoSpaceDE w:val="0"/>
        <w:widowControl/>
        <w:spacing w:line="259" w:lineRule="auto" w:before="306" w:after="0"/>
        <w:ind w:left="714" w:right="864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5. Wilm A. et al. LoFreq: A sequence-quality aware, ultra-sensitive variant caller for uncovering cell-population heterogeneity </w:t>
      </w:r>
      <w:r>
        <w:rPr>
          <w:rFonts w:ascii="Cambria" w:hAnsi="Cambria" w:eastAsia="Cambria"/>
          <w:b w:val="0"/>
          <w:i/>
          <w:color w:val="000000"/>
          <w:sz w:val="20"/>
        </w:rPr>
        <w:t>from high-throughput sequencing datasets. Nucleic Acids Res., 2012. 40(22): 11189-11201.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6. Li H. et al. The Sequence Alignment/Map format and SAM tools. Bioinformatics, 2009. 25(16): 2078-9.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7. McLaren W. et al. The Ensembl Variant Effect Predictor. Genome Biology, 2016. 17(1): 122.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8. Daniel R.Z. et al. Ensembl 2018, Nucleic Acids Res., 2018. 46(D1): D754-D761.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9. The 1000 Genomes Project Consortium. A Global Reference for Human Genetic Variation. Nature. 526.7571 (2015): 68-74.</w:t>
      </w:r>
    </w:p>
    <w:p>
      <w:pPr>
        <w:autoSpaceDN w:val="0"/>
        <w:autoSpaceDE w:val="0"/>
        <w:widowControl/>
        <w:spacing w:line="240" w:lineRule="auto" w:before="306" w:after="0"/>
        <w:ind w:left="714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>10. Lek, M, et al. Analysis of Protein-Coding Genetic Variation in 60,706 Humans. Nature. 536.7616 (2016): 285-91.</w:t>
      </w:r>
    </w:p>
    <w:p>
      <w:pPr>
        <w:autoSpaceDN w:val="0"/>
        <w:autoSpaceDE w:val="0"/>
        <w:widowControl/>
        <w:spacing w:line="259" w:lineRule="auto" w:before="306" w:after="0"/>
        <w:ind w:left="714" w:right="1152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11. Schwarz JM, Cooper DN, Schuelke M and Seelow D. Mutationtaster2: mutation prediction for the deep-sequencing age. </w:t>
      </w:r>
      <w:r>
        <w:rPr>
          <w:rFonts w:ascii="Cambria" w:hAnsi="Cambria" w:eastAsia="Cambria"/>
          <w:b w:val="0"/>
          <w:i/>
          <w:color w:val="000000"/>
          <w:sz w:val="20"/>
        </w:rPr>
        <w:t>Nature Methods.2014; 11: 361-62.</w:t>
      </w:r>
    </w:p>
    <w:p>
      <w:pPr>
        <w:autoSpaceDN w:val="0"/>
        <w:autoSpaceDE w:val="0"/>
        <w:widowControl/>
        <w:spacing w:line="259" w:lineRule="auto" w:before="306" w:after="0"/>
        <w:ind w:left="714" w:right="720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12. R. Chaudharyet al. A scalable solution for tumor mutational burden from formalin-fixed, paraffin-embedded samples using </w:t>
      </w:r>
      <w:r>
        <w:rPr>
          <w:rFonts w:ascii="Cambria" w:hAnsi="Cambria" w:eastAsia="Cambria"/>
          <w:b w:val="0"/>
          <w:i/>
          <w:color w:val="000000"/>
          <w:sz w:val="20"/>
        </w:rPr>
        <w:t>the Oncomine Tumor Mutation Load Assay. Translational lung cancer research, 2018.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4146" w:after="0"/>
        <w:ind w:left="716" w:right="1296" w:firstLine="0"/>
        <w:jc w:val="lef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13. Li, H, and R, Durbin. Fast and accurate long-read alignment with Burrows-Wheeler transform. Bioinformatics. 26.5: </w:t>
      </w:r>
      <w:r>
        <w:rPr>
          <w:rFonts w:ascii="Cambria" w:hAnsi="Cambria" w:eastAsia="Cambria"/>
          <w:b w:val="0"/>
          <w:i/>
          <w:color w:val="000000"/>
          <w:sz w:val="20"/>
        </w:rPr>
        <w:t>(2010): 589-95.</w:t>
      </w:r>
    </w:p>
    <w:p>
      <w:pPr>
        <w:autoSpaceDN w:val="0"/>
        <w:autoSpaceDE w:val="0"/>
        <w:widowControl/>
        <w:spacing w:line="240" w:lineRule="auto" w:before="516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0"/>
        </w:rPr>
        <w:t>------------------ End Of Report ------------------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528" w:after="92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6"/>
        </w:rPr>
        <w:t>Sample Cancer Type:</w:t>
      </w:r>
      <w:r>
        <w:rPr>
          <w:rFonts w:ascii="Cambria" w:hAnsi="Cambria" w:eastAsia="Cambria"/>
          <w:b w:val="0"/>
          <w:i w:val="0"/>
          <w:color w:val="262262"/>
          <w:sz w:val="26"/>
        </w:rPr>
        <w:t xml:space="preserve">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4519"/>
        <w:gridCol w:w="4519"/>
      </w:tblGrid>
      <w:tr>
        <w:trPr>
          <w:trHeight w:hRule="atLeast" w:val="1892"/>
          <w:cantSplit w:val="true"/>
        </w:trPr>
        <w:tc>
          <w:tcPr>
            <w:tcW w:type="dxa" w:w="57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2875"/>
              <w:gridCol w:w="2875"/>
            </w:tblGrid>
            <w:tr>
              <w:trPr>
                <w:trHeight w:hRule="exact" w:val="1794"/>
              </w:trPr>
              <w:tc>
                <w:tcPr>
                  <w:tcW w:type="dxa" w:w="314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535758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954"/>
                  <w:tcBorders>
                    <w:start w:sz="12.0" w:val="single" w:color="#000000"/>
                    <w:top w:sz="5.599999999999909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64" w:val="left"/>
                    </w:tabs>
                    <w:autoSpaceDE w:val="0"/>
                    <w:widowControl/>
                    <w:spacing w:line="240" w:lineRule="auto" w:before="208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4"/>
                    </w:rPr>
                    <w:t xml:space="preserve">Table of Contents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Page</w:t>
                  </w:r>
                </w:p>
                <w:p>
                  <w:pPr>
                    <w:autoSpaceDN w:val="0"/>
                    <w:tabs>
                      <w:tab w:pos="4408" w:val="left"/>
                    </w:tabs>
                    <w:autoSpaceDE w:val="0"/>
                    <w:widowControl/>
                    <w:spacing w:line="240" w:lineRule="auto" w:before="88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Relevant Therapy Summary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2</w:t>
                  </w:r>
                </w:p>
                <w:p>
                  <w:pPr>
                    <w:autoSpaceDN w:val="0"/>
                    <w:tabs>
                      <w:tab w:pos="4408" w:val="left"/>
                    </w:tabs>
                    <w:autoSpaceDE w:val="0"/>
                    <w:widowControl/>
                    <w:spacing w:line="240" w:lineRule="auto" w:before="50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Relevant Therapy Details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3</w:t>
                  </w:r>
                </w:p>
                <w:p>
                  <w:pPr>
                    <w:autoSpaceDN w:val="0"/>
                    <w:tabs>
                      <w:tab w:pos="4408" w:val="left"/>
                    </w:tabs>
                    <w:autoSpaceDE w:val="0"/>
                    <w:widowControl/>
                    <w:spacing w:line="240" w:lineRule="auto" w:before="36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Clinical Trials Summary </w:t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8</w:t>
                  </w:r>
                </w:p>
                <w:p>
                  <w:pPr>
                    <w:autoSpaceDN w:val="0"/>
                    <w:tabs>
                      <w:tab w:pos="4292" w:val="left"/>
                    </w:tabs>
                    <w:autoSpaceDE w:val="0"/>
                    <w:widowControl/>
                    <w:spacing w:line="240" w:lineRule="auto" w:before="52" w:after="0"/>
                    <w:ind w:left="16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Biomarker Descriptions </w:t>
                  </w:r>
                  <w:r>
                    <w:tab/>
                  </w: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5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2795"/>
              <w:gridCol w:w="2795"/>
            </w:tblGrid>
            <w:tr>
              <w:trPr>
                <w:trHeight w:hRule="exact" w:val="1794"/>
              </w:trPr>
              <w:tc>
                <w:tcPr>
                  <w:tcW w:type="dxa" w:w="284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010"/>
                  <w:tcBorders>
                    <w:start w:sz="12.0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f1f1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208" w:after="0"/>
                    <w:ind w:left="198" w:right="288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4"/>
                    </w:rPr>
                    <w:t xml:space="preserve">Report Highlights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1 Relevant Biomarkers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 xml:space="preserve">3 Therapies Available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20"/>
                    </w:rPr>
                    <w:t>29 Clinical Trials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306" w:after="18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6"/>
        </w:rPr>
        <w:t>Relevant Biomarkers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atLeast" w:val="246"/>
          <w:cantSplit w:val="true"/>
          <w:tblHeader w:val="true"/>
        </w:trPr>
        <w:tc>
          <w:tcPr>
            <w:tcW w:type="dxa" w:w="5"/>
            <w:gridSpan w:val="5"/>
            <w:tcBorders>
              <w:top w:sz="18.400000000000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246"/>
          <w:cantSplit w:val="true"/>
        </w:trPr>
        <w:tc>
          <w:tcPr>
            <w:tcW w:type="dxa" w:w="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Tier</w:t>
            </w:r>
          </w:p>
        </w:tc>
        <w:tc>
          <w:tcPr>
            <w:tcW w:type="dxa" w:w="297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Genomic Alteration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Relevant Therapies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Relevant Therapies</w:t>
            </w:r>
          </w:p>
        </w:tc>
        <w:tc>
          <w:tcPr>
            <w:tcW w:type="dxa" w:w="17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0" w:right="0" w:firstLine="0"/>
              <w:jc w:val="righ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Clinical Trials</w:t>
            </w:r>
          </w:p>
        </w:tc>
      </w:tr>
      <w:tr>
        <w:trPr>
          <w:trHeight w:hRule="atLeast" w:val="250"/>
          <w:cantSplit w:val="true"/>
        </w:trPr>
        <w:tc>
          <w:tcPr>
            <w:tcW w:type="dxa" w:w="1808"/>
            <w:vMerge/>
            <w:tcBorders/>
          </w:tcPr>
          <w:p/>
        </w:tc>
        <w:tc>
          <w:tcPr>
            <w:tcW w:type="dxa" w:w="1808"/>
            <w:vMerge/>
            <w:tcBorders/>
          </w:tcPr>
          <w:p/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(In this cancer type)</w:t>
            </w:r>
          </w:p>
        </w:tc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5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6"/>
              </w:rPr>
              <w:t>(In other cancer type)</w:t>
            </w:r>
          </w:p>
        </w:tc>
        <w:tc>
          <w:tcPr>
            <w:tcW w:type="dxa" w:w="1808"/>
            <w:vMerge/>
            <w:tcBorders/>
          </w:tcPr>
          <w:p/>
        </w:tc>
      </w:tr>
      <w:tr>
        <w:trPr>
          <w:trHeight w:hRule="atLeast" w:val="290"/>
          <w:cantSplit w:val="true"/>
        </w:trPr>
        <w:tc>
          <w:tcPr>
            <w:tcW w:type="dxa" w:w="360"/>
            <w:vMerge w:val="restart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60"/>
            </w:tblGrid>
            <w:tr>
              <w:trPr>
                <w:trHeight w:hRule="exact" w:val="850"/>
              </w:trPr>
              <w:tc>
                <w:tcPr>
                  <w:tcW w:type="dxa" w:w="360"/>
                  <w:tcBorders/>
                  <w:shd w:fill="f1f1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333333"/>
                      <w:sz w:val="20"/>
                    </w:rPr>
                    <w:t>IA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76"/>
            <w:vMerge w:val="restart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 w:val="0"/>
                <w:i/>
                <w:color w:val="333333"/>
                <w:sz w:val="20"/>
              </w:rPr>
              <w:t>PIK3CA p.(C420R) c.1258T&gt;C</w:t>
            </w:r>
          </w:p>
        </w:tc>
        <w:tc>
          <w:tcPr>
            <w:tcW w:type="dxa" w:w="3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8"/>
              </w:rPr>
              <w:t>inavolisib + palbociclib + hormone</w:t>
            </w:r>
          </w:p>
        </w:tc>
        <w:tc>
          <w:tcPr>
            <w:tcW w:type="dxa" w:w="2360"/>
            <w:vMerge w:val="restart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None*</w:t>
            </w:r>
          </w:p>
        </w:tc>
        <w:tc>
          <w:tcPr>
            <w:tcW w:type="dxa" w:w="1700"/>
            <w:vMerge w:val="restart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4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29</w:t>
            </w:r>
          </w:p>
        </w:tc>
      </w:tr>
      <w:tr>
        <w:trPr>
          <w:trHeight w:hRule="atLeast" w:val="678"/>
          <w:cantSplit w:val="true"/>
        </w:trPr>
        <w:tc>
          <w:tcPr>
            <w:tcW w:type="dxa" w:w="1808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808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3360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</w:tabs>
              <w:autoSpaceDE w:val="0"/>
              <w:widowControl/>
              <w:spacing w:line="245" w:lineRule="auto" w:before="16" w:after="0"/>
              <w:ind w:left="416" w:right="216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2"/>
              </w:rPr>
              <w:t xml:space="preserve"> 1 </w:t>
            </w:r>
            <w:r>
              <w:rPr/>
              <w:br/>
            </w:r>
            <w:r>
              <w:rPr>
                <w:rFonts w:ascii="Cambria" w:hAnsi="Cambria" w:eastAsia="Cambria"/>
                <w:b/>
                <w:i w:val="0"/>
                <w:color w:val="333333"/>
                <w:sz w:val="18"/>
              </w:rPr>
              <w:t>therapy</w:t>
            </w:r>
          </w:p>
          <w:p>
            <w:pPr>
              <w:autoSpaceDN w:val="0"/>
              <w:tabs>
                <w:tab w:pos="2764" w:val="left"/>
              </w:tabs>
              <w:autoSpaceDE w:val="0"/>
              <w:widowControl/>
              <w:spacing w:line="245" w:lineRule="auto" w:before="0" w:after="0"/>
              <w:ind w:left="416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2"/>
              </w:rPr>
              <w:t xml:space="preserve"> 1, 2 </w:t>
            </w:r>
            <w:r>
              <w:rPr>
                <w:rFonts w:ascii="Cambria" w:hAnsi="Cambria" w:eastAsia="Cambria"/>
                <w:b/>
                <w:i w:val="0"/>
                <w:color w:val="333333"/>
                <w:sz w:val="18"/>
              </w:rPr>
              <w:t>alpelisib + hormone therapy</w:t>
            </w:r>
          </w:p>
          <w:p>
            <w:pPr>
              <w:autoSpaceDN w:val="0"/>
              <w:autoSpaceDE w:val="0"/>
              <w:widowControl/>
              <w:spacing w:line="278" w:lineRule="auto" w:before="0" w:after="0"/>
              <w:ind w:left="416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333333"/>
                <w:sz w:val="18"/>
              </w:rPr>
              <w:t>capivasertib + hormone therapy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2"/>
              </w:rPr>
              <w:t xml:space="preserve"> 1, 2</w:t>
            </w:r>
          </w:p>
        </w:tc>
        <w:tc>
          <w:tcPr>
            <w:tcW w:type="dxa" w:w="1808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808"/>
            <w:vMerge/>
            <w:tcBorders>
              <w:bottom w:sz="5.599999999999909" w:val="single" w:color="#000000"/>
            </w:tcBorders>
          </w:tcPr>
          <w:p/>
        </w:tc>
      </w:tr>
      <w:tr>
        <w:trPr>
          <w:trHeight w:hRule="atLeast" w:val="76"/>
          <w:cantSplit w:val="true"/>
        </w:trPr>
        <w:tc>
          <w:tcPr>
            <w:tcW w:type="dxa" w:w="3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976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36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4" w:lineRule="auto" w:before="62" w:after="0"/>
        <w:ind w:left="582" w:right="1152" w:firstLine="0"/>
        <w:jc w:val="left"/>
      </w:pPr>
      <w:r>
        <w:rPr>
          <w:rFonts w:ascii="Cambria" w:hAnsi="Cambria" w:eastAsia="Cambria"/>
          <w:b/>
          <w:i w:val="0"/>
          <w:color w:val="333333"/>
          <w:sz w:val="14"/>
        </w:rPr>
        <w:t>* Public data sources included in relevant therapies:</w:t>
      </w:r>
      <w:r>
        <w:rPr>
          <w:rFonts w:ascii="Cambria" w:hAnsi="Cambria" w:eastAsia="Cambria"/>
          <w:b/>
          <w:i w:val="0"/>
          <w:color w:val="333333"/>
          <w:sz w:val="14"/>
        </w:rPr>
        <w:t>FDA</w:t>
      </w:r>
      <w:r>
        <w:rPr>
          <w:rFonts w:ascii="Cambria" w:hAnsi="Cambria" w:eastAsia="Cambria"/>
          <w:b w:val="0"/>
          <w:i w:val="0"/>
          <w:color w:val="333333"/>
          <w:sz w:val="12"/>
        </w:rPr>
        <w:t>1</w:t>
      </w:r>
      <w:r>
        <w:rPr>
          <w:rFonts w:ascii="Cambria" w:hAnsi="Cambria" w:eastAsia="Cambria"/>
          <w:b w:val="0"/>
          <w:i w:val="0"/>
          <w:color w:val="333333"/>
          <w:sz w:val="14"/>
        </w:rPr>
        <w:t xml:space="preserve">, NCCN, </w:t>
      </w:r>
      <w:r>
        <w:rPr>
          <w:rFonts w:ascii="Cambria" w:hAnsi="Cambria" w:eastAsia="Cambria"/>
          <w:b/>
          <w:i w:val="0"/>
          <w:color w:val="333333"/>
          <w:sz w:val="14"/>
        </w:rPr>
        <w:t>EMA</w:t>
      </w:r>
      <w:r>
        <w:rPr>
          <w:rFonts w:ascii="Cambria" w:hAnsi="Cambria" w:eastAsia="Cambria"/>
          <w:b w:val="0"/>
          <w:i w:val="0"/>
          <w:color w:val="333333"/>
          <w:sz w:val="12"/>
        </w:rPr>
        <w:t>2</w:t>
      </w:r>
      <w:r>
        <w:rPr>
          <w:rFonts w:ascii="Cambria" w:hAnsi="Cambria" w:eastAsia="Cambria"/>
          <w:b w:val="0"/>
          <w:i w:val="0"/>
          <w:color w:val="333333"/>
          <w:sz w:val="14"/>
        </w:rPr>
        <w:t xml:space="preserve">, ESMO </w:t>
      </w:r>
      <w:r>
        <w:rPr/>
        <w:br/>
      </w:r>
      <w:r>
        <w:rPr>
          <w:rFonts w:ascii="Cambria" w:hAnsi="Cambria" w:eastAsia="Cambria"/>
          <w:b/>
          <w:i w:val="0"/>
          <w:color w:val="333333"/>
          <w:sz w:val="14"/>
        </w:rPr>
        <w:t>Tier Reference:</w:t>
      </w:r>
      <w:r>
        <w:rPr>
          <w:rFonts w:ascii="Cambria" w:hAnsi="Cambria" w:eastAsia="Cambria"/>
          <w:b w:val="0"/>
          <w:i w:val="0"/>
          <w:color w:val="333333"/>
          <w:sz w:val="14"/>
        </w:rPr>
        <w:t xml:space="preserve">  Li et al.  </w:t>
      </w:r>
      <w:r>
        <w:rPr>
          <w:rFonts w:ascii="Cambria" w:hAnsi="Cambria" w:eastAsia="Cambria"/>
          <w:b w:val="0"/>
          <w:i/>
          <w:color w:val="333333"/>
          <w:sz w:val="14"/>
        </w:rPr>
        <w:t xml:space="preserve">Standards and Guidelines for the Interpretation and Reporting of Sequence Variants in Cancer: A Joint Consensus Recommendation of the Association </w:t>
      </w:r>
      <w:r>
        <w:rPr>
          <w:rFonts w:ascii="Cambria" w:hAnsi="Cambria" w:eastAsia="Cambria"/>
          <w:b w:val="0"/>
          <w:i/>
          <w:color w:val="333333"/>
          <w:sz w:val="14"/>
        </w:rPr>
        <w:t>for Molecular Pathology, American Society of Clinical Oncology, and College of American Pathologists.</w:t>
      </w:r>
      <w:r>
        <w:rPr>
          <w:rFonts w:ascii="Cambria" w:hAnsi="Cambria" w:eastAsia="Cambria"/>
          <w:b w:val="0"/>
          <w:i w:val="0"/>
          <w:color w:val="333333"/>
          <w:sz w:val="14"/>
        </w:rPr>
        <w:t xml:space="preserve">  J Mol Diagn. 2017 Jan;19(1):4-23.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96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414"/>
          <w:cantSplit w:val="true"/>
        </w:trPr>
        <w:tc>
          <w:tcPr>
            <w:tcW w:type="dxa" w:w="3396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alpelisib + fulvestrant</w:t>
            </w:r>
          </w:p>
        </w:tc>
        <w:tc>
          <w:tcPr>
            <w:tcW w:type="dxa" w:w="228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54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2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340"/>
            <w:tcBorders>
              <w:top w:sz="11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67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92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atLeast" w:val="376"/>
          <w:cantSplit w:val="true"/>
        </w:trPr>
        <w:tc>
          <w:tcPr>
            <w:tcW w:type="dxa" w:w="444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3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capivasertib + fulvestrant</w:t>
            </w:r>
          </w:p>
        </w:tc>
        <w:tc>
          <w:tcPr>
            <w:tcW w:type="dxa" w:w="1260"/>
            <w:tcBorders>
              <w:start w:sz="12.0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630"/>
            <w:tcBorders>
              <w:start w:sz="6.400000000000091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3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630"/>
            <w:tcBorders>
              <w:start w:sz="5.600000000000364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404"/>
          <w:cantSplit w:val="true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inavolisib + palbociclib + fulvestrant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4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14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92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atLeast" w:val="388"/>
          <w:cantSplit w:val="true"/>
          <w:tblHeader w:val="true"/>
        </w:trPr>
        <w:tc>
          <w:tcPr>
            <w:tcW w:type="dxa" w:w="4440"/>
            <w:tcBorders>
              <w:start w:sz="12.0" w:val="single" w:color="#000000"/>
              <w:top w:sz="12.0" w:val="single" w:color="#000000"/>
              <w:end w:sz="12.0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alpelisib, hormone therapy</w:t>
            </w:r>
          </w:p>
        </w:tc>
        <w:tc>
          <w:tcPr>
            <w:tcW w:type="dxa" w:w="1260"/>
            <w:tcBorders>
              <w:start w:sz="12.0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start w:sz="6.400000000000091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</w:t>
            </w:r>
          </w:p>
        </w:tc>
        <w:tc>
          <w:tcPr>
            <w:tcW w:type="dxa" w:w="630"/>
            <w:tcBorders>
              <w:start w:sz="5.600000000000364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(IV)</w:t>
            </w:r>
          </w:p>
        </w:tc>
      </w:tr>
      <w:tr>
        <w:trPr>
          <w:trHeight w:hRule="atLeast" w:val="76"/>
          <w:cantSplit w:val="true"/>
        </w:trPr>
        <w:tc>
          <w:tcPr>
            <w:tcW w:type="dxa" w:w="4440"/>
            <w:tcBorders>
              <w:top w:sz="6.400000000000091" w:val="single" w:color="#000000"/>
              <w:bottom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400000000000091" w:val="single" w:color="#000000"/>
              <w:bottom w:sz="6.400000000000091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2388"/>
          <w:cantSplit w:val="true"/>
          <w:tblHeader w:val="true"/>
        </w:trPr>
        <w:tc>
          <w:tcPr>
            <w:tcW w:type="dxa" w:w="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60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gedatolisib, palbociclib, hormone therapy, alpelisib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90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inavolisib, hormone therapy, palbociclib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(III)</w:t>
                  </w:r>
                </w:p>
              </w:tc>
            </w:tr>
            <w:tr>
              <w:trPr>
                <w:trHeight w:hRule="exact" w:val="74"/>
              </w:trPr>
              <w:tc>
                <w:tcPr>
                  <w:tcW w:type="dxa" w:w="4440"/>
                  <w:tcBorders>
                    <w:top w:sz="6.400000000000091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8" w:lineRule="auto" w:before="0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alpelisib + hormone therapy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404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alpelisib, hormone therapy, dapagliflozin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(II)</w:t>
                  </w:r>
                </w:p>
              </w:tc>
            </w:tr>
            <w:tr>
              <w:trPr>
                <w:trHeight w:hRule="exact" w:val="60"/>
              </w:trPr>
              <w:tc>
                <w:tcPr>
                  <w:tcW w:type="dxa" w:w="4440"/>
                  <w:tcBorders>
                    <w:top w:sz="5.599999999999909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5.599999999999909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everolimus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78"/>
              </w:trPr>
              <w:tc>
                <w:tcPr>
                  <w:tcW w:type="dxa" w:w="4440"/>
                  <w:tcBorders>
                    <w:start w:sz="6.400000000000006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everolimus + chemotherapy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6.400000000000091" w:val="single" w:color="#000000"/>
                    <w:end w:sz="5.600000000000364" w:val="single" w:color="#000000"/>
                    <w:bottom w:sz="6.400000000000091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62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6.400000000000091" w:val="single" w:color="#000000"/>
                    <w:end w:sz="6.399999999999636" w:val="single" w:color="#000000"/>
                    <w:bottom w:sz="6.400000000000091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II)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374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everolimus, hormone therapy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4" w:after="0"/>
              <w:ind w:left="0" w:right="7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(II)</w:t>
            </w:r>
          </w:p>
        </w:tc>
      </w:tr>
      <w:tr>
        <w:trPr>
          <w:trHeight w:hRule="atLeast" w:val="3626"/>
          <w:cantSplit w:val="true"/>
        </w:trPr>
        <w:tc>
          <w:tcPr>
            <w:tcW w:type="dxa" w:w="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74"/>
              </w:trPr>
              <w:tc>
                <w:tcPr>
                  <w:tcW w:type="dxa" w:w="4440"/>
                  <w:tcBorders>
                    <w:start w:sz="6.400000000000006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inavolisib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400000000000091" w:val="single" w:color="#000000"/>
                    <w:end w:sz="6.400000000000091" w:val="single" w:color="#000000"/>
                    <w:bottom w:sz="5.599999999999909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6.400000000000091" w:val="single" w:color="#000000"/>
                    <w:end w:sz="5.600000000000364" w:val="single" w:color="#000000"/>
                    <w:bottom w:sz="5.599999999999909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0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6.400000000000091" w:val="single" w:color="#000000"/>
                    <w:end w:sz="6.399999999999636" w:val="single" w:color="#000000"/>
                    <w:bottom w:sz="5.599999999999909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II)</w:t>
                  </w:r>
                </w:p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8" w:lineRule="auto" w:before="86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MEN-1611, chemotherapy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90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PIK3CA inhibitor, hormone therapy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(II)</w:t>
                  </w:r>
                </w:p>
              </w:tc>
            </w:tr>
            <w:tr>
              <w:trPr>
                <w:trHeight w:hRule="exact" w:val="76"/>
              </w:trPr>
              <w:tc>
                <w:tcPr>
                  <w:tcW w:type="dxa" w:w="4440"/>
                  <w:tcBorders>
                    <w:top w:sz="6.400000000000091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0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alpelisib + elacestrant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(I/II)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90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evexomostat, alpelisib, hormone therapy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6.400000000000091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44" w:right="144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(I/ </w:t>
                  </w:r>
                  <w:r>
                    <w:br/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II)</w:t>
                  </w:r>
                </w:p>
              </w:tc>
            </w:tr>
            <w:tr>
              <w:trPr>
                <w:trHeight w:hRule="exact" w:val="74"/>
              </w:trPr>
              <w:tc>
                <w:tcPr>
                  <w:tcW w:type="dxa" w:w="4440"/>
                  <w:tcBorders>
                    <w:top w:sz="6.400000000000091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6.400000000000091" w:val="single" w:color="#000000"/>
                    <w:bottom w:sz="5.599999999999909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8" w:lineRule="auto" w:before="0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HTL-0039732, atezolizumab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(I/II)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404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JS-105, hormone therapy, dalpiciclib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5.599999999999909" w:val="single" w:color="#000000"/>
                    <w:end w:sz="6.400000000000091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5.599999999999909" w:val="single" w:color="#000000"/>
                    <w:end w:sz="6.400000000000091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5.599999999999909" w:val="single" w:color="#000000"/>
                    <w:end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599999999999909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44" w:right="144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 xml:space="preserve">(I/ </w:t>
                  </w:r>
                  <w:r>
                    <w:br/>
                  </w: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II)</w:t>
                  </w:r>
                </w:p>
              </w:tc>
            </w:tr>
            <w:tr>
              <w:trPr>
                <w:trHeight w:hRule="exact" w:val="60"/>
              </w:trPr>
              <w:tc>
                <w:tcPr>
                  <w:tcW w:type="dxa" w:w="4440"/>
                  <w:tcBorders>
                    <w:top w:sz="5.600000000000364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5.600000000000364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afuresertib, hormone therapy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98"/>
              </w:trPr>
              <w:tc>
                <w:tcPr>
                  <w:tcW w:type="dxa" w:w="4440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HH-CYH33, hormone therapy, palbociclib</w:t>
                  </w:r>
                </w:p>
              </w:tc>
              <w:tc>
                <w:tcPr>
                  <w:tcW w:type="dxa" w:w="1260"/>
                  <w:tcBorders>
                    <w:start w:sz="12.0" w:val="single" w:color="#000000"/>
                    <w:top w:sz="6.399999999999636" w:val="single" w:color="#000000"/>
                    <w:end w:sz="6.400000000000091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start w:sz="6.400000000000091" w:val="single" w:color="#000000"/>
                    <w:top w:sz="6.399999999999636" w:val="single" w:color="#000000"/>
                    <w:end w:sz="5.600000000000364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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6.399999999999636" w:val="single" w:color="#000000"/>
                    <w:end w:sz="6.399999999999636" w:val="single" w:color="#000000"/>
                    <w:bottom w:sz="11.200000000000728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/>
                      <w:i w:val="0"/>
                      <w:color w:val="FFFFFF"/>
                      <w:sz w:val="19"/>
                    </w:rPr>
                    <w:t>(I)</w:t>
                  </w:r>
                </w:p>
              </w:tc>
            </w:tr>
            <w:tr>
              <w:trPr>
                <w:trHeight w:hRule="exact" w:val="48"/>
              </w:trPr>
              <w:tc>
                <w:tcPr>
                  <w:tcW w:type="dxa" w:w="4440"/>
                  <w:tcBorders>
                    <w:top w:sz="11.200000000000728" w:val="single" w:color="#000000"/>
                    <w:bottom w:sz="12.0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6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30"/>
                  <w:tcBorders>
                    <w:top w:sz="11.200000000000728" w:val="single" w:color="#000000"/>
                    <w:bottom w:sz="5.600000000000364" w:val="single" w:color="#000000"/>
                  </w:tcBorders>
                  <w:shd w:fill="1f497d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334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HS-10352, hormone therapy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0" w:right="7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</w:tc>
      </w:tr>
      <w:tr>
        <w:trPr>
          <w:trHeight w:hRule="atLeast" w:val="406"/>
          <w:cantSplit w:val="true"/>
        </w:trPr>
        <w:tc>
          <w:tcPr>
            <w:tcW w:type="dxa" w:w="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59"/>
              </w:trPr>
              <w:tc>
                <w:tcPr>
                  <w:tcW w:type="dxa" w:w="4440"/>
                  <w:tcBorders>
                    <w:start w:sz="6.400000000000006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inavolisib, atezolizumab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6.399999999999636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6.399999999999636" w:val="single" w:color="#000000"/>
                    <w:end w:sz="5.600000000000364" w:val="single" w:color="#000000"/>
                    <w:bottom w:sz="5.600000000000364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4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6.399999999999636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390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inavolisib, chemotherapy, trastuzumab, pertuzumab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70" w:after="0"/>
              <w:ind w:left="0" w:right="7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</w:tc>
      </w:tr>
      <w:tr>
        <w:trPr>
          <w:trHeight w:hRule="atLeast" w:val="1230"/>
          <w:cantSplit w:val="true"/>
        </w:trPr>
        <w:tc>
          <w:tcPr>
            <w:tcW w:type="dxa" w:w="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78"/>
              </w:trPr>
              <w:tc>
                <w:tcPr>
                  <w:tcW w:type="dxa" w:w="4440"/>
                  <w:tcBorders>
                    <w:start w:sz="6.400000000000006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8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IPN-60090, capivasertib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5.600000000000364" w:val="single" w:color="#000000"/>
                    <w:end w:sz="6.400000000000091" w:val="single" w:color="#000000"/>
                    <w:bottom w:sz="5.600000000000364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5.600000000000364" w:val="single" w:color="#000000"/>
                    <w:end w:sz="5.600000000000364" w:val="single" w:color="#000000"/>
                    <w:bottom w:sz="5.600000000000364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2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5.600000000000364" w:val="single" w:color="#000000"/>
                    <w:end w:sz="6.399999999999636" w:val="single" w:color="#000000"/>
                    <w:bottom w:sz="5.600000000000364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8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I)</w:t>
                  </w:r>
                </w:p>
              </w:tc>
            </w:tr>
          </w:tbl>
          <w:p>
            <w:pPr>
              <w:autoSpaceDN w:val="0"/>
              <w:tabs>
                <w:tab w:pos="5292" w:val="left"/>
                <w:tab w:pos="6552" w:val="left"/>
                <w:tab w:pos="7812" w:val="left"/>
                <w:tab w:pos="9072" w:val="left"/>
                <w:tab w:pos="10210" w:val="left"/>
              </w:tabs>
              <w:autoSpaceDE w:val="0"/>
              <w:widowControl/>
              <w:spacing w:line="295" w:lineRule="auto" w:before="84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JS-105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1620"/>
              <w:gridCol w:w="1620"/>
              <w:gridCol w:w="1620"/>
              <w:gridCol w:w="1620"/>
              <w:gridCol w:w="1620"/>
              <w:gridCol w:w="1620"/>
              <w:gridCol w:w="1620"/>
            </w:tblGrid>
            <w:tr>
              <w:trPr>
                <w:trHeight w:hRule="exact" w:val="366"/>
              </w:trPr>
              <w:tc>
                <w:tcPr>
                  <w:tcW w:type="dxa" w:w="4440"/>
                  <w:tcBorders>
                    <w:start w:sz="6.400000000000006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30" w:after="0"/>
                    <w:ind w:left="142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palbociclib, gedatolisib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1260"/>
                  <w:tcBorders>
                    <w:start w:sz="6.400000000000091" w:val="single" w:color="#000000"/>
                    <w:top w:sz="11.200000000000728" w:val="single" w:color="#000000"/>
                    <w:end w:sz="6.400000000000091" w:val="single" w:color="#000000"/>
                    <w:bottom w:sz="6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BBBBBB"/>
                      <w:sz w:val="24"/>
                    </w:rPr>
                    <w:t></w:t>
                  </w:r>
                </w:p>
              </w:tc>
              <w:tc>
                <w:tcPr>
                  <w:tcW w:type="dxa" w:w="630"/>
                  <w:tcBorders>
                    <w:start w:sz="6.400000000000091" w:val="single" w:color="#000000"/>
                    <w:top w:sz="11.200000000000728" w:val="single" w:color="#000000"/>
                    <w:end w:sz="5.600000000000364" w:val="single" w:color="#000000"/>
                    <w:bottom w:sz="6.399999999999636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44" w:after="0"/>
                    <w:ind w:left="0" w:right="0" w:firstLine="0"/>
                    <w:jc w:val="righ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555759"/>
                      <w:sz w:val="24"/>
                    </w:rPr>
                    <w:t>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(</w:t>
                  </w:r>
                </w:p>
              </w:tc>
              <w:tc>
                <w:tcPr>
                  <w:tcW w:type="dxa" w:w="630"/>
                  <w:tcBorders>
                    <w:start w:sz="5.600000000000364" w:val="single" w:color="#000000"/>
                    <w:top w:sz="11.200000000000728" w:val="single" w:color="#000000"/>
                    <w:end w:sz="6.399999999999636" w:val="single" w:color="#000000"/>
                    <w:bottom w:sz="6.399999999999636" w:val="single" w:color="#000000"/>
                  </w:tcBorders>
                  <w:shd w:fill="f1f2f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4" w:after="0"/>
                    <w:ind w:left="20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333333"/>
                      <w:sz w:val="18"/>
                    </w:rPr>
                    <w:t>I)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atLeast" w:val="300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RLY-2608, hormone therapy, palbociclib, ribociclib,</w:t>
            </w:r>
          </w:p>
        </w:tc>
        <w:tc>
          <w:tcPr>
            <w:tcW w:type="dxa" w:w="1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6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58" w:after="0"/>
              <w:ind w:left="0" w:right="7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4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PF-07220060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92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atLeast" w:val="390"/>
          <w:cantSplit w:val="true"/>
          <w:tblHeader w:val="true"/>
        </w:trPr>
        <w:tc>
          <w:tcPr>
            <w:tcW w:type="dxa" w:w="4440"/>
            <w:tcBorders>
              <w:start w:sz="12.0" w:val="single" w:color="#000000"/>
              <w:top w:sz="12.0" w:val="single" w:color="#000000"/>
              <w:end w:sz="12.0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SNV-4818, hormone therapy</w:t>
            </w:r>
          </w:p>
        </w:tc>
        <w:tc>
          <w:tcPr>
            <w:tcW w:type="dxa" w:w="1260"/>
            <w:tcBorders>
              <w:start w:sz="12.0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400000000000091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start w:sz="6.400000000000091" w:val="single" w:color="#000000"/>
              <w:top w:sz="5.600000000000364" w:val="single" w:color="#000000"/>
              <w:end w:sz="5.600000000000364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</w:t>
            </w:r>
          </w:p>
        </w:tc>
        <w:tc>
          <w:tcPr>
            <w:tcW w:type="dxa" w:w="630"/>
            <w:tcBorders>
              <w:start w:sz="5.600000000000364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FFFFFF"/>
                <w:sz w:val="19"/>
              </w:rPr>
              <w:t>(I)</w:t>
            </w:r>
          </w:p>
        </w:tc>
      </w:tr>
      <w:tr>
        <w:trPr>
          <w:trHeight w:hRule="atLeast" w:val="76"/>
          <w:cantSplit w:val="true"/>
        </w:trPr>
        <w:tc>
          <w:tcPr>
            <w:tcW w:type="dxa" w:w="4440"/>
            <w:tcBorders>
              <w:top w:sz="6.399999999999636" w:val="single" w:color="#000000"/>
              <w:bottom w:sz="12.0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399999999999636" w:val="single" w:color="#000000"/>
              <w:bottom w:sz="6.399999999999636" w:val="single" w:color="#000000"/>
            </w:tcBorders>
            <w:shd w:fill="1f497d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96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* Most advanced phase (IV, III, II/III, II, I/II, I) is shown and multiple clinical trials may be available.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96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1506"/>
        <w:gridCol w:w="1506"/>
        <w:gridCol w:w="1506"/>
        <w:gridCol w:w="1506"/>
        <w:gridCol w:w="1506"/>
        <w:gridCol w:w="1506"/>
      </w:tblGrid>
      <w:tr>
        <w:trPr>
          <w:trHeight w:hRule="atLeast" w:val="398"/>
          <w:cantSplit w:val="true"/>
        </w:trPr>
        <w:tc>
          <w:tcPr>
            <w:tcW w:type="dxa" w:w="2896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15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TOS-358</w:t>
            </w:r>
          </w:p>
        </w:tc>
        <w:tc>
          <w:tcPr>
            <w:tcW w:type="dxa" w:w="280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55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6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20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BBBBBB"/>
                <w:sz w:val="24"/>
              </w:rPr>
              <w:t></w:t>
            </w:r>
          </w:p>
        </w:tc>
        <w:tc>
          <w:tcPr>
            <w:tcW w:type="dxa" w:w="1340"/>
            <w:tcBorders>
              <w:top w:sz="11.199999999999818" w:val="single" w:color="#000000"/>
              <w:bottom w:sz="6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5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(I)</w:t>
            </w:r>
          </w:p>
        </w:tc>
      </w:tr>
    </w:tbl>
    <w:p>
      <w:pPr>
        <w:autoSpaceDN w:val="0"/>
        <w:autoSpaceDE w:val="0"/>
        <w:widowControl/>
        <w:spacing w:line="240" w:lineRule="auto" w:before="256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* Most advanced phase (IV, III, II/III, II, I/II, I) is shown and multiple clinical trials may be available.</w:t>
      </w:r>
    </w:p>
    <w:p>
      <w:pPr>
        <w:autoSpaceDN w:val="0"/>
        <w:autoSpaceDE w:val="0"/>
        <w:widowControl/>
        <w:spacing w:line="240" w:lineRule="auto" w:before="252" w:after="0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6"/>
        </w:rPr>
        <w:t>Relevant Therapy Details</w:t>
      </w:r>
    </w:p>
    <w:p>
      <w:pPr>
        <w:autoSpaceDN w:val="0"/>
        <w:autoSpaceDE w:val="0"/>
        <w:widowControl/>
        <w:spacing w:line="240" w:lineRule="auto" w:before="228" w:after="204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2"/>
        </w:rPr>
        <w:t>Current FDA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3013"/>
        <w:gridCol w:w="3013"/>
        <w:gridCol w:w="3013"/>
      </w:tblGrid>
      <w:tr>
        <w:trPr>
          <w:trHeight w:hRule="atLeast" w:val="420"/>
          <w:cantSplit w:val="true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this cancer type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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other cancer type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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this cancer type and other cancer types</w:t>
            </w:r>
          </w:p>
        </w:tc>
      </w:tr>
    </w:tbl>
    <w:p>
      <w:pPr>
        <w:autoSpaceDN w:val="0"/>
        <w:autoSpaceDE w:val="0"/>
        <w:widowControl/>
        <w:spacing w:line="240" w:lineRule="auto" w:before="116" w:after="140"/>
        <w:ind w:left="74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FDA information is current as of 2025-05-14. For the most up-to-date information, search www.fda.gov.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9038"/>
      </w:tblGrid>
      <w:tr>
        <w:trPr>
          <w:trHeight w:hRule="atLeast" w:val="346"/>
          <w:cantSplit w:val="true"/>
        </w:trPr>
        <w:tc>
          <w:tcPr>
            <w:tcW w:type="dxa" w:w="10756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FFFFFF"/>
                <w:sz w:val="24"/>
              </w:rPr>
              <w:t>PIK3CA p.(C420R) c.1258T&gt;C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12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alpelisib + fulvestrant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atLeast" w:val="332"/>
          <w:cantSplit w:val="true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Label as of: 2024-01-18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autoSpaceDE w:val="0"/>
        <w:widowControl/>
        <w:spacing w:line="240" w:lineRule="auto" w:before="7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5" w:lineRule="auto" w:before="210" w:after="0"/>
        <w:ind w:left="982" w:right="8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Indications and usage: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PIQRAY® is a kinase inhibitor indicated in combination with fulvestrant for the treatment of adults with hormone receptor (HR)-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positive, human epidermal growth factor receptor 2 (HER2)-negative, PIK3CA-mutated, advanced or metastatic breast cancer as </w:t>
      </w:r>
      <w:r>
        <w:rPr>
          <w:rFonts w:ascii="Cambria" w:hAnsi="Cambria" w:eastAsia="Cambria"/>
          <w:b w:val="0"/>
          <w:i w:val="0"/>
          <w:color w:val="333333"/>
          <w:sz w:val="18"/>
        </w:rPr>
        <w:t>detected by an FDA-approved test following progression on or after an endocrine-based regimen.</w:t>
      </w:r>
    </w:p>
    <w:p>
      <w:pPr>
        <w:autoSpaceDN w:val="0"/>
        <w:autoSpaceDE w:val="0"/>
        <w:widowControl/>
        <w:spacing w:line="240" w:lineRule="auto" w:before="19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</w:t>
      </w:r>
    </w:p>
    <w:p>
      <w:pPr>
        <w:autoSpaceDN w:val="0"/>
        <w:autoSpaceDE w:val="0"/>
        <w:widowControl/>
        <w:spacing w:line="240" w:lineRule="auto" w:before="10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https://www.accessdata.fda.gov/drugsatfda_docs/label/2024/212526s009lbl.pdf</w:t>
      </w:r>
    </w:p>
    <w:p>
      <w:pPr>
        <w:autoSpaceDN w:val="0"/>
        <w:autoSpaceDE w:val="0"/>
        <w:widowControl/>
        <w:spacing w:line="240" w:lineRule="auto" w:before="542" w:after="12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capivasertib + fulvestrant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atLeast" w:val="330"/>
          <w:cantSplit w:val="true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Label as of: 2025-02-13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autoSpaceDE w:val="0"/>
        <w:widowControl/>
        <w:spacing w:line="240" w:lineRule="auto" w:before="9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7" w:lineRule="auto" w:before="194" w:after="0"/>
        <w:ind w:left="982" w:right="72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Indications and usage: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TRUQAP® is a kinase inhibitor indicated, in combination with fulvestrant for the treatment of adult patients with hormone receptor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(HR)-positive, human epidermal growth factor receptor 2 (HER2)-negative, locally advanced or metastatic breast cancer with one </w:t>
      </w:r>
      <w:r>
        <w:rPr>
          <w:rFonts w:ascii="Cambria" w:hAnsi="Cambria" w:eastAsia="Cambria"/>
          <w:b w:val="0"/>
          <w:i w:val="0"/>
          <w:color w:val="333333"/>
          <w:sz w:val="18"/>
        </w:rPr>
        <w:t>or more PIK3CA/AKT1/PTEN-alterations as detected by an FDA-approved test following progression on at least one endocrine-</w:t>
      </w:r>
      <w:r>
        <w:rPr>
          <w:rFonts w:ascii="Cambria" w:hAnsi="Cambria" w:eastAsia="Cambria"/>
          <w:b w:val="0"/>
          <w:i w:val="0"/>
          <w:color w:val="333333"/>
          <w:sz w:val="18"/>
        </w:rPr>
        <w:t>based regimen in the metastatic setting or recurrence on or within 12 months of completing adjuvant therapy.</w:t>
      </w:r>
    </w:p>
    <w:p>
      <w:pPr>
        <w:autoSpaceDN w:val="0"/>
        <w:autoSpaceDE w:val="0"/>
        <w:widowControl/>
        <w:spacing w:line="240" w:lineRule="auto" w:before="17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</w:t>
      </w:r>
    </w:p>
    <w:p>
      <w:pPr>
        <w:autoSpaceDN w:val="0"/>
        <w:autoSpaceDE w:val="0"/>
        <w:widowControl/>
        <w:spacing w:line="240" w:lineRule="auto" w:before="10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https://www.accessdata.fda.gov/drugsatfda_docs/label/2025/218197s002lbl.pdf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3188" w:after="0"/>
        <w:ind w:left="982" w:right="72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Indications and usage: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ITOVEBI™ is a kinase inhibitor indicated in combination with palbociclib and fulvestrant for the treatment of adults with endocrine-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resistant, PIK3CA-mutated, hormone receptor (HR)-positive, human epidermal growth factor receptor 2 (HER2)-negative, locally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advanced or metastatic breast cancer, as detected by an FDA-approved test, following recurrence on or after completing adjuvant </w:t>
      </w:r>
      <w:r>
        <w:rPr>
          <w:rFonts w:ascii="Cambria" w:hAnsi="Cambria" w:eastAsia="Cambria"/>
          <w:b w:val="0"/>
          <w:i w:val="0"/>
          <w:color w:val="333333"/>
          <w:sz w:val="18"/>
        </w:rPr>
        <w:t>endocrine therapy.</w:t>
      </w:r>
    </w:p>
    <w:p>
      <w:pPr>
        <w:autoSpaceDN w:val="0"/>
        <w:autoSpaceDE w:val="0"/>
        <w:widowControl/>
        <w:spacing w:line="300" w:lineRule="auto" w:before="194" w:after="0"/>
        <w:ind w:left="982" w:right="44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https://www.accessdata.fda.gov/drugsatfda_docs/label/2024/219249s000lbl.pdf</w:t>
      </w:r>
    </w:p>
    <w:p>
      <w:pPr>
        <w:autoSpaceDN w:val="0"/>
        <w:autoSpaceDE w:val="0"/>
        <w:widowControl/>
        <w:spacing w:line="240" w:lineRule="auto" w:before="542" w:after="12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inavolisib + palbociclib + fulvestrant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atLeast" w:val="332"/>
          <w:cantSplit w:val="true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Label as of: 2025-04-23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autoSpaceDE w:val="0"/>
        <w:widowControl/>
        <w:spacing w:line="240" w:lineRule="auto" w:before="7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300" w:lineRule="auto" w:before="210" w:after="44"/>
        <w:ind w:left="982" w:right="763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Indications and usage: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IBRANCE® is a kinase inhibitor indicated: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560.0" w:type="dxa"/>
      </w:tblPr>
      <w:tblGrid>
        <w:gridCol w:w="3013"/>
        <w:gridCol w:w="3013"/>
        <w:gridCol w:w="3013"/>
      </w:tblGrid>
      <w:tr>
        <w:trPr>
          <w:trHeight w:hRule="atLeast" w:val="466"/>
          <w:cantSplit w:val="true"/>
          <w:tblHeader w:val="true"/>
        </w:trPr>
        <w:tc>
          <w:tcPr>
            <w:tcW w:type="dxa" w:w="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0"/>
              </w:rPr>
              <w:t></w:t>
            </w:r>
          </w:p>
          <w:p>
            <w:pPr>
              <w:autoSpaceDN w:val="0"/>
              <w:autoSpaceDE w:val="0"/>
              <w:widowControl/>
              <w:spacing w:line="242" w:lineRule="auto" w:before="948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0"/>
              </w:rPr>
              <w:t></w:t>
            </w:r>
          </w:p>
        </w:tc>
        <w:tc>
          <w:tcPr>
            <w:tcW w:type="dxa" w:w="3247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2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for the treatment of adult patients with hormone receptor (HR)-positive, human epidermal growth factor receptor 2 (HER2)-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negative advanced or metastatic breast cancer in combination with: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20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0"/>
              </w:rPr>
              <w:t></w:t>
            </w:r>
          </w:p>
        </w:tc>
        <w:tc>
          <w:tcPr>
            <w:tcW w:type="dxa" w:w="9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an aromatase inhibitor as initial endocrine-based therapy; or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6" w:after="0"/>
              <w:ind w:left="0" w:right="92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0"/>
              </w:rPr>
              <w:t></w:t>
            </w:r>
          </w:p>
        </w:tc>
        <w:tc>
          <w:tcPr>
            <w:tcW w:type="dxa" w:w="9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fulvestrant in patients with disease progression following endocrine therapy.</w:t>
            </w:r>
          </w:p>
        </w:tc>
      </w:tr>
      <w:tr>
        <w:trPr>
          <w:trHeight w:hRule="atLeast" w:val="490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33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in combination with inavolisib and fulvestrant for the treatment of adult patients with endocrine-resistant, PIK3CA-mutated,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HR-positive, HER2-negative, locally advanced or metastatic breast cancer, as detected by an FDA-approved test, following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13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recurrence on or after completing adjuvant endocrine therapy.</w:t>
      </w:r>
    </w:p>
    <w:p>
      <w:pPr>
        <w:autoSpaceDN w:val="0"/>
        <w:autoSpaceDE w:val="0"/>
        <w:widowControl/>
        <w:spacing w:line="300" w:lineRule="auto" w:before="178" w:after="0"/>
        <w:ind w:left="982" w:right="44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https://www.accessdata.fda.gov/drugsatfda_docs/label/2025/207103s020lbl.pdf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46" w:after="204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2"/>
        </w:rPr>
        <w:t>Current NCCN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3013"/>
        <w:gridCol w:w="3013"/>
        <w:gridCol w:w="3013"/>
      </w:tblGrid>
      <w:tr>
        <w:trPr>
          <w:trHeight w:hRule="atLeast" w:val="420"/>
          <w:cantSplit w:val="true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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this cancer type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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other cancer type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555759"/>
                <w:sz w:val="24"/>
              </w:rPr>
              <w:t>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6"/>
              </w:rPr>
              <w:t>In this cancer type and other cancer types</w:t>
            </w:r>
          </w:p>
        </w:tc>
      </w:tr>
    </w:tbl>
    <w:p>
      <w:pPr>
        <w:autoSpaceDN w:val="0"/>
        <w:autoSpaceDE w:val="0"/>
        <w:widowControl/>
        <w:spacing w:line="245" w:lineRule="auto" w:before="116" w:after="0"/>
        <w:ind w:left="742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NCCN information is current as of 2025-05-01. To view the most recent and complete version of the guideline, go online to </w:t>
      </w:r>
      <w:r>
        <w:rPr>
          <w:rFonts w:ascii="Cambria" w:hAnsi="Cambria" w:eastAsia="Cambria"/>
          <w:b w:val="0"/>
          <w:i w:val="0"/>
          <w:color w:val="333333"/>
          <w:sz w:val="18"/>
        </w:rPr>
        <w:t>NCCN.org.</w:t>
      </w:r>
    </w:p>
    <w:p>
      <w:pPr>
        <w:autoSpaceDN w:val="0"/>
        <w:autoSpaceDE w:val="0"/>
        <w:widowControl/>
        <w:spacing w:line="240" w:lineRule="auto" w:before="14" w:after="0"/>
        <w:ind w:left="74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For NCCN International Adaptations &amp; Translations, search www.nccn.org/global/what-we-do/international-adaptations.</w:t>
      </w:r>
    </w:p>
    <w:p>
      <w:pPr>
        <w:autoSpaceDN w:val="0"/>
        <w:autoSpaceDE w:val="0"/>
        <w:widowControl/>
        <w:spacing w:line="245" w:lineRule="auto" w:before="194" w:after="0"/>
        <w:ind w:left="742" w:right="8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Some variant specific evidence in this report may be associated with a broader set of alterations from the NCCN Guidelines. Specific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variants listed in this report were sourced from approved therapies or scientific literature. These therapeutic options are appropriate </w:t>
      </w:r>
      <w:r>
        <w:rPr>
          <w:rFonts w:ascii="Cambria" w:hAnsi="Cambria" w:eastAsia="Cambria"/>
          <w:b w:val="0"/>
          <w:i w:val="0"/>
          <w:color w:val="333333"/>
          <w:sz w:val="18"/>
        </w:rPr>
        <w:t>for certain population segments with cancer. Refer to the NCCN Guidelines® for full recommendation.</w:t>
      </w:r>
    </w:p>
    <w:p>
      <w:pPr>
        <w:autoSpaceDN w:val="0"/>
        <w:autoSpaceDE w:val="0"/>
        <w:widowControl/>
        <w:spacing w:line="245" w:lineRule="auto" w:before="208" w:after="140"/>
        <w:ind w:left="742" w:right="115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All guidelines cited below are referenced with permission from the NCCN Clinical Practice Guidelines in Oncology (NCCN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Guidelines®) National Comprehensive Cancer Network, Inc. 2023. All rights reserved. NCCN makes no warranties regarding their </w:t>
      </w:r>
      <w:r>
        <w:rPr>
          <w:rFonts w:ascii="Cambria" w:hAnsi="Cambria" w:eastAsia="Cambria"/>
          <w:b w:val="0"/>
          <w:i w:val="0"/>
          <w:color w:val="333333"/>
          <w:sz w:val="18"/>
        </w:rPr>
        <w:t>content.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584.0" w:type="dxa"/>
      </w:tblPr>
      <w:tblGrid>
        <w:gridCol w:w="9038"/>
      </w:tblGrid>
      <w:tr>
        <w:trPr>
          <w:trHeight w:hRule="atLeast" w:val="346"/>
          <w:cantSplit w:val="true"/>
        </w:trPr>
        <w:tc>
          <w:tcPr>
            <w:tcW w:type="dxa" w:w="10756"/>
            <w:tcBorders/>
            <w:shd w:fill="1f497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1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FFFFFF"/>
                <w:sz w:val="24"/>
              </w:rPr>
              <w:t>PIK3CA p.(C420R) c.1258T&gt;C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alpelisib + fulvestrant</w:t>
      </w:r>
    </w:p>
    <w:p>
      <w:pPr>
        <w:autoSpaceDN w:val="0"/>
        <w:tabs>
          <w:tab w:pos="5124" w:val="left"/>
        </w:tabs>
        <w:autoSpaceDE w:val="0"/>
        <w:widowControl/>
        <w:spacing w:line="240" w:lineRule="auto" w:before="18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Cancer type: Breast Cancer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Variant class: PIK3CA C420R mutation</w:t>
      </w:r>
    </w:p>
    <w:p>
      <w:pPr>
        <w:autoSpaceDN w:val="0"/>
        <w:autoSpaceDE w:val="0"/>
        <w:widowControl/>
        <w:spacing w:line="240" w:lineRule="auto" w:before="13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0" w:lineRule="auto" w:before="21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NCCN Recommendation category: 1</w:t>
      </w:r>
    </w:p>
    <w:p>
      <w:pPr>
        <w:autoSpaceDN w:val="0"/>
        <w:autoSpaceDE w:val="0"/>
        <w:widowControl/>
        <w:spacing w:line="240" w:lineRule="auto" w:before="21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Population segment (Line of therapy):</w:t>
      </w:r>
    </w:p>
    <w:p>
      <w:pPr>
        <w:autoSpaceDN w:val="0"/>
        <w:tabs>
          <w:tab w:pos="1382" w:val="left"/>
        </w:tabs>
        <w:autoSpaceDE w:val="0"/>
        <w:widowControl/>
        <w:spacing w:line="247" w:lineRule="auto" w:before="0" w:after="0"/>
        <w:ind w:left="1122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0"/>
        </w:rPr>
        <w:t>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Stage IV; Recurrent, Unresectable, Local, Regional, Invasive, Progression (Second-line therapy, Subsequent therapy); </w:t>
      </w:r>
      <w:r>
        <w:rPr>
          <w:rFonts w:ascii="Cambria" w:hAnsi="Cambria" w:eastAsia="Cambria"/>
          <w:b w:val="0"/>
          <w:i w:val="0"/>
          <w:color w:val="333333"/>
          <w:sz w:val="18"/>
        </w:rPr>
        <w:t>Preferred intervention</w:t>
      </w:r>
    </w:p>
    <w:p>
      <w:pPr>
        <w:autoSpaceDN w:val="0"/>
        <w:autoSpaceDE w:val="0"/>
        <w:widowControl/>
        <w:spacing w:line="240" w:lineRule="auto" w:before="19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 NCCN Guidelines® - NCCN-Breast Cancer [Version 4.2025]</w:t>
      </w:r>
    </w:p>
    <w:p>
      <w:pPr>
        <w:autoSpaceDN w:val="0"/>
        <w:autoSpaceDE w:val="0"/>
        <w:widowControl/>
        <w:spacing w:line="240" w:lineRule="auto" w:before="558" w:after="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capivasertib + fulvestrant</w:t>
      </w:r>
    </w:p>
    <w:p>
      <w:pPr>
        <w:autoSpaceDN w:val="0"/>
        <w:tabs>
          <w:tab w:pos="5124" w:val="left"/>
        </w:tabs>
        <w:autoSpaceDE w:val="0"/>
        <w:widowControl/>
        <w:spacing w:line="240" w:lineRule="auto" w:before="16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Cancer type: Breast Cancer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Variant class: PIK3CA C420R mutation</w:t>
      </w:r>
    </w:p>
    <w:p>
      <w:pPr>
        <w:autoSpaceDN w:val="0"/>
        <w:autoSpaceDE w:val="0"/>
        <w:widowControl/>
        <w:spacing w:line="240" w:lineRule="auto" w:before="14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0" w:lineRule="auto" w:before="20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NCCN Recommendation category: 1</w:t>
      </w:r>
    </w:p>
    <w:p>
      <w:pPr>
        <w:autoSpaceDN w:val="0"/>
        <w:autoSpaceDE w:val="0"/>
        <w:widowControl/>
        <w:spacing w:line="240" w:lineRule="auto" w:before="20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Population segment (Line of therapy):</w:t>
      </w:r>
    </w:p>
    <w:p>
      <w:pPr>
        <w:autoSpaceDN w:val="0"/>
        <w:tabs>
          <w:tab w:pos="1382" w:val="left"/>
        </w:tabs>
        <w:autoSpaceDE w:val="0"/>
        <w:widowControl/>
        <w:spacing w:line="245" w:lineRule="auto" w:before="0" w:after="0"/>
        <w:ind w:left="1122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0"/>
        </w:rPr>
        <w:t>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Stage IV; Recurrent, Unresectable, Local, Regional, Invasive, Progression (Second-line therapy, Subsequent therapy); </w:t>
      </w:r>
      <w:r>
        <w:rPr>
          <w:rFonts w:ascii="Cambria" w:hAnsi="Cambria" w:eastAsia="Cambria"/>
          <w:b w:val="0"/>
          <w:i w:val="0"/>
          <w:color w:val="333333"/>
          <w:sz w:val="18"/>
        </w:rPr>
        <w:t>Preferred intervention</w:t>
      </w:r>
    </w:p>
    <w:p>
      <w:pPr>
        <w:autoSpaceDN w:val="0"/>
        <w:autoSpaceDE w:val="0"/>
        <w:widowControl/>
        <w:spacing w:line="240" w:lineRule="auto" w:before="20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 NCCN Guidelines® - NCCN-Breast Cancer [Version 4.2025]</w:t>
      </w:r>
    </w:p>
    <w:p>
      <w:pPr>
        <w:autoSpaceDN w:val="0"/>
        <w:autoSpaceDE w:val="0"/>
        <w:widowControl/>
        <w:spacing w:line="240" w:lineRule="auto" w:before="542" w:after="0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inavolisib + palbociclib + fulvestrant</w:t>
      </w:r>
    </w:p>
    <w:p>
      <w:pPr>
        <w:autoSpaceDN w:val="0"/>
        <w:tabs>
          <w:tab w:pos="5124" w:val="left"/>
        </w:tabs>
        <w:autoSpaceDE w:val="0"/>
        <w:widowControl/>
        <w:spacing w:line="240" w:lineRule="auto" w:before="18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Cancer type: Breast Cancer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Variant class: PIK3CA C420R mutation</w:t>
      </w:r>
    </w:p>
    <w:p>
      <w:pPr>
        <w:autoSpaceDN w:val="0"/>
        <w:autoSpaceDE w:val="0"/>
        <w:widowControl/>
        <w:spacing w:line="240" w:lineRule="auto" w:before="15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240" w:lineRule="auto" w:before="21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NCCN Recommendation category: 1</w:t>
      </w:r>
    </w:p>
    <w:p>
      <w:pPr>
        <w:autoSpaceDN w:val="0"/>
        <w:autoSpaceDE w:val="0"/>
        <w:widowControl/>
        <w:spacing w:line="240" w:lineRule="auto" w:before="194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Population segment (Line of therapy):</w:t>
      </w:r>
    </w:p>
    <w:p>
      <w:pPr>
        <w:autoSpaceDN w:val="0"/>
        <w:tabs>
          <w:tab w:pos="1382" w:val="left"/>
        </w:tabs>
        <w:autoSpaceDE w:val="0"/>
        <w:widowControl/>
        <w:spacing w:line="254" w:lineRule="auto" w:before="14" w:after="0"/>
        <w:ind w:left="112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0"/>
        </w:rPr>
        <w:t></w:t>
      </w:r>
      <w:r>
        <w:rPr>
          <w:rFonts w:ascii="Cambria" w:hAnsi="Cambria" w:eastAsia="Cambria"/>
          <w:b w:val="0"/>
          <w:i w:val="0"/>
          <w:color w:val="333333"/>
          <w:sz w:val="18"/>
        </w:rPr>
        <w:t>Stage IV; Recurrent, Unresectable, Local, Regional, Invasive, Progression (First-line therapy); Useful in certain circumstances</w:t>
      </w:r>
    </w:p>
    <w:p>
      <w:pPr>
        <w:autoSpaceDN w:val="0"/>
        <w:autoSpaceDE w:val="0"/>
        <w:widowControl/>
        <w:spacing w:line="240" w:lineRule="auto" w:before="18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Reference: NCCN Guidelines® - NCCN-Breast Cancer [Version 4.2025]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4554" w:after="0"/>
        <w:ind w:left="982" w:right="259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https://www.ema.europa.eu/en/documents/product-information/piqray-epar-product-information_en.pdf</w:t>
      </w:r>
    </w:p>
    <w:p>
      <w:pPr>
        <w:autoSpaceDN w:val="0"/>
        <w:autoSpaceDE w:val="0"/>
        <w:widowControl/>
        <w:spacing w:line="240" w:lineRule="auto" w:before="556" w:after="106"/>
        <w:ind w:left="630" w:right="0" w:firstLine="0"/>
        <w:jc w:val="left"/>
      </w:pPr>
      <w:r>
        <w:rPr>
          <w:rFonts w:ascii="Cambria" w:hAnsi="Cambria" w:eastAsia="Cambria"/>
          <w:b w:val="0"/>
          <w:i w:val="0"/>
          <w:color w:val="555759"/>
          <w:sz w:val="24"/>
        </w:rPr>
        <w:t></w:t>
      </w:r>
      <w:r>
        <w:rPr>
          <w:rFonts w:ascii="Cambria" w:hAnsi="Cambria" w:eastAsia="Cambria"/>
          <w:b w:val="0"/>
          <w:i w:val="0"/>
          <w:color w:val="333333"/>
          <w:sz w:val="22"/>
        </w:rPr>
        <w:t>capivasertib + fulvestrant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3013"/>
        <w:gridCol w:w="3013"/>
        <w:gridCol w:w="3013"/>
      </w:tblGrid>
      <w:tr>
        <w:trPr>
          <w:trHeight w:hRule="atLeast" w:val="330"/>
          <w:cantSplit w:val="true"/>
        </w:trPr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Label as of: 2025-03-07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autoSpaceDE w:val="0"/>
        <w:widowControl/>
        <w:spacing w:line="240" w:lineRule="auto" w:before="90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Other criteria: ERBB2 negative, Hormone receptor positive</w:t>
      </w:r>
    </w:p>
    <w:p>
      <w:pPr>
        <w:autoSpaceDN w:val="0"/>
        <w:autoSpaceDE w:val="0"/>
        <w:widowControl/>
        <w:spacing w:line="300" w:lineRule="auto" w:before="210" w:after="0"/>
        <w:ind w:left="982" w:right="259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https://www.ema.europa.eu/en/documents/product-information/truqap-epar-product-information_en.pdf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28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480.0" w:type="dxa"/>
      </w:tblPr>
      <w:tblGrid>
        <w:gridCol w:w="4519"/>
        <w:gridCol w:w="4519"/>
      </w:tblGrid>
      <w:tr>
        <w:trPr>
          <w:trHeight w:hRule="atLeast" w:val="332"/>
          <w:cantSplit w:val="true"/>
        </w:trPr>
        <w:tc>
          <w:tcPr>
            <w:tcW w:type="dxa" w:w="3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5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Cancer type: Breast Cancer</w:t>
            </w:r>
          </w:p>
        </w:tc>
        <w:tc>
          <w:tcPr>
            <w:tcW w:type="dxa" w:w="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2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Variant class: PIK3CA C420R mutation</w:t>
            </w:r>
          </w:p>
        </w:tc>
      </w:tr>
    </w:tbl>
    <w:p>
      <w:pPr>
        <w:autoSpaceDN w:val="0"/>
        <w:tabs>
          <w:tab w:pos="1122" w:val="left"/>
          <w:tab w:pos="1382" w:val="left"/>
        </w:tabs>
        <w:autoSpaceDE w:val="0"/>
        <w:widowControl/>
        <w:spacing w:line="358" w:lineRule="auto" w:before="74" w:after="0"/>
        <w:ind w:left="982" w:right="144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Other criteria: ERBB2 negative, ER positive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ESMO Level of Evidence/Grade of Recommendation: I / B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>Population segment (Line of therapy):</w:t>
      </w:r>
      <w:r>
        <w:rPr/>
        <w:br/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0"/>
        </w:rPr>
        <w:t>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Luminal A; Advanced, Metastatic (Second-line therapy); ESMO-MCBS v1.1 score: 2 </w:t>
      </w:r>
      <w:r>
        <w:rPr/>
        <w:br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Reference: ESMO Clinical Practice Guidelines - ESMO-Metastatic Breast Cancer [Ann Oncol (2021) VOLUME 32, ISSUE 12, </w:t>
      </w:r>
      <w:r>
        <w:rPr>
          <w:rFonts w:ascii="Cambria" w:hAnsi="Cambria" w:eastAsia="Cambria"/>
          <w:b w:val="0"/>
          <w:i w:val="0"/>
          <w:color w:val="333333"/>
          <w:sz w:val="18"/>
        </w:rPr>
        <w:t>P1475-1495, DECEMBER 01, 2021; DOI:https://doi.org/10.1016/j.annonc.2021.09.019]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478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Pl3Kα-Selective Inhibitor RP903 (JS105) in Subjects with Advanced Malignancies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NCT05631795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ALPelisib INdia Safety STudy (ALPINIST): A Phase IV, Prospective, Multicenter, Open-label, Non-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6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IV</w:t>
            </w:r>
          </w:p>
        </w:tc>
      </w:tr>
      <w:tr>
        <w:trPr>
          <w:trHeight w:hRule="atLeast" w:val="21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comparative, Interventional Study to Assess the Safety of Alpelisib Plus Fulvestrant, in Men and Post-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87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menopausal Women With HR Positive, HER2-negative, Advanced Breast Cancer (aBC) With a PIK3CA </w:t>
      </w:r>
      <w:r>
        <w:rPr>
          <w:rFonts w:ascii="Cambria" w:hAnsi="Cambria" w:eastAsia="Cambria"/>
          <w:b w:val="0"/>
          <w:i w:val="0"/>
          <w:color w:val="333333"/>
          <w:sz w:val="18"/>
        </w:rPr>
        <w:t>Mutation, Whose Disease Has Progressed on or After Endocrine Based Treatment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6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NCT05486143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Phase III, Open-Label, Randomized, Study Comparing Gedatolisib Combined With Fulvestrant &amp; With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72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or Without Palbociclib to Standard-of-Care Therapies in Patients With HR-Positive, HER2-Negative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Advanced Breast Cancer Previously Treated With a CDK4/6 Inhibitor in Combination w/Non-Steroidal </w:t>
      </w:r>
      <w:r>
        <w:rPr>
          <w:rFonts w:ascii="Cambria" w:hAnsi="Cambria" w:eastAsia="Cambria"/>
          <w:b w:val="0"/>
          <w:i w:val="0"/>
          <w:color w:val="333333"/>
          <w:sz w:val="18"/>
        </w:rPr>
        <w:t>Aromatase Inhibitor Therapy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6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NCT06790693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III, Multicenter, Randomized, Double-Blind, Placebo-Controlled Study Evaluating the Efficacy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245" w:lineRule="auto" w:before="8" w:after="118"/>
        <w:ind w:left="2196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and Safety of Inavolisib Plus a CDK4/6 Inhibitor and Letrozole Versus Placebo Plus a CDK4/6 Inhibitor </w:t>
      </w:r>
      <w:r>
        <w:rPr>
          <w:rFonts w:ascii="Cambria" w:hAnsi="Cambria" w:eastAsia="Cambria"/>
          <w:b w:val="0"/>
          <w:i w:val="0"/>
          <w:color w:val="333333"/>
          <w:sz w:val="18"/>
        </w:rPr>
        <w:t>and Letrozole in Patients With Endocrine-Sensitive PIK3CA-Mutated, Hormone Receptor-Positive, HER2-</w:t>
      </w:r>
      <w:r>
        <w:rPr>
          <w:rFonts w:ascii="Cambria" w:hAnsi="Cambria" w:eastAsia="Cambria"/>
          <w:b w:val="0"/>
          <w:i w:val="0"/>
          <w:color w:val="333333"/>
          <w:sz w:val="18"/>
        </w:rPr>
        <w:t>Negative Advanced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52"/>
          <w:cantSplit w:val="true"/>
          <w:tblHeader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NCT05933395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Genetically-informed Therapy for ER+ Breast Cancer in a Post-CDK4/6 Inhibitor Setting: a Phase II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312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NCT04762979</w:t>
            </w:r>
          </w:p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Umbrella Study (GERTRUDE)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29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II, Single Arm, Non-randomized Study of Alpelisib (BYL719) in Combination With Continued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87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Endocrine Therapy Following Progression on Endocrine Therapy in Hormone Receptor Positive, HER2 </w:t>
      </w:r>
      <w:r>
        <w:rPr>
          <w:rFonts w:ascii="Cambria" w:hAnsi="Cambria" w:eastAsia="Cambria"/>
          <w:b w:val="0"/>
          <w:i w:val="0"/>
          <w:color w:val="333333"/>
          <w:sz w:val="18"/>
        </w:rPr>
        <w:t>Negative, PIK3CA Mutant Metastatic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NCT05983107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Prospective Cohort, Open, Phase II Clinical Study of Chidamide/Everolimus Combined With Endocrine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21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Therapy for PIK3CA Wild-type/Mutant Hormone Receptor Positive/Human Epidermal Growth Factor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Receptor 2 Negative Advanced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NCT05332561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Genomics Guided Targeted Post-neoadjuvant Therapy in Patients With Early Breast Cancer - a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27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Multicenter, Open-label, Umbrella Phase-II Study - COGNITION-GUIDE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318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NCT05810870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Phase II Study for Patients With Advanced Triple Negative or Metaplastic HR-positive/HER2-negative,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40" w:lineRule="auto" w:before="6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PIK3CA/PTEN-altered Breast Cancer Treated With Eribulin in Combination With MEN1611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62"/>
          <w:cantSplit w:val="true"/>
          <w:tblHeader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NCT05594095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Precision Platform Study of HR+/ HER2-advanced Breast Cancer Based on SNF Typing (A Prospective,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68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302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NCT05563220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Open-label, Multi-center, Phase II Platform Study)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4" w:after="0"/>
              <w:ind w:left="0" w:right="53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atLeast" w:val="29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Ib/II, Open-Label Umbrella Study To Evaluate Safety And Efficacy Of Elacestrant In Various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Combination In Patients With Metastatic Breast Cancer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NCT05455619</w:t>
            </w:r>
          </w:p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Study to Assess the Safety and Efficacy of Evexomostat (SDX-7320) in Combination With A PI3K or Akt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atLeast" w:val="21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Inhibitor Plus Fulvestrant in Patients With HR+, HER2-, Metastatic Breast Cancer With PI3K Pathway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Alteration(s)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0"/>
          <w:cantSplit w:val="true"/>
          <w:tblHeader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NCT06208410</w:t>
            </w:r>
          </w:p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Clinical Study of JS105 in Combination With Other Anti-tumor Therapies in Patients With Advanced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I/II</w:t>
            </w:r>
          </w:p>
        </w:tc>
      </w:tr>
      <w:tr>
        <w:trPr>
          <w:trHeight w:hRule="atLeast" w:val="276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Solid Tumors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300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NCT04856371</w:t>
            </w:r>
          </w:p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Multicenter, Open-label, Phase Ib Study to Evaluate the Safety, Tolerability, Pharmacokinetics and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8" w:after="0"/>
              <w:ind w:left="26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2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Preliminary Efficacy of CYH33 in Combination With Endocrine Therapy With or Without Palbociclib in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6" w:after="0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Patients With PIK3CA Mutant, HR+, HER2- Advanced Breast Cancer.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4314" w:after="104"/>
        <w:ind w:left="2196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Patients with Locally Advanced or Metastatic Solid Tumors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52"/>
          <w:cantSplit w:val="true"/>
          <w:tblHeader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NCT05216432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First-in-Human Study of Mutant-selective PI3Kα Inhibitor, RLY-2608, As a Single Agent in Advanced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318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NCT05683418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Solid Tumor Patients and in Combination with Fulvestrant in Patients with Advanced Breast Cancer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2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82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Study to Evaluate the Safety and Tolerability of the Covalent Phosphoinositide-3-Kinase (PI3K)-alpha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312"/>
          <w:cantSplit w:val="true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NCT04851613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Inhibitor, TOS-358, in Adult Subjects with Select Solid Tumors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2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9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Ib/III Study to Evaluate the Efficacy and Safety of Afuresertib Plus Fulvestrant in Patients With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8" w:after="88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333333"/>
          <w:sz w:val="18"/>
        </w:rPr>
        <w:t>Locally Advanced or Metastatic HR+/HER2- Breast Cancer Who Failed Standard of Care Therapies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342"/>
          <w:cantSplit w:val="true"/>
          <w:tblHeader w:val="true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NCT04355858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Precision Treatment of Luminal Advanced Breast Cancer Based on Molecular Subtyping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NCT06736704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1, Open-Label Dose Escalation and Expansion Study of SNV4818 As Monotherapy or in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6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312"/>
          <w:cantSplit w:val="true"/>
        </w:trPr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NCT03239015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Combination with Other Anticancer Agents in Participants with Advanced Solid Tumors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94" w:after="0"/>
              <w:ind w:left="0" w:right="60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II</w:t>
            </w:r>
          </w:p>
        </w:tc>
      </w:tr>
      <w:tr>
        <w:trPr>
          <w:trHeight w:hRule="atLeast" w:val="36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Efficacy and Safety of Precision Therapy in Refractory Tumor (Long March Pathway)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280"/>
          <w:cantSplit w:val="true"/>
        </w:trPr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NCT06496568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I/Ib Study Evaluating Single-Agent Inavolisib and Inavolisib Plus Atezolizumab in PIK3CA-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6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318"/>
          <w:cantSplit w:val="true"/>
        </w:trPr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NCT05039801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Mutated Cancers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0" w:right="6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82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Phase I Open-Label, Dose-Escalation and Dose-Expansion Study to Investigate the Safety,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228"/>
          <w:cantSplit w:val="true"/>
        </w:trPr>
        <w:tc>
          <w:tcPr>
            <w:tcW w:type="dxa" w:w="16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No NCT ID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Pharmacokinetics, and Anti-Tumor Activity of IACS-6274 as Monotherapy and in Combination in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4" w:after="0"/>
              <w:ind w:left="0" w:right="66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  <w:tr>
        <w:trPr>
          <w:trHeight w:hRule="atLeast" w:val="294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Patients With Advanced Solid Tumors</w:t>
            </w:r>
          </w:p>
        </w:tc>
        <w:tc>
          <w:tcPr>
            <w:tcW w:type="dxa" w:w="3013"/>
            <w:vMerge/>
            <w:tcBorders/>
          </w:tcPr>
          <w:p/>
        </w:tc>
      </w:tr>
      <w:tr>
        <w:trPr>
          <w:trHeight w:hRule="atLeast" w:val="298"/>
          <w:cantSplit w:val="true"/>
        </w:trPr>
        <w:tc>
          <w:tcPr>
            <w:tcW w:type="dxa" w:w="3013"/>
            <w:vMerge/>
            <w:tcBorders/>
          </w:tcPr>
          <w:p/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Phase I/Ib Clinical Study of the Safety, Tolerability, Pharmacokinetics and Preliminary Efficacy and</w:t>
            </w:r>
          </w:p>
        </w:tc>
        <w:tc>
          <w:tcPr>
            <w:tcW w:type="dxa" w:w="3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72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Indication Cohort Expansion of the Selective PI3Kα Inhibitor RP903 (Also Known as JS105) in Patients </w:t>
      </w:r>
      <w:r>
        <w:rPr>
          <w:rFonts w:ascii="Cambria" w:hAnsi="Cambria" w:eastAsia="Cambria"/>
          <w:b w:val="0"/>
          <w:i w:val="0"/>
          <w:color w:val="333333"/>
          <w:sz w:val="18"/>
        </w:rPr>
        <w:t>with Advanced Malignancies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6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NCT03065062</w:t>
            </w:r>
          </w:p>
        </w:tc>
        <w:tc>
          <w:tcPr>
            <w:tcW w:type="dxa" w:w="8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Phase I Study of the CDK4/6 Inhibitor Palbociclib (PD-0332991) in Combination With the PI3K/mTOR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5" w:lineRule="auto" w:before="8" w:after="104"/>
        <w:ind w:left="2196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Inhibitor Gedatolisib (PF-05212384) for Patients With Advanced Squamous Cell Lung, Pancreatic, Head </w:t>
      </w:r>
      <w:r>
        <w:rPr>
          <w:rFonts w:ascii="Cambria" w:hAnsi="Cambria" w:eastAsia="Cambria"/>
          <w:b w:val="0"/>
          <w:i w:val="0"/>
          <w:color w:val="333333"/>
          <w:sz w:val="18"/>
        </w:rPr>
        <w:t>&amp; Neck and Other Solid Tumors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atLeast" w:val="276"/>
          <w:cantSplit w:val="true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A3D85"/>
                <w:sz w:val="18"/>
              </w:rPr>
              <w:t>NCT05944237</w:t>
            </w:r>
          </w:p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5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A Cancer Research UK Phase I/IIa Trial of HTL0039732, Given Orally as Monotherapy and in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53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I/II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2196" w:right="172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Combination With Immunotherapy or Other Approved Therapies in Participants With Advanced Solid </w:t>
      </w:r>
      <w:r>
        <w:rPr>
          <w:rFonts w:ascii="Cambria" w:hAnsi="Cambria" w:eastAsia="Cambria"/>
          <w:b w:val="0"/>
          <w:i w:val="0"/>
          <w:color w:val="333333"/>
          <w:sz w:val="18"/>
        </w:rPr>
        <w:t>Tumours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228" w:after="0"/>
        <w:ind w:left="582" w:right="0" w:firstLine="0"/>
        <w:jc w:val="left"/>
      </w:pPr>
      <w:r>
        <w:rPr>
          <w:rFonts w:ascii="Cambria" w:hAnsi="Cambria" w:eastAsia="Cambria"/>
          <w:b w:val="0"/>
          <w:i/>
          <w:color w:val="333333"/>
          <w:sz w:val="18"/>
        </w:rPr>
        <w:t>phosphatidylinositol-4,5-bisphosphate 3-kinase catalytic subunit alpha</w:t>
      </w:r>
    </w:p>
    <w:p>
      <w:pPr>
        <w:autoSpaceDN w:val="0"/>
        <w:autoSpaceDE w:val="0"/>
        <w:widowControl/>
        <w:spacing w:line="257" w:lineRule="auto" w:before="208" w:after="0"/>
        <w:ind w:left="582" w:right="864" w:firstLine="0"/>
        <w:jc w:val="left"/>
      </w:pPr>
      <w:r>
        <w:rPr>
          <w:rFonts w:ascii="Cambria" w:hAnsi="Cambria" w:eastAsia="Cambria"/>
          <w:b w:val="0"/>
          <w:i w:val="0"/>
          <w:strike/>
          <w:color w:val="333333"/>
          <w:sz w:val="18"/>
        </w:rPr>
        <w:t xml:space="preserve">Background: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The PIK3CA gene encodes the phosphatidylinositol-4,5-bisphosphate 3-kinase catalytic subunit alpha of the class I </w:t>
      </w:r>
      <w:r>
        <w:rPr>
          <w:rFonts w:ascii="Cambria" w:hAnsi="Cambria" w:eastAsia="Cambria"/>
          <w:b w:val="0"/>
          <w:i w:val="0"/>
          <w:color w:val="333333"/>
          <w:sz w:val="18"/>
        </w:rPr>
        <w:t>phosphatidylinositol 3-kinase (PI3K) enzyme</w:t>
      </w:r>
      <w:r>
        <w:rPr>
          <w:rFonts w:ascii="Cambria" w:hAnsi="Cambria" w:eastAsia="Cambria"/>
          <w:b w:val="0"/>
          <w:i w:val="0"/>
          <w:color w:val="333333"/>
          <w:sz w:val="12"/>
        </w:rPr>
        <w:t>1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PI3K is a heterodimer that contains a p85 regulatory subunit, which couples one of four </w:t>
      </w:r>
      <w:r>
        <w:rPr>
          <w:rFonts w:ascii="Cambria" w:hAnsi="Cambria" w:eastAsia="Cambria"/>
          <w:b w:val="0"/>
          <w:i w:val="0"/>
          <w:color w:val="333333"/>
          <w:sz w:val="18"/>
        </w:rPr>
        <w:t>p110 catalytic subunits to activated tyrosine protein kinases</w:t>
      </w:r>
      <w:r>
        <w:rPr>
          <w:rFonts w:ascii="Cambria" w:hAnsi="Cambria" w:eastAsia="Cambria"/>
          <w:b w:val="0"/>
          <w:i w:val="0"/>
          <w:color w:val="333333"/>
          <w:sz w:val="12"/>
        </w:rPr>
        <w:t>2,3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The p110 catalytic subunits include p110α, β, δ, γ and are encoded by </w:t>
      </w:r>
      <w:r>
        <w:rPr>
          <w:rFonts w:ascii="Cambria" w:hAnsi="Cambria" w:eastAsia="Cambria"/>
          <w:b w:val="0"/>
          <w:i w:val="0"/>
          <w:color w:val="333333"/>
          <w:sz w:val="18"/>
        </w:rPr>
        <w:t>genes PIK3CA, PIK3CB, PIK3CD, and PIK3CG, respectively</w:t>
      </w:r>
      <w:r>
        <w:rPr>
          <w:rFonts w:ascii="Cambria" w:hAnsi="Cambria" w:eastAsia="Cambria"/>
          <w:b w:val="0"/>
          <w:i w:val="0"/>
          <w:color w:val="333333"/>
          <w:sz w:val="12"/>
        </w:rPr>
        <w:t>2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PI3K catalyzes the conversion of phosphatidylinositol (4,5)-bisphosphate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(PI(4,5)P2) into phosphatidylinositol (3,4,5)-trisphosphate (PI(3,4,5)P3) while the phosphatase and tensin homolog (PTEN) catalyzes </w:t>
      </w:r>
      <w:r>
        <w:rPr>
          <w:rFonts w:ascii="Cambria" w:hAnsi="Cambria" w:eastAsia="Cambria"/>
          <w:b w:val="0"/>
          <w:i w:val="0"/>
          <w:color w:val="333333"/>
          <w:sz w:val="18"/>
        </w:rPr>
        <w:t>the reverse reaction</w:t>
      </w:r>
      <w:r>
        <w:rPr>
          <w:rFonts w:ascii="Cambria" w:hAnsi="Cambria" w:eastAsia="Cambria"/>
          <w:b w:val="0"/>
          <w:i w:val="0"/>
          <w:color w:val="333333"/>
          <w:sz w:val="12"/>
        </w:rPr>
        <w:t>4,5</w:t>
      </w:r>
      <w:r>
        <w:rPr>
          <w:rFonts w:ascii="Cambria" w:hAnsi="Cambria" w:eastAsia="Cambria"/>
          <w:b w:val="0"/>
          <w:i w:val="0"/>
          <w:color w:val="333333"/>
          <w:sz w:val="18"/>
        </w:rPr>
        <w:t>. The reversible phosphorylation of inositol lipids regulates diverse aspects of cell growth and metabolism</w:t>
      </w:r>
      <w:r>
        <w:rPr>
          <w:rFonts w:ascii="Cambria" w:hAnsi="Cambria" w:eastAsia="Cambria"/>
          <w:b w:val="0"/>
          <w:i w:val="0"/>
          <w:color w:val="333333"/>
          <w:sz w:val="12"/>
        </w:rPr>
        <w:t>4,5,6,7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69" w:lineRule="auto" w:before="0" w:after="0"/>
        <w:ind w:left="582" w:right="1296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Recurrent somatic alterations in PIK3CA are frequent in cancer and result in the activation of PI3K/AKT/MTOR pathway, which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can influence several hallmarks of cancer including cell proliferation, apoptosis, cancer cell metabolism and invasion, and genetic </w:t>
      </w:r>
      <w:r>
        <w:rPr>
          <w:rFonts w:ascii="Cambria" w:hAnsi="Cambria" w:eastAsia="Cambria"/>
          <w:b w:val="0"/>
          <w:i w:val="0"/>
          <w:color w:val="333333"/>
          <w:sz w:val="18"/>
        </w:rPr>
        <w:t>instability</w:t>
      </w:r>
      <w:r>
        <w:rPr>
          <w:rFonts w:ascii="Cambria" w:hAnsi="Cambria" w:eastAsia="Cambria"/>
          <w:b w:val="0"/>
          <w:i w:val="0"/>
          <w:color w:val="333333"/>
          <w:sz w:val="12"/>
        </w:rPr>
        <w:t>8,9,10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76" w:lineRule="auto" w:before="144" w:after="0"/>
        <w:ind w:left="582" w:right="144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Alterations and prevalence: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Recurrent somatic activating mutations in PIK3CA are common in diverse cancers and are observed </w:t>
      </w:r>
      <w:r>
        <w:rPr>
          <w:rFonts w:ascii="Cambria" w:hAnsi="Cambria" w:eastAsia="Cambria"/>
          <w:b w:val="0"/>
          <w:i w:val="0"/>
          <w:color w:val="333333"/>
          <w:sz w:val="18"/>
        </w:rPr>
        <w:t>in 20-30% of breast, cervical, and uterine cancers and 10-20% of bladder, gastric, head and neck, and colorectal cancers</w:t>
      </w:r>
      <w:r>
        <w:rPr>
          <w:rFonts w:ascii="Cambria" w:hAnsi="Cambria" w:eastAsia="Cambria"/>
          <w:b w:val="0"/>
          <w:i w:val="0"/>
          <w:color w:val="333333"/>
          <w:sz w:val="12"/>
        </w:rPr>
        <w:t>11,12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62" w:lineRule="auto" w:before="0" w:after="0"/>
        <w:ind w:left="582" w:right="8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Activating mutations in PIK3CA commonly occur in exons 10 and 21 (previously referred to as exons 9 and 20 due to exon 1 being </w:t>
      </w:r>
      <w:r>
        <w:rPr>
          <w:rFonts w:ascii="Cambria" w:hAnsi="Cambria" w:eastAsia="Cambria"/>
          <w:b w:val="0"/>
          <w:i w:val="0"/>
          <w:color w:val="333333"/>
          <w:sz w:val="18"/>
        </w:rPr>
        <w:t>untranslated)</w:t>
      </w:r>
      <w:r>
        <w:rPr>
          <w:rFonts w:ascii="Cambria" w:hAnsi="Cambria" w:eastAsia="Cambria"/>
          <w:b w:val="0"/>
          <w:i w:val="0"/>
          <w:color w:val="333333"/>
          <w:sz w:val="12"/>
        </w:rPr>
        <w:t>13,14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These mutations typically cluster in the exon 10 helical (codons E542/E545) and exon 21 kinase (codon H1047) </w:t>
      </w:r>
      <w:r>
        <w:rPr>
          <w:rFonts w:ascii="Cambria" w:hAnsi="Cambria" w:eastAsia="Cambria"/>
          <w:b w:val="0"/>
          <w:i w:val="0"/>
          <w:color w:val="333333"/>
          <w:sz w:val="18"/>
        </w:rPr>
        <w:t>domains, each having distinct mechanisms of activation</w:t>
      </w:r>
      <w:r>
        <w:rPr>
          <w:rFonts w:ascii="Cambria" w:hAnsi="Cambria" w:eastAsia="Cambria"/>
          <w:b w:val="0"/>
          <w:i w:val="0"/>
          <w:color w:val="333333"/>
          <w:sz w:val="12"/>
        </w:rPr>
        <w:t>15,16,17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PIK3CA resides in the 3q26 cytoband, a region frequently amplified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(10-30%) in diverse cancers including squamous carcinomas of the lung, cervix, head and neck, and esophagus, and in serous ovarian </w:t>
      </w:r>
      <w:r>
        <w:rPr>
          <w:rFonts w:ascii="Cambria" w:hAnsi="Cambria" w:eastAsia="Cambria"/>
          <w:b w:val="0"/>
          <w:i w:val="0"/>
          <w:color w:val="333333"/>
          <w:sz w:val="18"/>
        </w:rPr>
        <w:t>and uterine cancers</w:t>
      </w:r>
      <w:r>
        <w:rPr>
          <w:rFonts w:ascii="Cambria" w:hAnsi="Cambria" w:eastAsia="Cambria"/>
          <w:b w:val="0"/>
          <w:i w:val="0"/>
          <w:color w:val="333333"/>
          <w:sz w:val="12"/>
        </w:rPr>
        <w:t>11,12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autoSpaceDN w:val="0"/>
        <w:autoSpaceDE w:val="0"/>
        <w:widowControl/>
        <w:spacing w:line="247" w:lineRule="auto" w:before="170" w:after="0"/>
        <w:ind w:left="582" w:right="720" w:firstLine="0"/>
        <w:jc w:val="left"/>
      </w:pPr>
      <w:r>
        <w:rPr>
          <w:rFonts w:ascii="Cambria" w:hAnsi="Cambria" w:eastAsia="Cambria"/>
          <w:b w:val="0"/>
          <w:i w:val="0"/>
          <w:strike/>
          <w:color w:val="333333"/>
          <w:sz w:val="18"/>
        </w:rPr>
        <w:t xml:space="preserve">Potential relevance: </w:t>
      </w:r>
      <w:r>
        <w:rPr>
          <w:rFonts w:ascii="Cambria" w:hAnsi="Cambria" w:eastAsia="Cambria"/>
          <w:b w:val="0"/>
          <w:i w:val="0"/>
          <w:color w:val="333333"/>
          <w:sz w:val="18"/>
        </w:rPr>
        <w:t>The PI3K inhibitor, alpelisib</w:t>
      </w:r>
      <w:r>
        <w:rPr>
          <w:rFonts w:ascii="Cambria" w:hAnsi="Cambria" w:eastAsia="Cambria"/>
          <w:b w:val="0"/>
          <w:i w:val="0"/>
          <w:color w:val="333333"/>
          <w:sz w:val="12"/>
        </w:rPr>
        <w:t>18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, is FDA-approved (2019) in combination with fulvestrant for the treatment of patients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with PIK3CA-mutated, hormone receptor (HR)-positive, human epidermal growth factor receptor 2 (HER2)-negative, advanced or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metastatic breast cancer. Additionally, a phase Ib study of alpelisib with letrozole in patients with metastatic estrogen receptor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(ER)-positive breast cancer showed the clinical benefit rate, defined as lack of disease progression ≥ 6 months, was 44% (7/16) in </w:t>
      </w:r>
      <w:r>
        <w:rPr>
          <w:rFonts w:ascii="Cambria" w:hAnsi="Cambria" w:eastAsia="Cambria"/>
          <w:b w:val="0"/>
          <w:i w:val="0"/>
          <w:color w:val="333333"/>
          <w:sz w:val="18"/>
        </w:rPr>
        <w:t>PIK3CA-mutated tumors and 20% (2/20) in PIK3CA wild-type tumors</w:t>
      </w:r>
      <w:r>
        <w:rPr>
          <w:rFonts w:ascii="Cambria" w:hAnsi="Cambria" w:eastAsia="Cambria"/>
          <w:b w:val="0"/>
          <w:i w:val="0"/>
          <w:color w:val="333333"/>
          <w:sz w:val="12"/>
        </w:rPr>
        <w:t>19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Specifically, exon 20 H1047R mutations were associated </w:t>
      </w:r>
      <w:r>
        <w:rPr>
          <w:rFonts w:ascii="Cambria" w:hAnsi="Cambria" w:eastAsia="Cambria"/>
          <w:b w:val="0"/>
          <w:i w:val="0"/>
          <w:color w:val="333333"/>
          <w:sz w:val="18"/>
        </w:rPr>
        <w:t>with more durable clinical responses in comparison to exon 9 E545K mutations</w:t>
      </w:r>
      <w:r>
        <w:rPr>
          <w:rFonts w:ascii="Cambria" w:hAnsi="Cambria" w:eastAsia="Cambria"/>
          <w:b w:val="0"/>
          <w:i w:val="0"/>
          <w:color w:val="333333"/>
          <w:sz w:val="12"/>
        </w:rPr>
        <w:t>19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However, alpelisib did not improve response </w:t>
      </w:r>
      <w:r>
        <w:rPr>
          <w:rFonts w:ascii="Cambria" w:hAnsi="Cambria" w:eastAsia="Cambria"/>
          <w:b w:val="0"/>
          <w:i w:val="0"/>
          <w:color w:val="333333"/>
          <w:sz w:val="18"/>
        </w:rPr>
        <w:t>when administered with letrozole in patients with ER+ early breast cancer with PIK3CA mutations</w:t>
      </w:r>
      <w:r>
        <w:rPr>
          <w:rFonts w:ascii="Cambria" w:hAnsi="Cambria" w:eastAsia="Cambria"/>
          <w:b w:val="0"/>
          <w:i w:val="0"/>
          <w:color w:val="333333"/>
          <w:sz w:val="12"/>
        </w:rPr>
        <w:t>20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. The FDA also approved the </w:t>
      </w:r>
      <w:r>
        <w:rPr>
          <w:rFonts w:ascii="Cambria" w:hAnsi="Cambria" w:eastAsia="Cambria"/>
          <w:b w:val="0"/>
          <w:i w:val="0"/>
          <w:color w:val="333333"/>
          <w:sz w:val="18"/>
        </w:rPr>
        <w:t>kinase inhibitor, capivasertib (2023)</w:t>
      </w:r>
      <w:r>
        <w:rPr>
          <w:rFonts w:ascii="Cambria" w:hAnsi="Cambria" w:eastAsia="Cambria"/>
          <w:b w:val="0"/>
          <w:i w:val="0"/>
          <w:color w:val="333333"/>
          <w:sz w:val="12"/>
        </w:rPr>
        <w:t>21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 in combination with fulvestrant for locally advanced or metastatic HR-positive, HER2-negative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breast cancer with one or more PIK3CA/AKT1/PTEN-alterations following progression after endocrine treatment. The kinase </w:t>
      </w:r>
      <w:r>
        <w:rPr>
          <w:rFonts w:ascii="Cambria" w:hAnsi="Cambria" w:eastAsia="Cambria"/>
          <w:b w:val="0"/>
          <w:i w:val="0"/>
          <w:color w:val="333333"/>
          <w:sz w:val="18"/>
        </w:rPr>
        <w:t>inhibitor, inavolisib</w:t>
      </w:r>
      <w:r>
        <w:rPr>
          <w:rFonts w:ascii="Cambria" w:hAnsi="Cambria" w:eastAsia="Cambria"/>
          <w:b w:val="0"/>
          <w:i w:val="0"/>
          <w:color w:val="333333"/>
          <w:sz w:val="12"/>
        </w:rPr>
        <w:t>22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, is also FDA-approved (2024) in combination with palbociclib and fulvestrant for the treatment of adults with </w:t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endocrine-resistant, PIK3CA-mutated, HR-positive, and HER2-negative breast cancer. Case studies with mTOR inhibitors sirolimus and </w:t>
      </w:r>
      <w:r>
        <w:rPr>
          <w:rFonts w:ascii="Cambria" w:hAnsi="Cambria" w:eastAsia="Cambria"/>
          <w:b w:val="0"/>
          <w:i w:val="0"/>
          <w:color w:val="333333"/>
          <w:sz w:val="18"/>
        </w:rPr>
        <w:t>temsirolimus report isolated cases of clinical response in PIK3CA mutated refractory cancers</w:t>
      </w:r>
      <w:r>
        <w:rPr>
          <w:rFonts w:ascii="Cambria" w:hAnsi="Cambria" w:eastAsia="Cambria"/>
          <w:b w:val="0"/>
          <w:i w:val="0"/>
          <w:color w:val="333333"/>
          <w:sz w:val="12"/>
        </w:rPr>
        <w:t>23,24</w:t>
      </w:r>
      <w:r>
        <w:rPr>
          <w:rFonts w:ascii="Cambria" w:hAnsi="Cambria" w:eastAsia="Cambria"/>
          <w:b w:val="0"/>
          <w:i w:val="0"/>
          <w:color w:val="333333"/>
          <w:sz w:val="18"/>
        </w:rPr>
        <w:t>.</w:t>
      </w:r>
    </w:p>
    <w:p>
      <w:pPr>
        <w:sectPr>
          <w:pgSz w:w="11918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222" w:after="0"/>
        <w:ind w:left="582" w:right="0" w:firstLine="0"/>
        <w:jc w:val="left"/>
      </w:pPr>
      <w:r>
        <w:rPr>
          <w:rFonts w:ascii="Cambria" w:hAnsi="Cambria" w:eastAsia="Cambria"/>
          <w:b/>
          <w:i w:val="0"/>
          <w:color w:val="262262"/>
          <w:sz w:val="26"/>
        </w:rPr>
        <w:t>References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280" w:after="0"/>
        <w:ind w:left="582" w:right="100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Volinia et al. Molecular cloning, cDNA sequence, and chromosomal localization of the human phosphatidylinositol 3-kinase p110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alpha (PIK3CA) gene. Genomics. 1994 Dec;24(3):472-7. PMID: 7713498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38"/>
        <w:ind w:left="582" w:right="1728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Whale et al. Functional characterization of a novel somatic oncogenic mutation of PIK3CB. Signal Transduct Target Ther.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2017;2:17063. PMID: 29279775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4519"/>
        <w:gridCol w:w="4519"/>
      </w:tblGrid>
      <w:tr>
        <w:trPr>
          <w:trHeight w:hRule="atLeast" w:val="3268"/>
          <w:cantSplit w:val="true"/>
        </w:trPr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36" w:after="0"/>
              <w:ind w:left="302" w:right="17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3.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4.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5.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6.</w:t>
            </w:r>
          </w:p>
          <w:p>
            <w:pPr>
              <w:autoSpaceDN w:val="0"/>
              <w:autoSpaceDE w:val="0"/>
              <w:widowControl/>
              <w:spacing w:line="240" w:lineRule="auto" w:before="298" w:after="0"/>
              <w:ind w:left="0" w:right="17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7.</w:t>
            </w:r>
          </w:p>
          <w:p>
            <w:pPr>
              <w:autoSpaceDN w:val="0"/>
              <w:autoSpaceDE w:val="0"/>
              <w:widowControl/>
              <w:spacing w:line="290" w:lineRule="auto" w:before="298" w:after="0"/>
              <w:ind w:left="288" w:right="176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8.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9.</w:t>
            </w:r>
          </w:p>
          <w:p>
            <w:pPr>
              <w:autoSpaceDN w:val="0"/>
              <w:autoSpaceDE w:val="0"/>
              <w:widowControl/>
              <w:spacing w:line="283" w:lineRule="auto" w:before="298" w:after="0"/>
              <w:ind w:left="288" w:right="70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10.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11.</w:t>
            </w:r>
          </w:p>
        </w:tc>
        <w:tc>
          <w:tcPr>
            <w:tcW w:type="dxa" w:w="10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5" w:lineRule="auto" w:before="36" w:after="0"/>
              <w:ind w:left="82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Osaki et al. PI3K-Akt pathway: its functions and alterations in human cancer. Apoptosis. 2004 Nov;9(6):667-76. PMID: 15505410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Cantley. The phosphoinositide 3-kinase pathway. Science. 2002 May 31;296(5573):1655-7. PMID: 12040186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Fruman et al. The PI3K Pathway in Human Disease. Cell. 2017 Aug 10;170(4):605-635. PMID: 28802037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Engelman et al. The evolution of phosphatidylinositol 3-kinases as regulators of growth and metabolism. Nat. Rev. Genet. 2006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Aug;7(8):606-19. PMID: 16847462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Vanhaesebroeck et al. PI3K signalling: the path to discovery and understanding. Nat. Rev. Mol. Cell Biol. 2012 Feb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23;13(3):195-203. PMID: 22358332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Yuan et al. PI3K pathway alterations in cancer: variations on a theme. Oncogene. 2008 Sep 18;27(41):5497-510. PMID: 18794884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Liu et al. Targeting the phosphoinositide 3-kinase pathway in cancer. Nat Rev Drug Discov. 2009 Aug;8(8):627-44. PMID: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19644473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Hanahan et al. Hallmarks of cancer: the next generation. Cell. 2011 Mar 4;144(5):646-74. PMID: 21376230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Cerami et al. The cBio cancer genomics portal: an open platform for exploring multidimensional cancer genomics data. Cancer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Discov. 2012 May;2(5):401-4. PMID: 22588877</w:t>
      </w:r>
    </w:p>
    <w:p>
      <w:pPr>
        <w:autoSpaceDN w:val="0"/>
        <w:tabs>
          <w:tab w:pos="982" w:val="left"/>
        </w:tabs>
        <w:autoSpaceDE w:val="0"/>
        <w:widowControl/>
        <w:spacing w:line="240" w:lineRule="auto" w:before="88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12.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0"/>
        <w:ind w:left="582" w:right="2016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13.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Brito et al. PIK3CA Mutations in Diffuse Gliomas: An Update on Molecular Stratification, Prognosis, Recurrence, and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Aggressiveness. Clin Med Insights Oncol. 2022;16:11795549211068804. PMID: 35023985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44"/>
        <w:ind w:left="582" w:right="115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14.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Huret et al. Atlas of genetics and cytogenetics in oncology and haematology in 2013. Nucleic Acids Res. 2013 Jan;41(Database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issue):D920-4. PMID: 23161685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80.0" w:type="dxa"/>
      </w:tblPr>
      <w:tblGrid>
        <w:gridCol w:w="4519"/>
        <w:gridCol w:w="4519"/>
      </w:tblGrid>
      <w:tr>
        <w:trPr>
          <w:trHeight w:hRule="atLeast" w:val="1056"/>
          <w:cantSplit w:val="true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auto" w:before="44" w:after="0"/>
              <w:ind w:left="302" w:right="70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15.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16.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17.</w:t>
            </w:r>
          </w:p>
        </w:tc>
        <w:tc>
          <w:tcPr>
            <w:tcW w:type="dxa" w:w="10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82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 xml:space="preserve">Miled et al. Mechanism of two classes of cancer mutations in the phosphoinositide 3-kinase catalytic subunit. Science. 2007 Jul </w:t>
            </w: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13;317(5835):239-42. PMID: 17626883</w:t>
            </w:r>
          </w:p>
          <w:p>
            <w:pPr>
              <w:autoSpaceDN w:val="0"/>
              <w:autoSpaceDE w:val="0"/>
              <w:widowControl/>
              <w:spacing w:line="240" w:lineRule="auto" w:before="88" w:after="0"/>
              <w:ind w:left="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Burke et al. Synergy in activating class I PI3Ks. Trends Biochem. Sci. 2015 Feb;40(2):88-100. PMID: 25573003</w:t>
            </w:r>
          </w:p>
          <w:p>
            <w:pPr>
              <w:autoSpaceDN w:val="0"/>
              <w:autoSpaceDE w:val="0"/>
              <w:widowControl/>
              <w:spacing w:line="240" w:lineRule="auto" w:before="74" w:after="0"/>
              <w:ind w:left="8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333333"/>
                <w:sz w:val="18"/>
              </w:rPr>
              <w:t>Burke et al. Oncogenic mutations mimic and enhance dynamic events in the natural activation of phosphoinositide 3-kinase</w:t>
            </w:r>
          </w:p>
        </w:tc>
      </w:tr>
    </w:tbl>
    <w:p>
      <w:pPr>
        <w:autoSpaceDN w:val="0"/>
        <w:autoSpaceDE w:val="0"/>
        <w:widowControl/>
        <w:spacing w:line="240" w:lineRule="auto" w:before="8" w:after="0"/>
        <w:ind w:left="9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>p110α (PIK3CA). Proc. Natl. Acad. Sci. U.S.A. 2012 Sep 18;109(38):15259-64. PMID: 22949682</w:t>
      </w:r>
    </w:p>
    <w:p>
      <w:pPr>
        <w:autoSpaceDN w:val="0"/>
        <w:tabs>
          <w:tab w:pos="982" w:val="left"/>
        </w:tabs>
        <w:autoSpaceDE w:val="0"/>
        <w:widowControl/>
        <w:spacing w:line="240" w:lineRule="auto" w:before="88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18.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https://www.accessdata.fda.gov/drugsatfda_docs/label/2024/212526s009lbl.pdf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0"/>
        <w:ind w:left="582" w:right="1152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19.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Mayer et al. A Phase Ib Study of Alpelisib (BYL719), a PI3Kα-Specific Inhibitor, with Letrozole in ER+/HER2- Metastatic Breast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Cancer. Clin. Cancer Res. 2017 Jan 1;23(1):26-34. PMID: 27126994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0"/>
        <w:ind w:left="582" w:right="158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20.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Mayer et al. A Phase II Randomized Study of Neoadjuvant Letrozole Plus Alpelisib for Hormone Receptor-Positive, Human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Epidermal Growth Factor Receptor 2-Negative Breast Cancer (NEO-ORB). Clin. Cancer Res. 2019 Feb 5. PMID: 30723140</w:t>
      </w:r>
    </w:p>
    <w:p>
      <w:pPr>
        <w:autoSpaceDN w:val="0"/>
        <w:tabs>
          <w:tab w:pos="982" w:val="left"/>
        </w:tabs>
        <w:autoSpaceDE w:val="0"/>
        <w:widowControl/>
        <w:spacing w:line="240" w:lineRule="auto" w:before="88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21.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https://www.accessdata.fda.gov/drugsatfda_docs/label/2025/218197s002lbl.pdf</w:t>
      </w:r>
    </w:p>
    <w:p>
      <w:pPr>
        <w:autoSpaceDN w:val="0"/>
        <w:tabs>
          <w:tab w:pos="982" w:val="left"/>
        </w:tabs>
        <w:autoSpaceDE w:val="0"/>
        <w:widowControl/>
        <w:spacing w:line="240" w:lineRule="auto" w:before="74" w:after="0"/>
        <w:ind w:left="582" w:right="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22.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https://www.accessdata.fda.gov/drugsatfda_docs/label/2024/219249s000lbl.pdf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90" w:after="0"/>
        <w:ind w:left="582" w:right="1440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23.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Jung et al. Pilot study of sirolimus in patients with PIK3CA mutant/amplified refractory solid cancer. Mol Clin Oncol. 2017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Jul;7(1):27-31. PMID: 28685070</w:t>
      </w:r>
    </w:p>
    <w:p>
      <w:pPr>
        <w:autoSpaceDN w:val="0"/>
        <w:tabs>
          <w:tab w:pos="982" w:val="left"/>
        </w:tabs>
        <w:autoSpaceDE w:val="0"/>
        <w:widowControl/>
        <w:spacing w:line="247" w:lineRule="auto" w:before="74" w:after="0"/>
        <w:ind w:left="582" w:right="864" w:firstLine="0"/>
        <w:jc w:val="left"/>
      </w:pP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24.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 xml:space="preserve">Janku et al. PIK3CA mutations in patients with advanced cancers treated with PI3K/AKT/mTOR axis inhibitors. Mol. Cancer Ther. </w:t>
      </w:r>
      <w:r>
        <w:rPr/>
        <w:tab/>
      </w:r>
      <w:r>
        <w:rPr>
          <w:rFonts w:ascii="Cambria" w:hAnsi="Cambria" w:eastAsia="Cambria"/>
          <w:b w:val="0"/>
          <w:i w:val="0"/>
          <w:color w:val="333333"/>
          <w:sz w:val="18"/>
        </w:rPr>
        <w:t>2011 Mar;10(3):558-65. PMID: 21216929</w:t>
      </w:r>
    </w:p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Data Table (Source Page 1)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3"/>
        <w:gridCol w:w="3013"/>
        <w:gridCol w:w="3013"/>
      </w:tblGrid>
      <w:tr>
        <w:trPr>
          <w:cantSplit w:val="true"/>
          <w:tblHeader w:val="true"/>
        </w:trPr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Dr.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Salil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Vaniawala</w:t>
            </w:r>
          </w:p>
        </w:tc>
      </w:tr>
    </w:tbl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Data Table (Source Page 2)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3"/>
        <w:gridCol w:w="3013"/>
        <w:gridCol w:w="3013"/>
      </w:tblGrid>
      <w:tr>
        <w:trPr>
          <w:cantSplit w:val="true"/>
          <w:tblHeader w:val="true"/>
        </w:trPr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Dr.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Salil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Vaniawala</w:t>
            </w:r>
          </w:p>
        </w:tc>
      </w:tr>
    </w:tbl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Data Table (Source Page 3)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3"/>
        <w:gridCol w:w="3013"/>
        <w:gridCol w:w="3013"/>
      </w:tblGrid>
      <w:tr>
        <w:trPr>
          <w:cantSplit w:val="true"/>
          <w:tblHeader w:val="true"/>
        </w:trPr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Dr.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Salil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Vaniawala</w:t>
            </w:r>
          </w:p>
        </w:tc>
      </w:tr>
    </w:tbl>
    <w:p>
      <w:pPr>
        <w:keepNext/>
        <w:spacing w:before="160" w:after="40"/>
      </w:pPr>
      <w:r>
        <w:rPr>
          <w:rFonts w:ascii="Cambria" w:hAnsi="Cambria"/>
          <w:b/>
          <w:color w:val="1F497D"/>
          <w:sz w:val="22"/>
        </w:rPr>
        <w:t>Data Table (Source Page 4)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13"/>
        <w:gridCol w:w="3013"/>
        <w:gridCol w:w="3013"/>
      </w:tblGrid>
      <w:tr>
        <w:trPr>
          <w:cantSplit w:val="true"/>
          <w:tblHeader w:val="true"/>
        </w:trPr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Dr.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Salil</w:t>
            </w:r>
          </w:p>
        </w:tc>
        <w:tc>
          <w:tcPr>
            <w:tcW w:type="dxa" w:w="3013"/>
            <w:shd w:val="clear" w:color="auto" w:fill="1F497D"/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Vaniawala</w:t>
            </w:r>
          </w:p>
        </w:tc>
      </w:tr>
    </w:tbl>
    <w:sectPr w:rsidR="00FC693F" w:rsidRPr="0006063C" w:rsidSect="00034616">
      <w:pgSz w:w="11918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