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pPr/>
            <w:r>
              <w:rPr>
                <w:rFonts w:ascii="Cambria" w:hAnsi="Cambria"/>
                <w:b/>
                <w:color w:val="1F497D"/>
                <w:sz w:val="20"/>
              </w:rPr>
              <w:t>Case ID</w:t>
            </w:r>
          </w:p>
        </w:tc>
        <w:tc>
          <w:tcPr>
            <w:tcW w:type="dxa" w:w="3168"/>
            <w:tcMar>
              <w:top w:w="20" w:type="dxa"/>
              <w:bottom w:w="20" w:type="dxa"/>
              <w:start w:w="40" w:type="dxa"/>
              <w:end w:w="40" w:type="dxa"/>
            </w:tcMar>
          </w:tcPr>
          <w:p>
            <w:pPr/>
            <w:r>
              <w:rPr>
                <w:rFonts w:ascii="Cambria" w:hAnsi="Cambria"/>
                <w:color w:val="000000"/>
                <w:sz w:val="20"/>
              </w:rPr>
              <w:t>2600132470</w:t>
            </w:r>
          </w:p>
        </w:tc>
        <w:tc>
          <w:tcPr>
            <w:tcW w:type="dxa" w:w="1440"/>
            <w:tcMar>
              <w:top w:w="20" w:type="dxa"/>
              <w:bottom w:w="20" w:type="dxa"/>
              <w:start w:w="40" w:type="dxa"/>
              <w:end w:w="40" w:type="dxa"/>
            </w:tcMar>
          </w:tcPr>
          <w:p>
            <w:pPr/>
            <w:r>
              <w:rPr>
                <w:rFonts w:ascii="Cambria" w:hAnsi="Cambria"/>
                <w:b/>
                <w:color w:val="1F497D"/>
                <w:sz w:val="20"/>
              </w:rPr>
              <w:t>Sample Type</w:t>
            </w:r>
          </w:p>
        </w:tc>
        <w:tc>
          <w:tcPr>
            <w:tcW w:type="dxa" w:w="3168"/>
            <w:tcMar>
              <w:top w:w="20" w:type="dxa"/>
              <w:bottom w:w="20" w:type="dxa"/>
              <w:start w:w="40" w:type="dxa"/>
              <w:end w:w="40" w:type="dxa"/>
            </w:tcMar>
          </w:tcPr>
          <w:p>
            <w:pPr/>
            <w:r>
              <w:rPr>
                <w:rFonts w:ascii="Cambria" w:hAnsi="Cambria"/>
                <w:color w:val="000000"/>
                <w:sz w:val="20"/>
              </w:rPr>
              <w:t>EDTA PERIPHERAL BLOOD</w:t>
            </w:r>
          </w:p>
        </w:tc>
      </w:tr>
      <w:tr>
        <w:trPr>
          <w:cantSplit w:val="true"/>
        </w:trPr>
        <w:tc>
          <w:tcPr>
            <w:tcW w:type="dxa" w:w="1440"/>
            <w:tcMar>
              <w:top w:w="20" w:type="dxa"/>
              <w:bottom w:w="20" w:type="dxa"/>
              <w:start w:w="40" w:type="dxa"/>
              <w:end w:w="40" w:type="dxa"/>
            </w:tcMar>
          </w:tcPr>
          <w:p>
            <w:pPr/>
            <w:r>
              <w:rPr>
                <w:rFonts w:ascii="Cambria" w:hAnsi="Cambria"/>
                <w:b/>
                <w:color w:val="1F497D"/>
                <w:sz w:val="20"/>
              </w:rPr>
              <w:t>Name</w:t>
            </w:r>
          </w:p>
        </w:tc>
        <w:tc>
          <w:tcPr>
            <w:tcW w:type="dxa" w:w="3168"/>
            <w:tcMar>
              <w:top w:w="20" w:type="dxa"/>
              <w:bottom w:w="20" w:type="dxa"/>
              <w:start w:w="40" w:type="dxa"/>
              <w:end w:w="40" w:type="dxa"/>
            </w:tcMar>
          </w:tcPr>
          <w:p>
            <w:pPr/>
            <w:r>
              <w:rPr>
                <w:rFonts w:ascii="Cambria" w:hAnsi="Cambria"/>
                <w:color w:val="000000"/>
                <w:sz w:val="20"/>
              </w:rPr>
              <w:t>MR. BIRENDRA KR TRIPATHI (KOL2604200324)</w:t>
            </w:r>
          </w:p>
        </w:tc>
        <w:tc>
          <w:tcPr>
            <w:tcW w:type="dxa" w:w="1440"/>
            <w:tcMar>
              <w:top w:w="20" w:type="dxa"/>
              <w:bottom w:w="20" w:type="dxa"/>
              <w:start w:w="40" w:type="dxa"/>
              <w:end w:w="40" w:type="dxa"/>
            </w:tcMar>
          </w:tcPr>
          <w:p>
            <w:pPr/>
            <w:r>
              <w:rPr>
                <w:rFonts w:ascii="Cambria" w:hAnsi="Cambria"/>
                <w:b/>
                <w:color w:val="1F497D"/>
                <w:sz w:val="20"/>
              </w:rPr>
              <w:t>Date &amp; Time Collected</w:t>
            </w:r>
          </w:p>
        </w:tc>
        <w:tc>
          <w:tcPr>
            <w:tcW w:type="dxa" w:w="3168"/>
            <w:tcMar>
              <w:top w:w="20" w:type="dxa"/>
              <w:bottom w:w="20" w:type="dxa"/>
              <w:start w:w="40" w:type="dxa"/>
              <w:end w:w="40" w:type="dxa"/>
            </w:tcMar>
          </w:tcPr>
          <w:p>
            <w:pPr/>
            <w:r>
              <w:rPr>
                <w:rFonts w:ascii="Cambria" w:hAnsi="Cambria"/>
                <w:color w:val="000000"/>
                <w:sz w:val="20"/>
              </w:rPr>
              <w:t>20-Apr-2026 06:44 AM</w:t>
            </w:r>
          </w:p>
        </w:tc>
      </w:tr>
      <w:tr>
        <w:trPr>
          <w:cantSplit w:val="true"/>
        </w:trPr>
        <w:tc>
          <w:tcPr>
            <w:tcW w:type="dxa" w:w="1440"/>
            <w:tcMar>
              <w:top w:w="20" w:type="dxa"/>
              <w:bottom w:w="20" w:type="dxa"/>
              <w:start w:w="40" w:type="dxa"/>
              <w:end w:w="40" w:type="dxa"/>
            </w:tcMar>
          </w:tcPr>
          <w:p>
            <w:pPr/>
            <w:r>
              <w:rPr>
                <w:rFonts w:ascii="Cambria" w:hAnsi="Cambria"/>
                <w:b/>
                <w:color w:val="1F497D"/>
                <w:sz w:val="20"/>
              </w:rPr>
              <w:t>Sex/Age</w:t>
            </w:r>
          </w:p>
        </w:tc>
        <w:tc>
          <w:tcPr>
            <w:tcW w:type="dxa" w:w="3168"/>
            <w:tcMar>
              <w:top w:w="20" w:type="dxa"/>
              <w:bottom w:w="20" w:type="dxa"/>
              <w:start w:w="40" w:type="dxa"/>
              <w:end w:w="40" w:type="dxa"/>
            </w:tcMar>
          </w:tcPr>
          <w:p>
            <w:pPr/>
            <w:r>
              <w:rPr>
                <w:rFonts w:ascii="Cambria" w:hAnsi="Cambria"/>
                <w:color w:val="000000"/>
                <w:sz w:val="20"/>
              </w:rPr>
              <w:t>Male/49 Years</w:t>
            </w:r>
          </w:p>
        </w:tc>
        <w:tc>
          <w:tcPr>
            <w:tcW w:type="dxa" w:w="1440"/>
            <w:tcMar>
              <w:top w:w="20" w:type="dxa"/>
              <w:bottom w:w="20" w:type="dxa"/>
              <w:start w:w="40" w:type="dxa"/>
              <w:end w:w="40" w:type="dxa"/>
            </w:tcMar>
          </w:tcPr>
          <w:p>
            <w:pPr/>
            <w:r>
              <w:rPr>
                <w:rFonts w:ascii="Cambria" w:hAnsi="Cambria"/>
                <w:b/>
                <w:color w:val="1F497D"/>
                <w:sz w:val="20"/>
              </w:rPr>
              <w:t>Date &amp; Time Received</w:t>
            </w:r>
          </w:p>
        </w:tc>
        <w:tc>
          <w:tcPr>
            <w:tcW w:type="dxa" w:w="3168"/>
            <w:tcMar>
              <w:top w:w="20" w:type="dxa"/>
              <w:bottom w:w="20" w:type="dxa"/>
              <w:start w:w="40" w:type="dxa"/>
              <w:end w:w="40" w:type="dxa"/>
            </w:tcMar>
          </w:tcPr>
          <w:p>
            <w:pPr/>
            <w:r>
              <w:rPr>
                <w:rFonts w:ascii="Cambria" w:hAnsi="Cambria"/>
                <w:color w:val="000000"/>
                <w:sz w:val="20"/>
              </w:rPr>
              <w:t>22-Apr-2026 01:03 PM</w:t>
            </w:r>
          </w:p>
        </w:tc>
      </w:tr>
      <w:tr>
        <w:trPr>
          <w:cantSplit w:val="true"/>
        </w:trPr>
        <w:tc>
          <w:tcPr>
            <w:tcW w:type="dxa" w:w="1440"/>
            <w:tcMar>
              <w:top w:w="20" w:type="dxa"/>
              <w:bottom w:w="20" w:type="dxa"/>
              <w:start w:w="40" w:type="dxa"/>
              <w:end w:w="40" w:type="dxa"/>
            </w:tcMar>
          </w:tcPr>
          <w:p>
            <w:pPr/>
            <w:r>
              <w:rPr>
                <w:rFonts w:ascii="Cambria" w:hAnsi="Cambria"/>
                <w:b/>
                <w:color w:val="1F497D"/>
                <w:sz w:val="20"/>
              </w:rPr>
              <w:t>Date &amp; Time Reported</w:t>
            </w:r>
          </w:p>
        </w:tc>
        <w:tc>
          <w:tcPr>
            <w:tcW w:type="dxa" w:w="3168"/>
            <w:tcMar>
              <w:top w:w="20" w:type="dxa"/>
              <w:bottom w:w="20" w:type="dxa"/>
              <w:start w:w="40" w:type="dxa"/>
              <w:end w:w="40" w:type="dxa"/>
            </w:tcMar>
          </w:tcPr>
          <w:p>
            <w:pPr/>
            <w:r>
              <w:rPr>
                <w:rFonts w:ascii="Cambria" w:hAnsi="Cambria"/>
                <w:color w:val="000000"/>
                <w:sz w:val="20"/>
              </w:rPr>
              <w:t>20-May-2026 06:11 AM</w:t>
            </w:r>
          </w:p>
        </w:tc>
        <w:tc>
          <w:tcPr>
            <w:tcW w:type="dxa" w:w="1440"/>
            <w:tcMar>
              <w:top w:w="20" w:type="dxa"/>
              <w:bottom w:w="20" w:type="dxa"/>
              <w:start w:w="40" w:type="dxa"/>
              <w:end w:w="40" w:type="dxa"/>
            </w:tcMar>
          </w:tcPr>
          <w:p>
            <w:pPr/>
            <w:r>
              <w:rPr>
                <w:rFonts w:ascii="Cambria" w:hAnsi="Cambria"/>
                <w:b/>
                <w:color w:val="1F497D"/>
                <w:sz w:val="20"/>
              </w:rPr>
              <w:t>Report Version</w:t>
            </w:r>
          </w:p>
        </w:tc>
        <w:tc>
          <w:tcPr>
            <w:tcW w:type="dxa" w:w="3168"/>
            <w:tcMar>
              <w:top w:w="20" w:type="dxa"/>
              <w:bottom w:w="20" w:type="dxa"/>
              <w:start w:w="40" w:type="dxa"/>
              <w:end w:w="40" w:type="dxa"/>
            </w:tcMar>
          </w:tcPr>
          <w:p>
            <w:pPr/>
            <w:r>
              <w:rPr>
                <w:rFonts w:ascii="Cambria" w:hAnsi="Cambria"/>
                <w:color w:val="000000"/>
                <w:sz w:val="20"/>
              </w:rPr>
              <w:t>1</w:t>
            </w:r>
          </w:p>
        </w:tc>
      </w:tr>
    </w:tbl>
    <w:p>
      <w:pPr>
        <w:spacing w:before="0" w:after="80" w:line="20" w:lineRule="exact"/>
      </w:pPr>
      <w:r>
        <w:rPr>
          <w:sz w:val="2"/>
        </w:rPr>
      </w:r>
    </w:p>
    <w:p>
      <w:pPr>
        <w:keepNext/>
        <w:spacing w:before="78" w:after="80"/>
        <w:jc w:val="center"/>
      </w:pPr>
      <w:r>
        <w:rPr>
          <w:rFonts w:ascii="Cambria" w:hAnsi="Cambria"/>
          <w:b/>
          <w:i w:val="0"/>
          <w:color w:val="1F497D"/>
          <w:sz w:val="28"/>
          <w:highlight w:val="yellow"/>
        </w:rPr>
        <w:t>TEST NAME</w:t>
      </w:r>
    </w:p>
    <w:p>
      <w:pPr>
        <w:spacing w:before="292" w:after="80" w:line="276" w:lineRule="auto"/>
        <w:jc w:val="left"/>
      </w:pPr>
      <w:r>
        <w:rPr>
          <w:rFonts w:ascii="Cambria" w:hAnsi="Cambria"/>
          <w:color w:val="000000"/>
          <w:sz w:val="20"/>
        </w:rPr>
        <w:t>Clinical Indication:</w:t>
      </w:r>
    </w:p>
    <w:p>
      <w:pPr>
        <w:spacing w:before="73" w:after="80" w:line="276" w:lineRule="auto"/>
        <w:jc w:val="left"/>
      </w:pPr>
      <w:r>
        <w:rPr>
          <w:rFonts w:ascii="Cambria" w:hAnsi="Cambria"/>
          <w:color w:val="000000"/>
          <w:sz w:val="20"/>
        </w:rPr>
        <w:t>Birendra Tripathi diagnosed case of adenocarcinoma of ascending colon with brain lesion.</w:t>
      </w:r>
    </w:p>
    <w:p>
      <w:pPr>
        <w:spacing w:before="360" w:after="80" w:line="276" w:lineRule="auto"/>
        <w:jc w:val="left"/>
      </w:pPr>
      <w:r>
        <w:rPr>
          <w:rFonts w:ascii="Cambria" w:hAnsi="Cambria"/>
          <w:color w:val="000000"/>
          <w:sz w:val="20"/>
        </w:rPr>
        <w:t>Sample Description: Sample quality is optimum for the test.</w:t>
      </w:r>
    </w:p>
    <w:p>
      <w:pPr>
        <w:keepNext/>
        <w:shd w:val="clear" w:color="auto" w:fill="C00000"/>
        <w:spacing w:before="160" w:after="160"/>
        <w:jc w:val="center"/>
      </w:pPr>
      <w:r>
        <w:rPr>
          <w:rFonts w:ascii="Cambria" w:hAnsi="Cambria"/>
          <w:b/>
          <w:color w:val="FFFFFF"/>
          <w:sz w:val="26"/>
        </w:rPr>
        <w:t>Pathogenic deletion identified in relation to phenotype</w:t>
      </w:r>
    </w:p>
    <w:p>
      <w:pPr>
        <w:keepNext/>
        <w:spacing w:before="360" w:after="60"/>
        <w:jc w:val="left"/>
      </w:pPr>
      <w:r>
        <w:rPr>
          <w:rFonts w:ascii="Cambria" w:hAnsi="Cambria"/>
          <w:b/>
          <w:i w:val="0"/>
          <w:color w:val="1F497D"/>
          <w:sz w:val="20"/>
        </w:rPr>
        <w:t>Key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644"/>
            <w:shd w:val="clear" w:color="auto" w:fill="1f497d"/>
            <w:tcMar>
              <w:top w:w="60" w:type="dxa"/>
              <w:bottom w:w="60" w:type="dxa"/>
              <w:start w:w="80" w:type="dxa"/>
              <w:end w:w="80" w:type="dxa"/>
            </w:tcMar>
          </w:tcPr>
          <w:p>
            <w:pPr>
              <w:jc w:val="center"/>
            </w:pPr>
            <w:r>
              <w:rPr>
                <w:rFonts w:ascii="Cambria" w:hAnsi="Cambria"/>
                <w:b/>
                <w:color w:val="FFFFFF"/>
                <w:sz w:val="20"/>
              </w:rPr>
              <w:t>Gene &amp; Transcript</w:t>
            </w:r>
          </w:p>
        </w:tc>
        <w:tc>
          <w:tcPr>
            <w:tcW w:type="dxa" w:w="2147"/>
            <w:shd w:val="clear" w:color="auto" w:fill="1f497d"/>
            <w:tcMar>
              <w:top w:w="60" w:type="dxa"/>
              <w:bottom w:w="60" w:type="dxa"/>
              <w:start w:w="80" w:type="dxa"/>
              <w:end w:w="80" w:type="dxa"/>
            </w:tcMar>
          </w:tcPr>
          <w:p>
            <w:pPr>
              <w:jc w:val="center"/>
            </w:pPr>
            <w:r>
              <w:rPr>
                <w:rFonts w:ascii="Cambria" w:hAnsi="Cambria"/>
                <w:b/>
                <w:color w:val="FFFFFF"/>
                <w:sz w:val="20"/>
              </w:rPr>
              <w:t>Location</w:t>
            </w:r>
          </w:p>
        </w:tc>
        <w:tc>
          <w:tcPr>
            <w:tcW w:type="dxa" w:w="1691"/>
            <w:shd w:val="clear" w:color="auto" w:fill="1f497d"/>
            <w:tcMar>
              <w:top w:w="60" w:type="dxa"/>
              <w:bottom w:w="60" w:type="dxa"/>
              <w:start w:w="80" w:type="dxa"/>
              <w:end w:w="80" w:type="dxa"/>
            </w:tcMar>
          </w:tcPr>
          <w:p>
            <w:pPr>
              <w:jc w:val="center"/>
            </w:pPr>
            <w:r>
              <w:rPr>
                <w:rFonts w:ascii="Cambria" w:hAnsi="Cambria"/>
                <w:b/>
                <w:color w:val="FFFFFF"/>
                <w:sz w:val="20"/>
              </w:rPr>
              <w:t>Variant</w:t>
            </w:r>
          </w:p>
        </w:tc>
        <w:tc>
          <w:tcPr>
            <w:tcW w:type="dxa" w:w="1867"/>
            <w:shd w:val="clear" w:color="auto" w:fill="1f497d"/>
            <w:tcMar>
              <w:top w:w="60" w:type="dxa"/>
              <w:bottom w:w="60" w:type="dxa"/>
              <w:start w:w="80" w:type="dxa"/>
              <w:end w:w="80" w:type="dxa"/>
            </w:tcMar>
          </w:tcPr>
          <w:p>
            <w:pPr>
              <w:jc w:val="center"/>
            </w:pPr>
            <w:r>
              <w:rPr>
                <w:rFonts w:ascii="Cambria" w:hAnsi="Cambria"/>
                <w:b/>
                <w:color w:val="FFFFFF"/>
                <w:sz w:val="20"/>
              </w:rPr>
              <w:t>Zygosity/</w:t>
              <w:br/>
              <w:t>Inheritance</w:t>
            </w:r>
          </w:p>
        </w:tc>
        <w:tc>
          <w:tcPr>
            <w:tcW w:type="dxa" w:w="1496"/>
            <w:shd w:val="clear" w:color="auto" w:fill="1f497d"/>
            <w:tcMar>
              <w:top w:w="60" w:type="dxa"/>
              <w:bottom w:w="60" w:type="dxa"/>
              <w:start w:w="80" w:type="dxa"/>
              <w:end w:w="80" w:type="dxa"/>
            </w:tcMar>
          </w:tcPr>
          <w:p>
            <w:pPr>
              <w:jc w:val="center"/>
            </w:pPr>
            <w:r>
              <w:rPr>
                <w:rFonts w:ascii="Cambria" w:hAnsi="Cambria"/>
                <w:b/>
                <w:color w:val="FFFFFF"/>
                <w:sz w:val="20"/>
              </w:rPr>
              <w:t>Phenotype</w:t>
            </w:r>
          </w:p>
        </w:tc>
        <w:tc>
          <w:tcPr>
            <w:tcW w:type="dxa" w:w="1620"/>
            <w:shd w:val="clear" w:color="auto" w:fill="1f497d"/>
            <w:tcMar>
              <w:top w:w="60" w:type="dxa"/>
              <w:bottom w:w="60" w:type="dxa"/>
              <w:start w:w="80" w:type="dxa"/>
              <w:end w:w="80" w:type="dxa"/>
            </w:tcMar>
          </w:tcPr>
          <w:p>
            <w:pPr>
              <w:jc w:val="center"/>
            </w:pPr>
            <w:r>
              <w:rPr>
                <w:rFonts w:ascii="Cambria" w:hAnsi="Cambria"/>
                <w:b/>
                <w:color w:val="FFFFFF"/>
                <w:sz w:val="20"/>
              </w:rPr>
              <w:t>Clinical</w:t>
              <w:br/>
              <w:t>Significance</w:t>
            </w:r>
          </w:p>
        </w:tc>
      </w:tr>
      <w:tr>
        <w:trPr>
          <w:cantSplit w:val="true"/>
        </w:trPr>
        <w:tc>
          <w:tcPr>
            <w:tcW w:type="dxa" w:w="1644"/>
            <w:shd w:val="clear" w:color="auto" w:fill="daedf3"/>
            <w:tcMar>
              <w:top w:w="60" w:type="dxa"/>
              <w:bottom w:w="60" w:type="dxa"/>
              <w:start w:w="80" w:type="dxa"/>
              <w:end w:w="80" w:type="dxa"/>
            </w:tcMar>
          </w:tcPr>
          <w:p>
            <w:pPr>
              <w:jc w:val="left"/>
            </w:pPr>
            <w:r>
              <w:rPr>
                <w:rFonts w:ascii="Cambria" w:hAnsi="Cambria"/>
                <w:b/>
                <w:i/>
                <w:color w:val="242729"/>
                <w:sz w:val="20"/>
              </w:rPr>
              <w:t>MSH2 (+)</w:t>
              <w:br/>
              <w:t>NM 000251.3</w:t>
              <w:br/>
              <w:t>_</w:t>
            </w:r>
          </w:p>
        </w:tc>
        <w:tc>
          <w:tcPr>
            <w:tcW w:type="dxa" w:w="2147"/>
            <w:shd w:val="clear" w:color="auto" w:fill="daedf3"/>
            <w:tcMar>
              <w:top w:w="60" w:type="dxa"/>
              <w:bottom w:w="60" w:type="dxa"/>
              <w:start w:w="80" w:type="dxa"/>
              <w:end w:w="80" w:type="dxa"/>
            </w:tcMar>
          </w:tcPr>
          <w:p>
            <w:pPr>
              <w:jc w:val="left"/>
            </w:pPr>
            <w:r>
              <w:rPr>
                <w:rFonts w:ascii="Cambria" w:hAnsi="Cambria"/>
                <w:b w:val="0"/>
                <w:i w:val="0"/>
                <w:color w:val="000000"/>
                <w:sz w:val="20"/>
              </w:rPr>
              <w:t>2p21</w:t>
              <w:br/>
              <w:t>(? 47,410,089-</w:t>
              <w:br/>
              <w:t>_</w:t>
              <w:br/>
              <w:t>47,416,441 ?)</w:t>
              <w:br/>
              <w:t>_</w:t>
              <w:br/>
              <w:t>Exon 3-6</w:t>
            </w:r>
          </w:p>
        </w:tc>
        <w:tc>
          <w:tcPr>
            <w:tcW w:type="dxa" w:w="1691"/>
            <w:shd w:val="clear" w:color="auto" w:fill="daedf3"/>
            <w:tcMar>
              <w:top w:w="60" w:type="dxa"/>
              <w:bottom w:w="60" w:type="dxa"/>
              <w:start w:w="80" w:type="dxa"/>
              <w:end w:w="80" w:type="dxa"/>
            </w:tcMar>
          </w:tcPr>
          <w:p>
            <w:pPr>
              <w:jc w:val="left"/>
            </w:pPr>
            <w:r>
              <w:rPr>
                <w:rFonts w:ascii="Cambria" w:hAnsi="Cambria"/>
                <w:b w:val="0"/>
                <w:i w:val="0"/>
                <w:color w:val="000000"/>
                <w:sz w:val="20"/>
              </w:rPr>
              <w:t>c.367-? c.1076+?</w:t>
              <w:br/>
              <w:t>_</w:t>
              <w:br/>
              <w:t>6.4kb</w:t>
            </w:r>
          </w:p>
        </w:tc>
        <w:tc>
          <w:tcPr>
            <w:tcW w:type="dxa" w:w="1867"/>
            <w:shd w:val="clear" w:color="auto" w:fill="daedf3"/>
            <w:tcMar>
              <w:top w:w="60" w:type="dxa"/>
              <w:bottom w:w="60" w:type="dxa"/>
              <w:start w:w="80" w:type="dxa"/>
              <w:end w:w="80" w:type="dxa"/>
            </w:tcMar>
          </w:tcPr>
          <w:p>
            <w:pPr>
              <w:jc w:val="left"/>
            </w:pPr>
            <w:r>
              <w:rPr>
                <w:rFonts w:ascii="Cambria" w:hAnsi="Cambria"/>
                <w:b w:val="0"/>
                <w:i w:val="0"/>
                <w:color w:val="000000"/>
                <w:sz w:val="20"/>
              </w:rPr>
              <w:t>Heterozygous</w:t>
              <w:br/>
              <w:t>/Autosomal</w:t>
              <w:br/>
              <w:t>Dominant</w:t>
            </w:r>
          </w:p>
        </w:tc>
        <w:tc>
          <w:tcPr>
            <w:tcW w:type="dxa" w:w="1496"/>
            <w:shd w:val="clear" w:color="auto" w:fill="daedf3"/>
            <w:tcMar>
              <w:top w:w="60" w:type="dxa"/>
              <w:bottom w:w="60" w:type="dxa"/>
              <w:start w:w="80" w:type="dxa"/>
              <w:end w:w="80" w:type="dxa"/>
            </w:tcMar>
          </w:tcPr>
          <w:p>
            <w:pPr>
              <w:jc w:val="left"/>
            </w:pPr>
            <w:r>
              <w:rPr>
                <w:rFonts w:ascii="Cambria" w:hAnsi="Cambria"/>
                <w:b w:val="0"/>
                <w:i w:val="0"/>
                <w:color w:val="000000"/>
                <w:sz w:val="20"/>
              </w:rPr>
              <w:t>Lynch syndrome 1</w:t>
            </w:r>
          </w:p>
        </w:tc>
        <w:tc>
          <w:tcPr>
            <w:tcW w:type="dxa" w:w="1620"/>
            <w:shd w:val="clear" w:color="auto" w:fill="daedf3"/>
            <w:tcMar>
              <w:top w:w="60" w:type="dxa"/>
              <w:bottom w:w="60" w:type="dxa"/>
              <w:start w:w="80" w:type="dxa"/>
              <w:end w:w="80" w:type="dxa"/>
            </w:tcMar>
          </w:tcPr>
          <w:p>
            <w:pPr>
              <w:jc w:val="right"/>
            </w:pPr>
            <w:r>
              <w:rPr>
                <w:rFonts w:ascii="Cambria" w:hAnsi="Cambria"/>
                <w:b w:val="0"/>
                <w:i w:val="0"/>
                <w:color w:val="FF0000"/>
                <w:sz w:val="20"/>
              </w:rPr>
              <w:t>Pathogenic</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0"/>
        </w:rPr>
        <w:t>Genetic test results are reported based on the recommendations of American College of Medical Genetics</w:t>
      </w:r>
    </w:p>
    <w:p>
      <w:pPr>
        <w:spacing w:before="235" w:after="80" w:line="276" w:lineRule="auto"/>
        <w:jc w:val="left"/>
      </w:pPr>
      <w:r>
        <w:rPr>
          <w:rFonts w:ascii="Cambria" w:hAnsi="Cambria"/>
          <w:color w:val="000000"/>
          <w:sz w:val="20"/>
        </w:rPr>
        <w:t>Variant Interpretation &amp; Clinical correlation:</w:t>
      </w:r>
    </w:p>
    <w:p>
      <w:pPr>
        <w:spacing w:before="0" w:after="290"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pPr/>
            <w:r>
              <w:rPr>
                <w:rFonts w:ascii="Cambria" w:hAnsi="Cambria"/>
                <w:b/>
                <w:color w:val="1F497D"/>
                <w:sz w:val="20"/>
              </w:rPr>
              <w:t>MSH2</w:t>
            </w:r>
          </w:p>
        </w:tc>
        <w:tc>
          <w:tcPr>
            <w:tcW w:type="dxa" w:w="3168"/>
            <w:tcMar>
              <w:top w:w="20" w:type="dxa"/>
              <w:bottom w:w="20" w:type="dxa"/>
              <w:start w:w="40" w:type="dxa"/>
              <w:end w:w="40" w:type="dxa"/>
            </w:tcMar>
          </w:tcPr>
          <w:p>
            <w:pPr/>
            <w:r>
              <w:rPr>
                <w:rFonts w:ascii="Cambria" w:hAnsi="Cambria"/>
                <w:color w:val="000000"/>
                <w:sz w:val="20"/>
              </w:rPr>
              <w:t>Deletion Exon 3-6;</w:t>
            </w:r>
          </w:p>
        </w:tc>
        <w:tc>
          <w:tcPr>
            <w:tcW w:type="dxa" w:w="1440"/>
            <w:tcMar>
              <w:top w:w="20" w:type="dxa"/>
              <w:bottom w:w="20" w:type="dxa"/>
              <w:start w:w="40" w:type="dxa"/>
              <w:end w:w="40" w:type="dxa"/>
            </w:tcMar>
          </w:tcPr>
          <w:p>
            <w:pPr/>
          </w:p>
        </w:tc>
        <w:tc>
          <w:tcPr>
            <w:tcW w:type="dxa" w:w="3168"/>
            <w:tcMar>
              <w:top w:w="20" w:type="dxa"/>
              <w:bottom w:w="20" w:type="dxa"/>
              <w:start w:w="40" w:type="dxa"/>
              <w:end w:w="40" w:type="dxa"/>
            </w:tcMar>
          </w:tcPr>
          <w:p>
            <w:pPr/>
          </w:p>
        </w:tc>
      </w:tr>
    </w:tbl>
    <w:p>
      <w:pPr>
        <w:spacing w:before="0" w:after="80" w:line="20" w:lineRule="exact"/>
      </w:pPr>
      <w:r>
        <w:rPr>
          <w:sz w:val="2"/>
        </w:rPr>
      </w:r>
    </w:p>
    <w:p>
      <w:pPr>
        <w:spacing w:before="149" w:after="80" w:line="276" w:lineRule="auto"/>
        <w:jc w:val="left"/>
      </w:pPr>
      <w:r>
        <w:rPr>
          <w:rFonts w:ascii="Cambria" w:hAnsi="Cambria"/>
          <w:color w:val="0D0D0D"/>
          <w:sz w:val="20"/>
        </w:rPr>
        <w:t>Based on above evidence, this variant (MSH2:Deletion Exon 3-6) is classified as  Pathogenic  variant.</w:t>
      </w:r>
    </w:p>
    <w:p>
      <w:pPr>
        <w:spacing w:before="240" w:after="80" w:line="276" w:lineRule="auto"/>
        <w:jc w:val="left"/>
      </w:pPr>
      <w:r>
        <w:rPr>
          <w:rFonts w:ascii="Cambria" w:hAnsi="Cambria"/>
          <w:color w:val="000000"/>
          <w:sz w:val="20"/>
        </w:rPr>
        <w:t>MSH2 Gene Phenotype Description : Lynch syndrome-1 (LYNCH1), also known as hereditary nonpolyposis colorectal cancer (HNPCC1), is caused by heterozygous mutation in the mismatch repair gene MSH2 (609309) on chromosome 2p21-p16. Lynch syndrome (LYNCH), also called hereditary nonpolyposis colorectal cancer, is defined as an autosomal dominant predisposition to a spectrum of cancers, primarily of the colorectum and endometrium, which exhibit impaired DNA mismatch repair (MMR) activity (summary by Lynch et al., 2015).</w:t>
      </w:r>
    </w:p>
    <w:p>
      <w:pPr>
        <w:spacing w:before="360" w:after="120"/>
        <w:jc w:val="center"/>
      </w:pPr>
      <w:r>
        <w:drawing>
          <wp:inline xmlns:a="http://schemas.openxmlformats.org/drawingml/2006/main" xmlns:pic="http://schemas.openxmlformats.org/drawingml/2006/picture">
            <wp:extent cx="1536700" cy="6731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9"/>
          <w:footerReference w:type="default" r:id="rId10"/>
          <w:headerReference w:type="first" r:id="rId29"/>
          <w:headerReference w:type="even" r:id="rId30"/>
          <w:footerReference w:type="first" r:id="rId31"/>
          <w:footerReference w:type="even" r:id="rId32"/>
          <w:pgSz w:w="11906" w:h="16838"/>
          <w:pgMar w:top="1200" w:right="720" w:bottom="800" w:left="720" w:header="720" w:footer="720" w:gutter="0"/>
          <w:cols w:space="720"/>
          <w:docGrid w:linePitch="360"/>
        </w:sectPr>
      </w:pPr>
    </w:p>
    <w:p>
      <w:pPr>
        <w:keepNext/>
        <w:spacing w:before="360" w:after="60"/>
        <w:jc w:val="left"/>
      </w:pPr>
      <w:r>
        <w:rPr>
          <w:rFonts w:ascii="Cambria" w:hAnsi="Cambria"/>
          <w:b/>
          <w:i w:val="0"/>
          <w:color w:val="1F497D"/>
          <w:sz w:val="20"/>
        </w:rPr>
        <w:t>Additional Findings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2047"/>
            <w:shd w:val="clear" w:color="auto" w:fill="1f497d"/>
            <w:tcMar>
              <w:top w:w="60" w:type="dxa"/>
              <w:bottom w:w="60" w:type="dxa"/>
              <w:start w:w="80" w:type="dxa"/>
              <w:end w:w="80" w:type="dxa"/>
            </w:tcMar>
          </w:tcPr>
          <w:p>
            <w:pPr>
              <w:jc w:val="center"/>
            </w:pPr>
            <w:r>
              <w:rPr>
                <w:rFonts w:ascii="Cambria" w:hAnsi="Cambria"/>
                <w:b/>
                <w:color w:val="FFFFFF"/>
                <w:sz w:val="20"/>
              </w:rPr>
              <w:t>Gene &amp; Transcript</w:t>
            </w:r>
          </w:p>
        </w:tc>
        <w:tc>
          <w:tcPr>
            <w:tcW w:type="dxa" w:w="1259"/>
            <w:shd w:val="clear" w:color="auto" w:fill="1f497d"/>
            <w:tcMar>
              <w:top w:w="60" w:type="dxa"/>
              <w:bottom w:w="60" w:type="dxa"/>
              <w:start w:w="80" w:type="dxa"/>
              <w:end w:w="80" w:type="dxa"/>
            </w:tcMar>
          </w:tcPr>
          <w:p>
            <w:pPr>
              <w:jc w:val="center"/>
            </w:pPr>
            <w:r>
              <w:rPr>
                <w:rFonts w:ascii="Cambria" w:hAnsi="Cambria"/>
                <w:b/>
                <w:color w:val="FFFFFF"/>
                <w:sz w:val="20"/>
              </w:rPr>
              <w:t>Location</w:t>
            </w:r>
          </w:p>
        </w:tc>
        <w:tc>
          <w:tcPr>
            <w:tcW w:type="dxa" w:w="1989"/>
            <w:shd w:val="clear" w:color="auto" w:fill="1f497d"/>
            <w:tcMar>
              <w:top w:w="60" w:type="dxa"/>
              <w:bottom w:w="60" w:type="dxa"/>
              <w:start w:w="80" w:type="dxa"/>
              <w:end w:w="80" w:type="dxa"/>
            </w:tcMar>
          </w:tcPr>
          <w:p>
            <w:pPr>
              <w:jc w:val="center"/>
            </w:pPr>
            <w:r>
              <w:rPr>
                <w:rFonts w:ascii="Cambria" w:hAnsi="Cambria"/>
                <w:b/>
                <w:color w:val="FFFFFF"/>
                <w:sz w:val="20"/>
              </w:rPr>
              <w:t>Variant &amp;</w:t>
              <w:br/>
              <w:t>Depth/VAF</w:t>
            </w:r>
          </w:p>
        </w:tc>
        <w:tc>
          <w:tcPr>
            <w:tcW w:type="dxa" w:w="1869"/>
            <w:shd w:val="clear" w:color="auto" w:fill="1f497d"/>
            <w:tcMar>
              <w:top w:w="60" w:type="dxa"/>
              <w:bottom w:w="60" w:type="dxa"/>
              <w:start w:w="80" w:type="dxa"/>
              <w:end w:w="80" w:type="dxa"/>
            </w:tcMar>
          </w:tcPr>
          <w:p>
            <w:pPr>
              <w:jc w:val="center"/>
            </w:pPr>
            <w:r>
              <w:rPr>
                <w:rFonts w:ascii="Cambria" w:hAnsi="Cambria"/>
                <w:b/>
                <w:color w:val="FFFFFF"/>
                <w:sz w:val="20"/>
              </w:rPr>
              <w:t>Zygosity/</w:t>
              <w:br/>
              <w:t>Inheritance</w:t>
            </w:r>
          </w:p>
        </w:tc>
        <w:tc>
          <w:tcPr>
            <w:tcW w:type="dxa" w:w="1582"/>
            <w:shd w:val="clear" w:color="auto" w:fill="1f497d"/>
            <w:tcMar>
              <w:top w:w="60" w:type="dxa"/>
              <w:bottom w:w="60" w:type="dxa"/>
              <w:start w:w="80" w:type="dxa"/>
              <w:end w:w="80" w:type="dxa"/>
            </w:tcMar>
          </w:tcPr>
          <w:p>
            <w:pPr>
              <w:jc w:val="center"/>
            </w:pPr>
            <w:r>
              <w:rPr>
                <w:rFonts w:ascii="Cambria" w:hAnsi="Cambria"/>
                <w:b/>
                <w:color w:val="FFFFFF"/>
                <w:sz w:val="20"/>
              </w:rPr>
              <w:t>Phenotype</w:t>
            </w:r>
          </w:p>
        </w:tc>
        <w:tc>
          <w:tcPr>
            <w:tcW w:type="dxa" w:w="1720"/>
            <w:shd w:val="clear" w:color="auto" w:fill="1f497d"/>
            <w:tcMar>
              <w:top w:w="60" w:type="dxa"/>
              <w:bottom w:w="60" w:type="dxa"/>
              <w:start w:w="80" w:type="dxa"/>
              <w:end w:w="80" w:type="dxa"/>
            </w:tcMar>
          </w:tcPr>
          <w:p>
            <w:pPr>
              <w:jc w:val="center"/>
            </w:pPr>
            <w:r>
              <w:rPr>
                <w:rFonts w:ascii="Cambria" w:hAnsi="Cambria"/>
                <w:b/>
                <w:color w:val="FFFFFF"/>
                <w:sz w:val="20"/>
              </w:rPr>
              <w:t>Clinical Significance</w:t>
            </w:r>
          </w:p>
        </w:tc>
      </w:tr>
      <w:tr>
        <w:trPr>
          <w:cantSplit w:val="true"/>
        </w:trPr>
        <w:tc>
          <w:tcPr>
            <w:tcW w:type="dxa" w:w="2047"/>
            <w:shd w:val="clear" w:color="auto" w:fill="daedf3"/>
            <w:tcMar>
              <w:top w:w="60" w:type="dxa"/>
              <w:bottom w:w="60" w:type="dxa"/>
              <w:start w:w="80" w:type="dxa"/>
              <w:end w:w="80" w:type="dxa"/>
            </w:tcMar>
          </w:tcPr>
          <w:p>
            <w:pPr>
              <w:jc w:val="left"/>
            </w:pPr>
            <w:r>
              <w:rPr>
                <w:rFonts w:ascii="Cambria" w:hAnsi="Cambria"/>
                <w:b/>
                <w:i/>
                <w:color w:val="242729"/>
                <w:sz w:val="20"/>
              </w:rPr>
              <w:t>HBB (-)</w:t>
              <w:br/>
              <w:t>NM 000518.5</w:t>
              <w:br/>
              <w:t>_</w:t>
              <w:br/>
              <w:t>(chr11:g.5227071T&gt;G)</w:t>
            </w:r>
          </w:p>
        </w:tc>
        <w:tc>
          <w:tcPr>
            <w:tcW w:type="dxa" w:w="1259"/>
            <w:shd w:val="clear" w:color="auto" w:fill="daedf3"/>
            <w:tcMar>
              <w:top w:w="60" w:type="dxa"/>
              <w:bottom w:w="60" w:type="dxa"/>
              <w:start w:w="80" w:type="dxa"/>
              <w:end w:w="80" w:type="dxa"/>
            </w:tcMar>
          </w:tcPr>
          <w:p>
            <w:pPr>
              <w:jc w:val="left"/>
            </w:pPr>
            <w:r>
              <w:rPr>
                <w:rFonts w:ascii="Cambria" w:hAnsi="Cambria"/>
                <w:b w:val="0"/>
                <w:i w:val="0"/>
                <w:color w:val="000000"/>
                <w:sz w:val="20"/>
              </w:rPr>
              <w:t>Exon 1</w:t>
            </w:r>
          </w:p>
        </w:tc>
        <w:tc>
          <w:tcPr>
            <w:tcW w:type="dxa" w:w="1989"/>
            <w:shd w:val="clear" w:color="auto" w:fill="daedf3"/>
            <w:tcMar>
              <w:top w:w="60" w:type="dxa"/>
              <w:bottom w:w="60" w:type="dxa"/>
              <w:start w:w="80" w:type="dxa"/>
              <w:end w:w="80" w:type="dxa"/>
            </w:tcMar>
          </w:tcPr>
          <w:p>
            <w:pPr>
              <w:jc w:val="left"/>
            </w:pPr>
            <w:r>
              <w:rPr>
                <w:rFonts w:ascii="Cambria" w:hAnsi="Cambria"/>
                <w:b w:val="0"/>
                <w:i w:val="0"/>
                <w:color w:val="000000"/>
                <w:sz w:val="20"/>
              </w:rPr>
              <w:t>c.-50A&gt;C</w:t>
              <w:br/>
              <w:t>(5' prime UTR</w:t>
              <w:br/>
              <w:t>variant)</w:t>
              <w:br/>
              <w:t>49x/51%</w:t>
            </w:r>
          </w:p>
        </w:tc>
        <w:tc>
          <w:tcPr>
            <w:tcW w:type="dxa" w:w="1869"/>
            <w:shd w:val="clear" w:color="auto" w:fill="daedf3"/>
            <w:tcMar>
              <w:top w:w="60" w:type="dxa"/>
              <w:bottom w:w="60" w:type="dxa"/>
              <w:start w:w="80" w:type="dxa"/>
              <w:end w:w="80" w:type="dxa"/>
            </w:tcMar>
          </w:tcPr>
          <w:p>
            <w:pPr>
              <w:jc w:val="left"/>
            </w:pPr>
            <w:r>
              <w:rPr>
                <w:rFonts w:ascii="Cambria" w:hAnsi="Cambria"/>
                <w:b w:val="0"/>
                <w:i w:val="0"/>
                <w:color w:val="000000"/>
                <w:sz w:val="20"/>
              </w:rPr>
              <w:t>Heterozygous</w:t>
              <w:br/>
              <w:t>/Autosomal</w:t>
              <w:br/>
              <w:t>Recessive</w:t>
            </w:r>
          </w:p>
        </w:tc>
        <w:tc>
          <w:tcPr>
            <w:tcW w:type="dxa" w:w="1582"/>
            <w:shd w:val="clear" w:color="auto" w:fill="daedf3"/>
            <w:tcMar>
              <w:top w:w="60" w:type="dxa"/>
              <w:bottom w:w="60" w:type="dxa"/>
              <w:start w:w="80" w:type="dxa"/>
              <w:end w:w="80" w:type="dxa"/>
            </w:tcMar>
          </w:tcPr>
          <w:p>
            <w:pPr>
              <w:jc w:val="left"/>
            </w:pPr>
            <w:r>
              <w:rPr>
                <w:rFonts w:ascii="Cambria" w:hAnsi="Cambria"/>
                <w:b w:val="0"/>
                <w:i w:val="0"/>
                <w:color w:val="000000"/>
                <w:sz w:val="20"/>
              </w:rPr>
              <w:t>Beta-thalassemia HBB</w:t>
            </w:r>
          </w:p>
        </w:tc>
        <w:tc>
          <w:tcPr>
            <w:tcW w:type="dxa" w:w="1720"/>
            <w:shd w:val="clear" w:color="auto" w:fill="daedf3"/>
            <w:tcMar>
              <w:top w:w="60" w:type="dxa"/>
              <w:bottom w:w="60" w:type="dxa"/>
              <w:start w:w="80" w:type="dxa"/>
              <w:end w:w="80" w:type="dxa"/>
            </w:tcMar>
          </w:tcPr>
          <w:p>
            <w:pPr>
              <w:jc w:val="right"/>
            </w:pPr>
            <w:r>
              <w:rPr>
                <w:rFonts w:ascii="Cambria" w:hAnsi="Cambria"/>
                <w:b w:val="0"/>
                <w:i w:val="0"/>
                <w:color w:val="FF0000"/>
                <w:sz w:val="20"/>
              </w:rPr>
              <w:t>Pathogenic</w:t>
              <w:br/>
              <w:t>(PM2, PM3, PP5)</w:t>
            </w:r>
          </w:p>
        </w:tc>
      </w:tr>
    </w:tbl>
    <w:p>
      <w:pPr>
        <w:spacing w:before="0" w:after="120" w:line="20" w:lineRule="exact"/>
      </w:pPr>
      <w:r>
        <w:rPr>
          <w:sz w:val="2"/>
        </w:rPr>
      </w:r>
    </w:p>
    <w:p>
      <w:pPr>
        <w:pStyle w:val="ListBullet"/>
        <w:spacing w:before="0" w:after="80" w:line="276" w:lineRule="auto"/>
        <w:jc w:val="left"/>
      </w:pPr>
      <w:r>
        <w:rPr>
          <w:rFonts w:ascii="Cambria" w:hAnsi="Cambria"/>
          <w:color w:val="000000"/>
          <w:sz w:val="20"/>
        </w:rPr>
        <w:t>Genetic test results are reported based on the recommendations of American College of Medical Genetics</w:t>
      </w:r>
    </w:p>
    <w:p>
      <w:pPr>
        <w:spacing w:before="234" w:after="80" w:line="276" w:lineRule="auto"/>
        <w:jc w:val="left"/>
      </w:pPr>
      <w:r>
        <w:rPr>
          <w:rFonts w:ascii="Cambria" w:hAnsi="Cambria"/>
          <w:color w:val="000000"/>
          <w:sz w:val="20"/>
        </w:rPr>
        <w:t>HBB Gene Phenotype Description : Direct sequencing of specific regions of genomic DNA became feasible with the invention of the polymerase chain reaction (PCR) which permits amplification of specific regions of DNA. Recently, human mitochondrial DNA was amplified and directly sequenced. Using a thermostable DNA polymerase of T. aquaticus (Saiki, R.K. et al., manuscript in preparation) in the PCR, we have applied a combination of PCR and direct sequence analysis of the amplified product to a human single- copy gene. We studied the genomic DNA of five patients with beta-thalassaemia whose mutant alleles were uncharacterized, and found two previously undescribed mutations, along with three known alleles. One new allele is a frameshift at codons 106-107 and the other is an A-C transversion at the cap site (+1) of the beta-globin gene. This latter is the first natural mutation observed at the cap site and it occurs in a gene which is poorly expressed.</w:t>
      </w:r>
    </w:p>
    <w:p>
      <w:pPr>
        <w:spacing w:before="297" w:after="80" w:line="276" w:lineRule="auto"/>
        <w:jc w:val="left"/>
      </w:pPr>
      <w:r>
        <w:rPr>
          <w:rFonts w:ascii="Cambria" w:hAnsi="Cambria"/>
          <w:color w:val="000000"/>
          <w:sz w:val="20"/>
        </w:rPr>
        <w:t>Case Specific Recommendations:</w:t>
      </w:r>
      <w:r>
        <w:rPr>
          <w:rFonts w:ascii="Cambria" w:hAnsi="Cambria"/>
          <w:color w:val="000000"/>
          <w:sz w:val="20"/>
          <w:highlight w:val="yellow"/>
        </w:rPr>
        <w:t xml:space="preserve"> 1. Segregation analysis of the variant by Sanger /Exome sequencing</w:t>
      </w:r>
      <w:r>
        <w:rPr>
          <w:rFonts w:ascii="Cambria" w:hAnsi="Cambria"/>
          <w:color w:val="000000"/>
          <w:sz w:val="20"/>
        </w:rPr>
        <w:t xml:space="preserve">/ MLPA is recommended.</w:t>
      </w:r>
    </w:p>
    <w:p>
      <w:pPr>
        <w:spacing w:before="255" w:after="80" w:line="276" w:lineRule="auto"/>
        <w:jc w:val="left"/>
      </w:pPr>
      <w:r>
        <w:rPr>
          <w:rFonts w:ascii="Cambria" w:hAnsi="Cambria"/>
          <w:color w:val="000000"/>
          <w:sz w:val="20"/>
        </w:rPr>
        <w:t>Recommendations  Genetic counseling is advised for interpretation on the consequences of the variant(s).  We recommend confirming the presence of these variants by Sanger Sequencing/ MLPA. </w:t>
      </w:r>
      <w:r>
        <w:rPr>
          <w:rFonts w:ascii="Cambria" w:hAnsi="Cambria"/>
          <w:color w:val="000000"/>
          <w:sz w:val="20"/>
          <w:highlight w:val="yellow"/>
        </w:rPr>
        <w:t xml:space="preserve"> Segregation analysis of the variant by Sanger /Exome sequencing</w:t>
      </w:r>
      <w:r>
        <w:rPr>
          <w:rFonts w:ascii="Cambria" w:hAnsi="Cambria"/>
          <w:color w:val="000000"/>
          <w:sz w:val="20"/>
        </w:rPr>
        <w:t xml:space="preserve">/ MLPA is recommended.  The significance/classification of the variants might change based on parental and family members genetic testing.  For questions about this report, or for assistance in locating nearby genetic counseling services, please contact the Laboratory:  contact@Laboratory.com .  If results obtained do not match the clinical findings, additional testing should be considered as per referring clinician's recommendation.</w:t>
      </w:r>
    </w:p>
    <w:p>
      <w:pPr>
        <w:spacing w:before="254" w:after="80" w:line="276" w:lineRule="auto"/>
        <w:jc w:val="left"/>
      </w:pPr>
      <w:r>
        <w:rPr>
          <w:rFonts w:ascii="Cambria" w:hAnsi="Cambria"/>
          <w:color w:val="000000"/>
          <w:sz w:val="20"/>
        </w:rPr>
        <w:t>Methodology:  Next Generation Sequencing: DNA extracted from Blood, Saliva, Amniotic fluid, CVS or any other standard source is used for targeted capture-based Library preparation. Targeted capture provides an efficient and sensitive means for sequencing specific genomic regions in a high-throughput manner. The libraries were sequenced to mean &gt;85-100x coverage on Illumina Novaseq X sequencing platform with Paired End 2x150 chemistry.  We follow the Illumina DRAGEN Bio-IT Platform for identification of variants in the sample. The sequences obtained are assembled and aligned to reference sequences based on NCBI RefSeq transcripts and human genome build (GRCh38). Page 2 of 8</w:t>
      </w:r>
    </w:p>
    <w:p>
      <w:pPr>
        <w:spacing w:before="0" w:after="120"/>
        <w:jc w:val="center"/>
      </w:pPr>
      <w:r>
        <w:drawing>
          <wp:inline xmlns:a="http://schemas.openxmlformats.org/drawingml/2006/main" xmlns:pic="http://schemas.openxmlformats.org/drawingml/2006/picture">
            <wp:extent cx="1536700" cy="673100"/>
            <wp:docPr id="5" name="Picture 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6" name="Picture 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7" name="Picture 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8" name="Picture 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5"/>
          <w:footerReference w:type="default" r:id="rId16"/>
          <w:pgSz w:w="11906" w:h="16838"/>
          <w:pgMar w:top="1200" w:right="720" w:bottom="800" w:left="720" w:header="720" w:footer="720" w:gutter="0"/>
          <w:cols w:space="720"/>
          <w:docGrid w:linePitch="360"/>
        </w:sectPr>
      </w:pPr>
    </w:p>
    <w:p>
      <w:pPr>
        <w:pStyle w:val="ListBullet"/>
        <w:spacing w:before="360" w:after="80" w:line="276" w:lineRule="auto"/>
        <w:jc w:val="left"/>
      </w:pPr>
      <w:r>
        <w:rPr>
          <w:rFonts w:ascii="Cambria" w:hAnsi="Cambria"/>
          <w:color w:val="000000"/>
          <w:sz w:val="20"/>
        </w:rPr>
        <w:t/>
      </w:r>
      <w:r>
        <w:rPr>
          <w:rFonts w:ascii="Cambria" w:hAnsi="Cambria"/>
          <w:color w:val="000000"/>
          <w:sz w:val="20"/>
          <w:highlight w:val="yellow"/>
        </w:rPr>
        <w:t xml:space="preserve">This assay (Whole exome sequencing</w:t>
      </w:r>
      <w:r>
        <w:rPr>
          <w:rFonts w:ascii="Cambria" w:hAnsi="Cambria"/>
          <w:color w:val="000000"/>
          <w:sz w:val="20"/>
        </w:rPr>
        <w:t xml:space="preserve">) covers 20321 genes including 37 mitochondria genes.  Haplotype caller has been used to identify variants which are relevant to the clinical indication.  In addition to SNVs and small Indels, copy number variants (CNVs) are detected from targeted sequence data using the commercially available algorithm. This algorithm detects rare CNVs based on comparison of the read-depths of the test data with the matched aggregate reference dataset.  Clinically relevant mutations were annotated using published variants in literature, Commercial datasets and a set of diseases databases. Common variants are filtered based on allele frequency in 1000Genome, ExAC, gnomAD, dbSNP &amp; Laboratory's internal database.  Non-synonymous variants effect is calculated using multiple algorithms such as PolyPhen-2, SIFT, MutationTaster2.  Based on annotations data, ACMG rules-based classification performed for classification of variants identified through next generation sequencing study.</w:t>
      </w:r>
    </w:p>
    <w:p>
      <w:pPr>
        <w:spacing w:before="276" w:after="80" w:line="276" w:lineRule="auto"/>
        <w:jc w:val="left"/>
      </w:pPr>
      <w:r>
        <w:rPr>
          <w:rFonts w:ascii="Cambria" w:hAnsi="Cambria"/>
          <w:color w:val="000000"/>
          <w:sz w:val="20"/>
        </w:rPr>
        <w:t>Limitations/Disclaimer:  It should be noted that this test does not sequence all bases in a human genome, not all variants have been identified or interpreted, and this report is limited only to variants with evidence for causing or contributing to disease/clinical details provided to SN Gene Lab Pvt Ltd.  Testing has been performed assuming that the sample received belongs to the above named individual and any stated relationships between individuals are accepted as true.  Test results are interpreted in the context of clinical findings, family history and other laboratory data. Only variations in genes potentially related to the proband's medical condition are reported. Rare polymorphisms may lead to false negative or positive results. Misinterpretation of results may occur if the information provided is inaccurate or incomplete. The results should be interpreted in the context of the patient’s medical evaluation, family history and racial/ethnic background. Please note that variant classification and/or interpretation may change over time if more information available. Re-interpretation of multi gene next generation sequencing data is recommended on an annual basis and may be requested by a medical provider.  The sensitivity of this assay to detect large deletions/duplications of more than 10 bp or copy number variations (CNV) is 70-75%. The CNVs detected with this assay have to be confirmed by alternate method such as MLPA &amp; Microarray.  Due to inherent technology limitations, coverage is not uniform across all regions. Hence pathogenic variants present in areas of insufficient coverage as well as those variants which currently do not co-relate with the provided phenotype may not be analyzed/ reported. Additionally, it may not be possible to fully resolve certain details about variants, such as mosaicism, phasing, or mapping ambiguity.  Triplet repeat expansions, translocations, large deletion or duplications and chromosomal rearrangements events are currently not reliably detected by next generation sequencing.  This assay is not meant to interrogate most promoter regions, deep intronic regions, or other regulatory elements, other gene rearrangements like inversion or translocation and does not detect single or multi-exon deletions or duplications.  Incidental or secondary findings (if any) that meet the ACMG guidelines can be given upon request.  Genes with pseudogenes, paralog genes and genes with low complexity may have decreased sensitivity and specificity of variant detection and interpretation due to inability of the data and analysis tools to unambiguously determine the</w:t>
      </w:r>
    </w:p>
    <w:p>
      <w:pPr>
        <w:spacing w:before="232" w:after="120"/>
        <w:jc w:val="center"/>
      </w:pPr>
      <w:r>
        <w:drawing>
          <wp:inline xmlns:a="http://schemas.openxmlformats.org/drawingml/2006/main" xmlns:pic="http://schemas.openxmlformats.org/drawingml/2006/picture">
            <wp:extent cx="1536700" cy="673100"/>
            <wp:docPr id="9" name="Picture 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0" name="Picture 1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1" name="Picture 1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2" name="Picture 1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7"/>
          <w:footerReference w:type="default" r:id="rId18"/>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origin of the sequence data in such regions.  Sequence and copy number variants are reported according to the Human Genome Variation Society (HGVS).  The transcript used for clinical reporting generally represents the canonical transcript, which is usually the longest coding transcript with strong/multiple supporting evidence. However, clinically relevant variants annotated in alternate complete coding transcripts could also be reported.</w:t>
      </w:r>
    </w:p>
    <w:p>
      <w:pPr>
        <w:spacing w:before="0" w:after="249"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2487"/>
            <w:shd w:val="clear" w:color="auto" w:fill="1f497d"/>
            <w:tcMar>
              <w:top w:w="60" w:type="dxa"/>
              <w:bottom w:w="60" w:type="dxa"/>
              <w:start w:w="80" w:type="dxa"/>
              <w:end w:w="80" w:type="dxa"/>
            </w:tcMar>
          </w:tcPr>
          <w:p>
            <w:pPr>
              <w:jc w:val="center"/>
            </w:pPr>
            <w:r>
              <w:rPr>
                <w:rFonts w:ascii="Cambria" w:hAnsi="Cambria"/>
                <w:b/>
                <w:color w:val="FFFFFF"/>
                <w:sz w:val="20"/>
              </w:rPr>
              <w:t>*Variant classification as per ACMG guidelines:</w:t>
            </w:r>
          </w:p>
        </w:tc>
        <w:tc>
          <w:tcPr>
            <w:tcW w:type="dxa" w:w="7979"/>
            <w:shd w:val="clear" w:color="auto" w:fill="1f497d"/>
            <w:tcMar>
              <w:top w:w="60" w:type="dxa"/>
              <w:bottom w:w="60" w:type="dxa"/>
              <w:start w:w="80" w:type="dxa"/>
              <w:end w:w="80" w:type="dxa"/>
            </w:tcMar>
          </w:tcPr>
          <w:p>
            <w:pPr>
              <w:jc w:val="center"/>
            </w:pPr>
            <w:r>
              <w:rPr>
                <w:rFonts w:ascii="Cambria" w:hAnsi="Cambria"/>
                <w:b/>
                <w:color w:val="FFFFFF"/>
                <w:sz w:val="19"/>
              </w:rPr>
              <w:t>Column 2</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Variant</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change in a gene. This could be disease causing (pathogenic) or not disease causing (benign).</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Benign</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variant which is known not to be responsible for disease has been detected. Generally, no</w:t>
              <w:br/>
              <w:t>further action is warranted on such variants when detected.</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Likely Benign</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variant which is very unlikely to contribute to the development of disease however, the</w:t>
              <w:br/>
              <w:t>scientific evidence is currently insufficient to prove this conclusively. Additional evidence is</w:t>
              <w:br/>
              <w:t>expected to confirm this assertion of Pathogenicity.</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Pathogenic</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disease-causing variation in a gene which can explain the patient's symptoms has been detected.</w:t>
              <w:br/>
              <w:t>This usually means that a suspected disorder for which testing had been requested has been</w:t>
              <w:br/>
              <w:t>confirmed.</w:t>
            </w:r>
          </w:p>
        </w:tc>
      </w:tr>
      <w:tr>
        <w:trPr>
          <w:cantSplit w:val="true"/>
        </w:trPr>
        <w:tc>
          <w:tcPr>
            <w:tcW w:type="dxa" w:w="2487"/>
            <w:shd w:val="clear" w:color="auto" w:fill="ececec"/>
            <w:tcMar>
              <w:top w:w="60" w:type="dxa"/>
              <w:bottom w:w="60" w:type="dxa"/>
              <w:start w:w="80" w:type="dxa"/>
              <w:end w:w="80" w:type="dxa"/>
            </w:tcMar>
          </w:tcPr>
          <w:p>
            <w:pPr>
              <w:jc w:val="left"/>
            </w:pPr>
            <w:r>
              <w:rPr>
                <w:rFonts w:ascii="Cambria" w:hAnsi="Cambria"/>
                <w:b w:val="0"/>
                <w:i w:val="0"/>
                <w:color w:val="000000"/>
                <w:sz w:val="20"/>
              </w:rPr>
              <w:t>Likely Pathogenic</w:t>
            </w:r>
          </w:p>
        </w:tc>
        <w:tc>
          <w:tcPr>
            <w:tcW w:type="dxa" w:w="7979"/>
            <w:shd w:val="clear" w:color="auto" w:fill="ececec"/>
            <w:tcMar>
              <w:top w:w="60" w:type="dxa"/>
              <w:bottom w:w="60" w:type="dxa"/>
              <w:start w:w="80" w:type="dxa"/>
              <w:end w:w="80" w:type="dxa"/>
            </w:tcMar>
          </w:tcPr>
          <w:p>
            <w:pPr>
              <w:jc w:val="left"/>
            </w:pPr>
            <w:r>
              <w:rPr>
                <w:rFonts w:ascii="Cambria" w:hAnsi="Cambria"/>
                <w:b w:val="0"/>
                <w:i w:val="0"/>
                <w:color w:val="000000"/>
                <w:sz w:val="20"/>
              </w:rPr>
              <w:t>A variant which is very likely to contribute to the development of disease however, the scientific</w:t>
              <w:br/>
              <w:t>evidence is currently insufficient to prove this conclusively. Additional evidence is expected to</w:t>
              <w:br/>
              <w:t>confirm this assertion of pathogenicity.</w:t>
            </w:r>
          </w:p>
        </w:tc>
      </w:tr>
      <w:tr>
        <w:trPr>
          <w:cantSplit w:val="true"/>
        </w:trPr>
        <w:tc>
          <w:tcPr>
            <w:tcW w:type="dxa" w:w="2487"/>
            <w:shd w:val="clear" w:color="auto" w:fill="f6f6f6"/>
            <w:tcMar>
              <w:top w:w="60" w:type="dxa"/>
              <w:bottom w:w="60" w:type="dxa"/>
              <w:start w:w="80" w:type="dxa"/>
              <w:end w:w="80" w:type="dxa"/>
            </w:tcMar>
          </w:tcPr>
          <w:p>
            <w:pPr>
              <w:jc w:val="left"/>
            </w:pPr>
            <w:r>
              <w:rPr>
                <w:rFonts w:ascii="Cambria" w:hAnsi="Cambria"/>
                <w:b w:val="0"/>
                <w:i w:val="0"/>
                <w:color w:val="000000"/>
                <w:sz w:val="20"/>
              </w:rPr>
              <w:t>Variant of</w:t>
              <w:br/>
              <w:t>Uncertain</w:t>
              <w:br/>
              <w:t>Significance</w:t>
            </w:r>
          </w:p>
        </w:tc>
        <w:tc>
          <w:tcPr>
            <w:tcW w:type="dxa" w:w="7979"/>
            <w:shd w:val="clear" w:color="auto" w:fill="f6f6f6"/>
            <w:tcMar>
              <w:top w:w="60" w:type="dxa"/>
              <w:bottom w:w="60" w:type="dxa"/>
              <w:start w:w="80" w:type="dxa"/>
              <w:end w:w="80" w:type="dxa"/>
            </w:tcMar>
          </w:tcPr>
          <w:p>
            <w:pPr>
              <w:jc w:val="left"/>
            </w:pPr>
            <w:r>
              <w:rPr>
                <w:rFonts w:ascii="Cambria" w:hAnsi="Cambria"/>
                <w:b w:val="0"/>
                <w:i w:val="0"/>
                <w:color w:val="000000"/>
                <w:sz w:val="20"/>
              </w:rPr>
              <w:t>A variant has been detected, but it is difficult to classify it as either pathogenic (disease causing) or</w:t>
              <w:br/>
              <w:t>benign (non-disease causing) based on current available scientific evidence. Further testing of the</w:t>
              <w:br/>
              <w:t>patient or family members as recommended by your clinician may be needed. It is probable that</w:t>
              <w:br/>
              <w:t>their significance can be assessed only with time, subject to availability of scientific evidence.</w:t>
            </w:r>
          </w:p>
        </w:tc>
      </w:tr>
    </w:tbl>
    <w:p>
      <w:pPr>
        <w:spacing w:before="0" w:after="120" w:line="20" w:lineRule="exact"/>
      </w:pPr>
      <w:r>
        <w:rPr>
          <w:sz w:val="2"/>
        </w:rPr>
      </w:r>
    </w:p>
    <w:p>
      <w:pPr>
        <w:spacing w:before="0" w:after="241"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pPr/>
            <w:r>
              <w:rPr>
                <w:rFonts w:ascii="Cambria" w:hAnsi="Cambria"/>
                <w:b/>
                <w:color w:val="1F497D"/>
                <w:sz w:val="20"/>
              </w:rPr>
              <w:t>interpretation of sequence variants</w:t>
            </w:r>
          </w:p>
        </w:tc>
        <w:tc>
          <w:tcPr>
            <w:tcW w:type="dxa" w:w="3168"/>
            <w:tcMar>
              <w:top w:w="20" w:type="dxa"/>
              <w:bottom w:w="20" w:type="dxa"/>
              <w:start w:w="40" w:type="dxa"/>
              <w:end w:w="40" w:type="dxa"/>
            </w:tcMar>
          </w:tcPr>
          <w:p>
            <w:pPr/>
            <w:r>
              <w:rPr>
                <w:rFonts w:ascii="Cambria" w:hAnsi="Cambria"/>
                <w:color w:val="000000"/>
                <w:sz w:val="20"/>
              </w:rPr>
              <w:t>a joint consensus</w:t>
            </w:r>
          </w:p>
        </w:tc>
        <w:tc>
          <w:tcPr>
            <w:tcW w:type="dxa" w:w="1440"/>
            <w:tcMar>
              <w:top w:w="20" w:type="dxa"/>
              <w:bottom w:w="20" w:type="dxa"/>
              <w:start w:w="40" w:type="dxa"/>
              <w:end w:w="40" w:type="dxa"/>
            </w:tcMar>
          </w:tcPr>
          <w:p>
            <w:pPr/>
          </w:p>
        </w:tc>
        <w:tc>
          <w:tcPr>
            <w:tcW w:type="dxa" w:w="3168"/>
            <w:tcMar>
              <w:top w:w="20" w:type="dxa"/>
              <w:bottom w:w="20" w:type="dxa"/>
              <w:start w:w="40" w:type="dxa"/>
              <w:end w:w="40" w:type="dxa"/>
            </w:tcMar>
          </w:tcPr>
          <w:p>
            <w:pPr/>
          </w:p>
        </w:tc>
      </w:tr>
    </w:tbl>
    <w:p>
      <w:pPr>
        <w:spacing w:before="0" w:after="80" w:line="20" w:lineRule="exact"/>
      </w:pPr>
      <w:r>
        <w:rPr>
          <w:sz w:val="2"/>
        </w:rPr>
      </w:r>
    </w:p>
    <w:p>
      <w:pPr>
        <w:spacing w:before="160" w:after="80" w:line="276" w:lineRule="auto"/>
        <w:jc w:val="left"/>
      </w:pPr>
      <w:r>
        <w:rPr>
          <w:rFonts w:ascii="Cambria" w:hAnsi="Cambria"/>
          <w:color w:val="000000"/>
          <w:sz w:val="20"/>
        </w:rPr>
        <w:t>2. Kalia S.S. et al., Recommendations for reporting of secondary findings in clinical exome and genome sequencing, 2016 update(ACMG SF v2.0): a policy statement of the American College of Medical Genetics and Genomics. Genet Med., 19(2):249-255, 2017.</w:t>
      </w:r>
    </w:p>
    <w:p>
      <w:pPr>
        <w:spacing w:before="360" w:after="120"/>
        <w:jc w:val="center"/>
      </w:pPr>
      <w:r>
        <w:drawing>
          <wp:inline xmlns:a="http://schemas.openxmlformats.org/drawingml/2006/main" xmlns:pic="http://schemas.openxmlformats.org/drawingml/2006/picture">
            <wp:extent cx="1536700" cy="673100"/>
            <wp:docPr id="13" name="Picture 1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4" name="Picture 1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16" name="Picture 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19"/>
          <w:footerReference w:type="default" r:id="rId20"/>
          <w:pgSz w:w="11906" w:h="16838"/>
          <w:pgMar w:top="1200" w:right="720" w:bottom="800" w:left="720" w:header="720" w:footer="720" w:gutter="0"/>
          <w:cols w:space="720"/>
          <w:docGrid w:linePitch="360"/>
        </w:sectPr>
      </w:pPr>
    </w:p>
    <w:p>
      <w:pPr>
        <w:spacing w:before="360" w:after="80" w:line="276" w:lineRule="auto"/>
        <w:jc w:val="left"/>
      </w:pPr>
      <w:r>
        <w:rPr>
          <w:rFonts w:ascii="Cambria" w:hAnsi="Cambria"/>
          <w:color w:val="000000"/>
          <w:sz w:val="20"/>
        </w:rPr>
        <w:t>3. Meyer, L.R., et al., The UCSC Genome Browser database: extensions and updates 2013. Nucleic Acids Res, 2013. 41(D1): p.D64-9.</w:t>
      </w:r>
    </w:p>
    <w:p>
      <w:pPr>
        <w:spacing w:before="160" w:after="80" w:line="276" w:lineRule="auto"/>
        <w:jc w:val="left"/>
      </w:pPr>
      <w:r>
        <w:rPr>
          <w:rFonts w:ascii="Cambria" w:hAnsi="Cambria"/>
          <w:color w:val="000000"/>
          <w:sz w:val="20"/>
        </w:rPr>
        <w:t>4. McKenna, A., et al., The Genome Analysis Toolkit: a MapReduce framework for analyzing next-generation DNA sequencing data. Genome Res, 2010. 20(9): p. 1297-303</w:t>
      </w:r>
    </w:p>
    <w:p>
      <w:pPr>
        <w:spacing w:before="235" w:after="80" w:line="276" w:lineRule="auto"/>
        <w:jc w:val="left"/>
      </w:pPr>
      <w:r>
        <w:rPr>
          <w:rFonts w:ascii="Cambria" w:hAnsi="Cambria"/>
          <w:color w:val="000000"/>
          <w:sz w:val="20"/>
        </w:rPr>
        <w:t>5. 1000 Genomes Project Consortium et al., A global reference for human genetic variation. Nature, 526(7571): 68-74, 2015.</w:t>
      </w:r>
    </w:p>
    <w:p>
      <w:pPr>
        <w:spacing w:before="160" w:after="80" w:line="276" w:lineRule="auto"/>
        <w:jc w:val="left"/>
      </w:pPr>
      <w:r>
        <w:rPr>
          <w:rFonts w:ascii="Cambria" w:hAnsi="Cambria"/>
          <w:color w:val="000000"/>
          <w:sz w:val="20"/>
        </w:rPr>
        <w:t>6. Lek M. et al., Analysis of protein-coding genetic variation in 60,706 humans. Nature, 536(7616):285-91, 2016.</w:t>
      </w:r>
    </w:p>
    <w:p>
      <w:pPr>
        <w:spacing w:before="160" w:after="80" w:line="276" w:lineRule="auto"/>
        <w:jc w:val="left"/>
      </w:pPr>
      <w:r>
        <w:rPr>
          <w:rFonts w:ascii="Cambria" w:hAnsi="Cambria"/>
          <w:color w:val="000000"/>
          <w:sz w:val="20"/>
        </w:rPr>
        <w:t>7. McLaren, W., et al., Deriving the consequences of genomic variants with the Ensembl API and SNP Effect Predictor. Bioinformatics, 2010. 26(16): p. 2069-70.</w:t>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233"/>
        <w:gridCol w:w="5233"/>
      </w:tblGrid>
      <w:tr>
        <w:trPr>
          <w:tblHeader w:val="true"/>
          <w:cantSplit w:val="true"/>
        </w:trPr>
        <w:tc>
          <w:tcPr>
            <w:tcW w:type="dxa" w:w="7233"/>
            <w:shd w:val="clear" w:color="auto" w:fill="1f497d"/>
            <w:tcMar>
              <w:top w:w="60" w:type="dxa"/>
              <w:bottom w:w="60" w:type="dxa"/>
              <w:start w:w="80" w:type="dxa"/>
              <w:end w:w="80" w:type="dxa"/>
            </w:tcMar>
          </w:tcPr>
          <w:p>
            <w:pPr>
              <w:jc w:val="center"/>
            </w:pPr>
            <w:r>
              <w:rPr>
                <w:rFonts w:ascii="Cambria" w:hAnsi="Cambria"/>
                <w:b/>
                <w:color w:val="FFFFFF"/>
                <w:sz w:val="20"/>
              </w:rPr>
              <w:t>Title</w:t>
            </w:r>
          </w:p>
        </w:tc>
        <w:tc>
          <w:tcPr>
            <w:tcW w:type="dxa" w:w="3232"/>
            <w:shd w:val="clear" w:color="auto" w:fill="1f497d"/>
            <w:tcMar>
              <w:top w:w="60" w:type="dxa"/>
              <w:bottom w:w="60" w:type="dxa"/>
              <w:start w:w="80" w:type="dxa"/>
              <w:end w:w="80" w:type="dxa"/>
            </w:tcMar>
          </w:tcPr>
          <w:p>
            <w:pPr>
              <w:jc w:val="center"/>
            </w:pPr>
            <w:r>
              <w:rPr>
                <w:rFonts w:ascii="Cambria" w:hAnsi="Cambria"/>
                <w:b/>
                <w:color w:val="FFFFFF"/>
                <w:sz w:val="20"/>
              </w:rPr>
              <w:t>Data</w:t>
            </w:r>
          </w:p>
        </w:tc>
      </w:tr>
      <w:tr>
        <w:trPr>
          <w:cantSplit w:val="true"/>
        </w:trPr>
        <w:tc>
          <w:tcPr>
            <w:tcW w:type="dxa" w:w="7233"/>
            <w:tcMar>
              <w:top w:w="60" w:type="dxa"/>
              <w:bottom w:w="60" w:type="dxa"/>
              <w:start w:w="80" w:type="dxa"/>
              <w:end w:w="80" w:type="dxa"/>
            </w:tcMar>
          </w:tcPr>
          <w:p>
            <w:pPr>
              <w:jc w:val="left"/>
            </w:pPr>
            <w:r>
              <w:rPr>
                <w:rFonts w:ascii="Cambria" w:hAnsi="Cambria"/>
                <w:b w:val="0"/>
                <w:i w:val="0"/>
                <w:color w:val="000000"/>
                <w:sz w:val="20"/>
              </w:rPr>
              <w:t>Total data generated (Gb)</w:t>
            </w:r>
          </w:p>
        </w:tc>
        <w:tc>
          <w:tcPr>
            <w:tcW w:type="dxa" w:w="3232"/>
            <w:tcMar>
              <w:top w:w="60" w:type="dxa"/>
              <w:bottom w:w="60" w:type="dxa"/>
              <w:start w:w="80" w:type="dxa"/>
              <w:end w:w="80" w:type="dxa"/>
            </w:tcMar>
          </w:tcPr>
          <w:p>
            <w:pPr>
              <w:jc w:val="right"/>
            </w:pPr>
            <w:r>
              <w:rPr>
                <w:rFonts w:ascii="Cambria" w:hAnsi="Cambria"/>
                <w:b w:val="0"/>
                <w:i w:val="0"/>
                <w:color w:val="000000"/>
                <w:sz w:val="20"/>
              </w:rPr>
              <w:t>8.09</w:t>
            </w:r>
          </w:p>
        </w:tc>
      </w:tr>
      <w:tr>
        <w:trPr>
          <w:cantSplit w:val="true"/>
        </w:trPr>
        <w:tc>
          <w:tcPr>
            <w:tcW w:type="dxa" w:w="7233"/>
            <w:shd w:val="clear" w:color="auto" w:fill="f8fafc"/>
            <w:tcMar>
              <w:top w:w="60" w:type="dxa"/>
              <w:bottom w:w="60" w:type="dxa"/>
              <w:start w:w="80" w:type="dxa"/>
              <w:end w:w="80" w:type="dxa"/>
            </w:tcMar>
          </w:tcPr>
          <w:p>
            <w:pPr>
              <w:jc w:val="left"/>
            </w:pPr>
            <w:r>
              <w:rPr>
                <w:rFonts w:ascii="Cambria" w:hAnsi="Cambria"/>
                <w:b w:val="0"/>
                <w:i w:val="0"/>
                <w:color w:val="000000"/>
                <w:sz w:val="20"/>
              </w:rPr>
              <w:t>Total Reads (%)</w:t>
            </w:r>
          </w:p>
        </w:tc>
        <w:tc>
          <w:tcPr>
            <w:tcW w:type="dxa" w:w="3232"/>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7233"/>
            <w:tcMar>
              <w:top w:w="60" w:type="dxa"/>
              <w:bottom w:w="60" w:type="dxa"/>
              <w:start w:w="80" w:type="dxa"/>
              <w:end w:w="80" w:type="dxa"/>
            </w:tcMar>
          </w:tcPr>
          <w:p>
            <w:pPr>
              <w:jc w:val="left"/>
            </w:pPr>
            <w:r>
              <w:rPr>
                <w:rFonts w:ascii="Cambria" w:hAnsi="Cambria"/>
                <w:b w:val="0"/>
                <w:i w:val="0"/>
                <w:color w:val="000000"/>
                <w:sz w:val="20"/>
              </w:rPr>
              <w:t>Total reads aligned (%)</w:t>
            </w:r>
          </w:p>
        </w:tc>
        <w:tc>
          <w:tcPr>
            <w:tcW w:type="dxa" w:w="3232"/>
            <w:tcMar>
              <w:top w:w="60" w:type="dxa"/>
              <w:bottom w:w="60" w:type="dxa"/>
              <w:start w:w="80" w:type="dxa"/>
              <w:end w:w="80" w:type="dxa"/>
            </w:tcMar>
          </w:tcPr>
          <w:p>
            <w:pPr>
              <w:jc w:val="right"/>
            </w:pPr>
            <w:r>
              <w:rPr>
                <w:rFonts w:ascii="Cambria" w:hAnsi="Cambria"/>
                <w:b w:val="0"/>
                <w:i w:val="0"/>
                <w:color w:val="000000"/>
                <w:sz w:val="20"/>
              </w:rPr>
              <w:t>99.30</w:t>
            </w:r>
          </w:p>
        </w:tc>
      </w:tr>
      <w:tr>
        <w:trPr>
          <w:cantSplit w:val="true"/>
        </w:trPr>
        <w:tc>
          <w:tcPr>
            <w:tcW w:type="dxa" w:w="7233"/>
            <w:shd w:val="clear" w:color="auto" w:fill="f8fafc"/>
            <w:tcMar>
              <w:top w:w="60" w:type="dxa"/>
              <w:bottom w:w="60" w:type="dxa"/>
              <w:start w:w="80" w:type="dxa"/>
              <w:end w:w="80" w:type="dxa"/>
            </w:tcMar>
          </w:tcPr>
          <w:p>
            <w:pPr>
              <w:jc w:val="left"/>
            </w:pPr>
            <w:r>
              <w:rPr>
                <w:rFonts w:ascii="Cambria" w:hAnsi="Cambria"/>
                <w:b w:val="0"/>
                <w:i w:val="0"/>
                <w:color w:val="000000"/>
                <w:sz w:val="20"/>
              </w:rPr>
              <w:t>Data &gt;Q30 (%)</w:t>
            </w:r>
          </w:p>
        </w:tc>
        <w:tc>
          <w:tcPr>
            <w:tcW w:type="dxa" w:w="3232"/>
            <w:shd w:val="clear" w:color="auto" w:fill="f8fafc"/>
            <w:tcMar>
              <w:top w:w="60" w:type="dxa"/>
              <w:bottom w:w="60" w:type="dxa"/>
              <w:start w:w="80" w:type="dxa"/>
              <w:end w:w="80" w:type="dxa"/>
            </w:tcMar>
          </w:tcPr>
          <w:p>
            <w:pPr>
              <w:jc w:val="right"/>
            </w:pPr>
            <w:r>
              <w:rPr>
                <w:rFonts w:ascii="Cambria" w:hAnsi="Cambria"/>
                <w:b w:val="0"/>
                <w:i w:val="0"/>
                <w:color w:val="000000"/>
                <w:sz w:val="20"/>
              </w:rPr>
              <w:t>96.93</w:t>
            </w:r>
          </w:p>
        </w:tc>
      </w:tr>
    </w:tbl>
    <w:p>
      <w:pPr>
        <w:spacing w:before="0" w:after="120" w:line="20" w:lineRule="exact"/>
      </w:pPr>
      <w:r>
        <w:rPr>
          <w:sz w:val="2"/>
        </w:rPr>
      </w:r>
    </w:p>
    <w:p>
      <w:pPr>
        <w:spacing w:before="0" w:after="238" w:line="20" w:lineRule="exact"/>
      </w:pPr>
      <w:r>
        <w:rPr>
          <w:sz w:val="2"/>
        </w:rPr>
      </w:r>
    </w:p>
    <w:tbl>
      <w:tblPr>
        <w:tblW w:type="auto" w:w="0"/>
        <w:jc w:val="center"/>
        <w:tblLook w:firstColumn="1" w:firstRow="1" w:lastColumn="0" w:lastRow="0" w:noHBand="0" w:noVBand="1" w:val="04A0"/>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Pr>
      <w:tblGrid>
        <w:gridCol w:w="2616"/>
        <w:gridCol w:w="2616"/>
        <w:gridCol w:w="2616"/>
        <w:gridCol w:w="2616"/>
      </w:tblGrid>
      <w:tr>
        <w:trPr>
          <w:cantSplit w:val="true"/>
        </w:trPr>
        <w:tc>
          <w:tcPr>
            <w:tcW w:type="dxa" w:w="1440"/>
            <w:tcMar>
              <w:top w:w="20" w:type="dxa"/>
              <w:bottom w:w="20" w:type="dxa"/>
              <w:start w:w="40" w:type="dxa"/>
              <w:end w:w="40" w:type="dxa"/>
            </w:tcMar>
          </w:tcPr>
          <w:p>
            <w:pPr/>
            <w:r>
              <w:rPr>
                <w:rFonts w:ascii="Cambria" w:hAnsi="Cambria"/>
                <w:b/>
                <w:color w:val="1F497D"/>
                <w:sz w:val="20"/>
              </w:rPr>
              <w:t>Appendix 2</w:t>
            </w:r>
          </w:p>
        </w:tc>
        <w:tc>
          <w:tcPr>
            <w:tcW w:type="dxa" w:w="3168"/>
            <w:tcMar>
              <w:top w:w="20" w:type="dxa"/>
              <w:bottom w:w="20" w:type="dxa"/>
              <w:start w:w="40" w:type="dxa"/>
              <w:end w:w="40" w:type="dxa"/>
            </w:tcMar>
          </w:tcPr>
          <w:p>
            <w:pPr/>
            <w:r>
              <w:rPr>
                <w:rFonts w:ascii="Cambria" w:hAnsi="Cambria"/>
                <w:color w:val="000000"/>
                <w:sz w:val="20"/>
              </w:rPr>
              <w:t>COVERAGE SUMMARY</w:t>
            </w:r>
          </w:p>
        </w:tc>
        <w:tc>
          <w:tcPr>
            <w:tcW w:type="dxa" w:w="1440"/>
            <w:tcMar>
              <w:top w:w="20" w:type="dxa"/>
              <w:bottom w:w="20" w:type="dxa"/>
              <w:start w:w="40" w:type="dxa"/>
              <w:end w:w="40" w:type="dxa"/>
            </w:tcMar>
          </w:tcPr>
          <w:p>
            <w:pPr/>
          </w:p>
        </w:tc>
        <w:tc>
          <w:tcPr>
            <w:tcW w:type="dxa" w:w="3168"/>
            <w:tcMar>
              <w:top w:w="20" w:type="dxa"/>
              <w:bottom w:w="20" w:type="dxa"/>
              <w:start w:w="40" w:type="dxa"/>
              <w:end w:w="40" w:type="dxa"/>
            </w:tcMar>
          </w:tcPr>
          <w:p>
            <w:pPr/>
          </w:p>
        </w:tc>
      </w:tr>
    </w:tbl>
    <w:p>
      <w:pPr>
        <w:spacing w:before="0" w:after="8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16"/>
        <w:gridCol w:w="2616"/>
        <w:gridCol w:w="2616"/>
        <w:gridCol w:w="2616"/>
      </w:tblGrid>
      <w:tr>
        <w:trPr>
          <w:tblHeader w:val="true"/>
          <w:cantSplit w:val="true"/>
        </w:trPr>
        <w:tc>
          <w:tcPr>
            <w:tcW w:type="dxa" w:w="2230"/>
            <w:shd w:val="clear" w:color="auto" w:fill="1f497d"/>
            <w:tcMar>
              <w:top w:w="60" w:type="dxa"/>
              <w:bottom w:w="60" w:type="dxa"/>
              <w:start w:w="80" w:type="dxa"/>
              <w:end w:w="80" w:type="dxa"/>
            </w:tcMar>
          </w:tcPr>
          <w:p>
            <w:pPr>
              <w:jc w:val="center"/>
            </w:pPr>
            <w:r>
              <w:rPr>
                <w:rFonts w:ascii="Cambria" w:hAnsi="Cambria"/>
                <w:b/>
                <w:color w:val="FFFFFF"/>
                <w:sz w:val="20"/>
              </w:rPr>
              <w:t>Mean Depth</w:t>
            </w:r>
          </w:p>
        </w:tc>
        <w:tc>
          <w:tcPr>
            <w:tcW w:type="dxa" w:w="4160"/>
            <w:shd w:val="clear" w:color="auto" w:fill="1f497d"/>
            <w:tcMar>
              <w:top w:w="60" w:type="dxa"/>
              <w:bottom w:w="60" w:type="dxa"/>
              <w:start w:w="80" w:type="dxa"/>
              <w:end w:w="80" w:type="dxa"/>
            </w:tcMar>
          </w:tcPr>
          <w:p>
            <w:pPr>
              <w:jc w:val="center"/>
            </w:pPr>
            <w:r>
              <w:rPr>
                <w:rFonts w:ascii="Cambria" w:hAnsi="Cambria"/>
                <w:b/>
                <w:color w:val="FFFFFF"/>
                <w:sz w:val="20"/>
              </w:rPr>
              <w:t>Percentage target base pairs covered</w:t>
            </w:r>
          </w:p>
        </w:tc>
        <w:tc>
          <w:tcPr>
            <w:tcW w:type="dxa" w:w="2038"/>
            <w:shd w:val="clear" w:color="auto" w:fill="1f497d"/>
            <w:tcMar>
              <w:top w:w="60" w:type="dxa"/>
              <w:bottom w:w="60" w:type="dxa"/>
              <w:start w:w="80" w:type="dxa"/>
              <w:end w:w="80" w:type="dxa"/>
            </w:tcMar>
          </w:tcPr>
          <w:p>
            <w:pPr>
              <w:jc w:val="center"/>
            </w:pPr>
            <w:r>
              <w:rPr>
                <w:rFonts w:ascii="Cambria" w:hAnsi="Cambria"/>
                <w:b/>
                <w:color w:val="FFFFFF"/>
                <w:sz w:val="19"/>
              </w:rPr>
              <w:t>Column 3</w:t>
            </w:r>
          </w:p>
        </w:tc>
        <w:tc>
          <w:tcPr>
            <w:tcW w:type="dxa" w:w="2038"/>
            <w:shd w:val="clear" w:color="auto" w:fill="1f497d"/>
            <w:tcMar>
              <w:top w:w="60" w:type="dxa"/>
              <w:bottom w:w="60" w:type="dxa"/>
              <w:start w:w="80" w:type="dxa"/>
              <w:end w:w="80" w:type="dxa"/>
            </w:tcMar>
          </w:tcPr>
          <w:p>
            <w:pPr>
              <w:jc w:val="center"/>
            </w:pPr>
            <w:r>
              <w:rPr>
                <w:rFonts w:ascii="Cambria" w:hAnsi="Cambria"/>
                <w:b/>
                <w:color w:val="FFFFFF"/>
                <w:sz w:val="19"/>
              </w:rPr>
              <w:t>Column 4</w:t>
            </w:r>
          </w:p>
        </w:tc>
      </w:tr>
      <w:tr>
        <w:trPr>
          <w:cantSplit w:val="true"/>
        </w:trPr>
        <w:tc>
          <w:tcPr>
            <w:tcW w:type="dxa" w:w="2230"/>
            <w:tcMar>
              <w:top w:w="60" w:type="dxa"/>
              <w:bottom w:w="60" w:type="dxa"/>
              <w:start w:w="80" w:type="dxa"/>
              <w:end w:w="80" w:type="dxa"/>
            </w:tcMar>
          </w:tcPr>
          <w:p>
            <w:pPr>
              <w:jc w:val="left"/>
            </w:pPr>
            <w:r>
              <w:rPr>
                <w:rFonts w:ascii="Cambria" w:hAnsi="Cambria"/>
                <w:b w:val="0"/>
                <w:i w:val="0"/>
                <w:color w:val="000000"/>
                <w:sz w:val="20"/>
              </w:rPr>
              <w:t>80.16x</w:t>
            </w:r>
          </w:p>
        </w:tc>
        <w:tc>
          <w:tcPr>
            <w:tcW w:type="dxa" w:w="4160"/>
            <w:tcMar>
              <w:top w:w="60" w:type="dxa"/>
              <w:bottom w:w="60" w:type="dxa"/>
              <w:start w:w="80" w:type="dxa"/>
              <w:end w:w="80" w:type="dxa"/>
            </w:tcMar>
          </w:tcPr>
          <w:p>
            <w:pPr>
              <w:jc w:val="left"/>
            </w:pPr>
            <w:r>
              <w:rPr>
                <w:rFonts w:ascii="Cambria" w:hAnsi="Cambria"/>
                <w:b w:val="0"/>
                <w:i w:val="0"/>
                <w:color w:val="000000"/>
                <w:sz w:val="20"/>
              </w:rPr>
              <w:t>1x</w:t>
            </w:r>
          </w:p>
        </w:tc>
        <w:tc>
          <w:tcPr>
            <w:tcW w:type="dxa" w:w="2038"/>
            <w:tcMar>
              <w:top w:w="60" w:type="dxa"/>
              <w:bottom w:w="60" w:type="dxa"/>
              <w:start w:w="80" w:type="dxa"/>
              <w:end w:w="80" w:type="dxa"/>
            </w:tcMar>
          </w:tcPr>
          <w:p>
            <w:pPr>
              <w:jc w:val="left"/>
            </w:pPr>
            <w:r>
              <w:rPr>
                <w:rFonts w:ascii="Cambria" w:hAnsi="Cambria"/>
                <w:b w:val="0"/>
                <w:i w:val="0"/>
                <w:color w:val="000000"/>
                <w:sz w:val="20"/>
              </w:rPr>
              <w:t>5x</w:t>
            </w:r>
          </w:p>
        </w:tc>
        <w:tc>
          <w:tcPr>
            <w:tcW w:type="dxa" w:w="2038"/>
            <w:tcMar>
              <w:top w:w="60" w:type="dxa"/>
              <w:bottom w:w="60" w:type="dxa"/>
              <w:start w:w="80" w:type="dxa"/>
              <w:end w:w="80" w:type="dxa"/>
            </w:tcMar>
          </w:tcPr>
          <w:p>
            <w:pPr>
              <w:jc w:val="right"/>
            </w:pPr>
            <w:r>
              <w:rPr>
                <w:rFonts w:ascii="Cambria" w:hAnsi="Cambria"/>
                <w:b w:val="0"/>
                <w:i w:val="0"/>
                <w:color w:val="000000"/>
                <w:sz w:val="20"/>
              </w:rPr>
              <w:t>20x</w:t>
            </w:r>
          </w:p>
        </w:tc>
      </w:tr>
      <w:tr>
        <w:trPr>
          <w:cantSplit w:val="true"/>
        </w:trPr>
        <w:tc>
          <w:tcPr>
            <w:tcW w:type="dxa" w:w="2230"/>
            <w:shd w:val="clear" w:color="auto" w:fill="f8fafc"/>
            <w:tcMar>
              <w:top w:w="60" w:type="dxa"/>
              <w:bottom w:w="60" w:type="dxa"/>
              <w:start w:w="80" w:type="dxa"/>
              <w:end w:w="80" w:type="dxa"/>
            </w:tcMar>
          </w:tcPr>
          <w:p>
            <w:pPr>
              <w:jc w:val="left"/>
            </w:pPr>
            <w:r>
              <w:rPr>
                <w:rFonts w:ascii="Cambria" w:hAnsi="Cambria"/>
                <w:b w:val="0"/>
                <w:i w:val="0"/>
                <w:color w:val="000000"/>
                <w:sz w:val="19"/>
              </w:rPr>
            </w:r>
          </w:p>
        </w:tc>
        <w:tc>
          <w:tcPr>
            <w:tcW w:type="dxa" w:w="4160"/>
            <w:shd w:val="clear" w:color="auto" w:fill="f8fafc"/>
            <w:tcMar>
              <w:top w:w="60" w:type="dxa"/>
              <w:bottom w:w="60" w:type="dxa"/>
              <w:start w:w="80" w:type="dxa"/>
              <w:end w:w="80" w:type="dxa"/>
            </w:tcMar>
          </w:tcPr>
          <w:p>
            <w:pPr>
              <w:jc w:val="left"/>
            </w:pPr>
            <w:r>
              <w:rPr>
                <w:rFonts w:ascii="Cambria" w:hAnsi="Cambria"/>
                <w:b w:val="0"/>
                <w:i w:val="0"/>
                <w:color w:val="000000"/>
                <w:sz w:val="20"/>
              </w:rPr>
              <w:t>98.71%</w:t>
            </w:r>
          </w:p>
        </w:tc>
        <w:tc>
          <w:tcPr>
            <w:tcW w:type="dxa" w:w="2038"/>
            <w:shd w:val="clear" w:color="auto" w:fill="f8fafc"/>
            <w:tcMar>
              <w:top w:w="60" w:type="dxa"/>
              <w:bottom w:w="60" w:type="dxa"/>
              <w:start w:w="80" w:type="dxa"/>
              <w:end w:w="80" w:type="dxa"/>
            </w:tcMar>
          </w:tcPr>
          <w:p>
            <w:pPr>
              <w:jc w:val="left"/>
            </w:pPr>
            <w:r>
              <w:rPr>
                <w:rFonts w:ascii="Cambria" w:hAnsi="Cambria"/>
                <w:b w:val="0"/>
                <w:i w:val="0"/>
                <w:color w:val="000000"/>
                <w:sz w:val="20"/>
              </w:rPr>
              <w:t>98.42%</w:t>
            </w:r>
          </w:p>
        </w:tc>
        <w:tc>
          <w:tcPr>
            <w:tcW w:type="dxa" w:w="2038"/>
            <w:shd w:val="clear" w:color="auto" w:fill="f8fafc"/>
            <w:tcMar>
              <w:top w:w="60" w:type="dxa"/>
              <w:bottom w:w="60" w:type="dxa"/>
              <w:start w:w="80" w:type="dxa"/>
              <w:end w:w="80" w:type="dxa"/>
            </w:tcMar>
          </w:tcPr>
          <w:p>
            <w:pPr>
              <w:jc w:val="right"/>
            </w:pPr>
            <w:r>
              <w:rPr>
                <w:rFonts w:ascii="Cambria" w:hAnsi="Cambria"/>
                <w:b w:val="0"/>
                <w:i w:val="0"/>
                <w:color w:val="000000"/>
                <w:sz w:val="20"/>
              </w:rPr>
              <w:t>97.85%</w:t>
            </w:r>
          </w:p>
        </w:tc>
      </w:tr>
    </w:tbl>
    <w:p>
      <w:pPr>
        <w:spacing w:before="0" w:after="120" w:line="20" w:lineRule="exact"/>
      </w:pPr>
      <w:r>
        <w:rPr>
          <w:sz w:val="2"/>
        </w:rPr>
      </w: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26"/>
            <w:shd w:val="clear" w:color="auto" w:fill="1f497d"/>
            <w:tcMar>
              <w:top w:w="60" w:type="dxa"/>
              <w:bottom w:w="60" w:type="dxa"/>
              <w:start w:w="80" w:type="dxa"/>
              <w:end w:w="80" w:type="dxa"/>
            </w:tcMar>
          </w:tcPr>
          <w:p>
            <w:pPr>
              <w:jc w:val="center"/>
            </w:pPr>
            <w:r>
              <w:rPr>
                <w:rFonts w:ascii="Cambria" w:hAnsi="Cambria"/>
                <w:b/>
                <w:color w:val="FFFFFF"/>
                <w:sz w:val="20"/>
              </w:rPr>
              <w:t>Gene</w:t>
            </w:r>
          </w:p>
        </w:tc>
        <w:tc>
          <w:tcPr>
            <w:tcW w:type="dxa" w:w="1917"/>
            <w:shd w:val="clear" w:color="auto" w:fill="1f497d"/>
            <w:tcMar>
              <w:top w:w="60" w:type="dxa"/>
              <w:bottom w:w="60" w:type="dxa"/>
              <w:start w:w="80" w:type="dxa"/>
              <w:end w:w="80" w:type="dxa"/>
            </w:tcMar>
          </w:tcPr>
          <w:p>
            <w:pPr>
              <w:jc w:val="center"/>
            </w:pPr>
            <w:r>
              <w:rPr>
                <w:rFonts w:ascii="Cambria" w:hAnsi="Cambria"/>
                <w:b/>
                <w:color w:val="FFFFFF"/>
                <w:sz w:val="20"/>
              </w:rPr>
              <w:t>Region covered</w:t>
            </w:r>
          </w:p>
        </w:tc>
        <w:tc>
          <w:tcPr>
            <w:tcW w:type="dxa" w:w="1526"/>
            <w:shd w:val="clear" w:color="auto" w:fill="1f497d"/>
            <w:tcMar>
              <w:top w:w="60" w:type="dxa"/>
              <w:bottom w:w="60" w:type="dxa"/>
              <w:start w:w="80" w:type="dxa"/>
              <w:end w:w="80" w:type="dxa"/>
            </w:tcMar>
          </w:tcPr>
          <w:p>
            <w:pPr>
              <w:jc w:val="center"/>
            </w:pPr>
            <w:r>
              <w:rPr>
                <w:rFonts w:ascii="Cambria" w:hAnsi="Cambria"/>
                <w:b/>
                <w:color w:val="FFFFFF"/>
                <w:sz w:val="20"/>
              </w:rPr>
              <w:t>Gene_2</w:t>
            </w:r>
          </w:p>
        </w:tc>
        <w:tc>
          <w:tcPr>
            <w:tcW w:type="dxa" w:w="2017"/>
            <w:shd w:val="clear" w:color="auto" w:fill="1f497d"/>
            <w:tcMar>
              <w:top w:w="60" w:type="dxa"/>
              <w:bottom w:w="60" w:type="dxa"/>
              <w:start w:w="80" w:type="dxa"/>
              <w:end w:w="80" w:type="dxa"/>
            </w:tcMar>
          </w:tcPr>
          <w:p>
            <w:pPr>
              <w:jc w:val="center"/>
            </w:pPr>
            <w:r>
              <w:rPr>
                <w:rFonts w:ascii="Cambria" w:hAnsi="Cambria"/>
                <w:b/>
                <w:color w:val="FFFFFF"/>
                <w:sz w:val="20"/>
              </w:rPr>
              <w:t>Region covered_2</w:t>
            </w:r>
          </w:p>
        </w:tc>
        <w:tc>
          <w:tcPr>
            <w:tcW w:type="dxa" w:w="1462"/>
            <w:shd w:val="clear" w:color="auto" w:fill="1f497d"/>
            <w:tcMar>
              <w:top w:w="60" w:type="dxa"/>
              <w:bottom w:w="60" w:type="dxa"/>
              <w:start w:w="80" w:type="dxa"/>
              <w:end w:w="80" w:type="dxa"/>
            </w:tcMar>
          </w:tcPr>
          <w:p>
            <w:pPr>
              <w:jc w:val="center"/>
            </w:pPr>
            <w:r>
              <w:rPr>
                <w:rFonts w:ascii="Cambria" w:hAnsi="Cambria"/>
                <w:b/>
                <w:color w:val="FFFFFF"/>
                <w:sz w:val="20"/>
              </w:rPr>
              <w:t>Gene_3</w:t>
            </w:r>
          </w:p>
        </w:tc>
        <w:tc>
          <w:tcPr>
            <w:tcW w:type="dxa" w:w="2017"/>
            <w:shd w:val="clear" w:color="auto" w:fill="1f497d"/>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MT-ATP6</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MT-ND6</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MT-TL1</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MT-ATP8</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MT-RNR1</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MT-TL2</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MT-CO1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MT-RNR2</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MT-TM</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MT-CO2</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MT-TA</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MT-TN</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MT-CO3</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MT-TC</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MT-TP</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MT-CYB</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MT-TD</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MT-TQ</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MT-ND1</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MT-TE</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MT-TR</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MT-ND2</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MT-TF</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MT-TS1</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MT-ND3</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MT-TG</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MT-TS2</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MT-ND4</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MT-TH</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MT-TT</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MT-ND4L</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Cambria" w:hAnsi="Cambria"/>
                <w:b/>
                <w:i/>
                <w:color w:val="000000"/>
                <w:sz w:val="20"/>
              </w:rPr>
              <w:t>MT-TI</w:t>
            </w:r>
          </w:p>
        </w:tc>
        <w:tc>
          <w:tcPr>
            <w:tcW w:type="dxa" w:w="2017"/>
            <w:tcMar>
              <w:top w:w="60" w:type="dxa"/>
              <w:bottom w:w="60" w:type="dxa"/>
              <w:start w:w="80" w:type="dxa"/>
              <w:end w:w="80" w:type="dxa"/>
            </w:tcMar>
          </w:tcPr>
          <w:p>
            <w:pPr>
              <w:jc w:val="left"/>
            </w:pPr>
            <w:r>
              <w:rPr>
                <w:rFonts w:ascii="Cambria" w:hAnsi="Cambria"/>
                <w:b w:val="0"/>
                <w:i w:val="0"/>
                <w:color w:val="000000"/>
                <w:sz w:val="20"/>
              </w:rPr>
              <w:t>100.00%</w:t>
            </w:r>
          </w:p>
        </w:tc>
        <w:tc>
          <w:tcPr>
            <w:tcW w:type="dxa" w:w="1462"/>
            <w:tcMar>
              <w:top w:w="60" w:type="dxa"/>
              <w:bottom w:w="60" w:type="dxa"/>
              <w:start w:w="80" w:type="dxa"/>
              <w:end w:w="80" w:type="dxa"/>
            </w:tcMar>
          </w:tcPr>
          <w:p>
            <w:pPr>
              <w:jc w:val="left"/>
            </w:pPr>
            <w:r>
              <w:rPr>
                <w:rFonts w:ascii="Cambria" w:hAnsi="Cambria"/>
                <w:b/>
                <w:i/>
                <w:color w:val="000000"/>
                <w:sz w:val="20"/>
              </w:rPr>
              <w:t>MT-TV</w:t>
            </w:r>
          </w:p>
        </w:tc>
        <w:tc>
          <w:tcPr>
            <w:tcW w:type="dxa" w:w="2017"/>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MT-ND5</w:t>
            </w:r>
          </w:p>
        </w:tc>
        <w:tc>
          <w:tcPr>
            <w:tcW w:type="dxa" w:w="19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26"/>
            <w:shd w:val="clear" w:color="auto" w:fill="f8fafc"/>
            <w:tcMar>
              <w:top w:w="60" w:type="dxa"/>
              <w:bottom w:w="60" w:type="dxa"/>
              <w:start w:w="80" w:type="dxa"/>
              <w:end w:w="80" w:type="dxa"/>
            </w:tcMar>
          </w:tcPr>
          <w:p>
            <w:pPr>
              <w:jc w:val="left"/>
            </w:pPr>
            <w:r>
              <w:rPr>
                <w:rFonts w:ascii="Cambria" w:hAnsi="Cambria"/>
                <w:b/>
                <w:i/>
                <w:color w:val="000000"/>
                <w:sz w:val="20"/>
              </w:rPr>
              <w:t>MT-TK</w:t>
            </w:r>
          </w:p>
        </w:tc>
        <w:tc>
          <w:tcPr>
            <w:tcW w:type="dxa" w:w="2017"/>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462"/>
            <w:shd w:val="clear" w:color="auto" w:fill="f8fafc"/>
            <w:tcMar>
              <w:top w:w="60" w:type="dxa"/>
              <w:bottom w:w="60" w:type="dxa"/>
              <w:start w:w="80" w:type="dxa"/>
              <w:end w:w="80" w:type="dxa"/>
            </w:tcMar>
          </w:tcPr>
          <w:p>
            <w:pPr>
              <w:jc w:val="left"/>
            </w:pPr>
            <w:r>
              <w:rPr>
                <w:rFonts w:ascii="Cambria" w:hAnsi="Cambria"/>
                <w:b/>
                <w:i/>
                <w:color w:val="000000"/>
                <w:sz w:val="20"/>
              </w:rPr>
              <w:t>MT-TW</w:t>
            </w:r>
          </w:p>
        </w:tc>
        <w:tc>
          <w:tcPr>
            <w:tcW w:type="dxa" w:w="2017"/>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26"/>
            <w:tcMar>
              <w:top w:w="60" w:type="dxa"/>
              <w:bottom w:w="60" w:type="dxa"/>
              <w:start w:w="80" w:type="dxa"/>
              <w:end w:w="80" w:type="dxa"/>
            </w:tcMar>
          </w:tcPr>
          <w:p>
            <w:pPr>
              <w:jc w:val="left"/>
            </w:pPr>
            <w:r>
              <w:rPr>
                <w:rFonts w:ascii="Cambria" w:hAnsi="Cambria"/>
                <w:b/>
                <w:i/>
                <w:color w:val="000000"/>
                <w:sz w:val="20"/>
              </w:rPr>
              <w:t>MT-TY</w:t>
            </w:r>
          </w:p>
        </w:tc>
        <w:tc>
          <w:tcPr>
            <w:tcW w:type="dxa" w:w="1917"/>
            <w:tcMar>
              <w:top w:w="60" w:type="dxa"/>
              <w:bottom w:w="60" w:type="dxa"/>
              <w:start w:w="80" w:type="dxa"/>
              <w:end w:w="80" w:type="dxa"/>
            </w:tcMar>
          </w:tcPr>
          <w:p>
            <w:pPr>
              <w:jc w:val="left"/>
            </w:pPr>
            <w:r>
              <w:rPr>
                <w:rFonts w:ascii="Cambria" w:hAnsi="Cambria"/>
                <w:b w:val="0"/>
                <w:i w:val="0"/>
                <w:color w:val="000000"/>
                <w:sz w:val="20"/>
              </w:rPr>
              <w:t>100.00%</w:t>
            </w:r>
          </w:p>
        </w:tc>
        <w:tc>
          <w:tcPr>
            <w:tcW w:type="dxa" w:w="1526"/>
            <w:tcMar>
              <w:top w:w="60" w:type="dxa"/>
              <w:bottom w:w="60" w:type="dxa"/>
              <w:start w:w="80" w:type="dxa"/>
              <w:end w:w="80" w:type="dxa"/>
            </w:tcMar>
          </w:tcPr>
          <w:p>
            <w:pPr>
              <w:jc w:val="left"/>
            </w:pPr>
            <w:r>
              <w:rPr>
                <w:rFonts w:ascii="Arial" w:hAnsi="Arial"/>
                <w:b w:val="0"/>
                <w:i w:val="0"/>
                <w:color w:val="000000"/>
                <w:sz w:val="16"/>
              </w:rPr>
            </w:r>
          </w:p>
        </w:tc>
        <w:tc>
          <w:tcPr>
            <w:tcW w:type="dxa" w:w="2017"/>
            <w:tcMar>
              <w:top w:w="60" w:type="dxa"/>
              <w:bottom w:w="60" w:type="dxa"/>
              <w:start w:w="80" w:type="dxa"/>
              <w:end w:w="80" w:type="dxa"/>
            </w:tcMar>
          </w:tcPr>
          <w:p>
            <w:pPr>
              <w:jc w:val="left"/>
            </w:pPr>
            <w:r>
              <w:rPr>
                <w:rFonts w:ascii="Arial" w:hAnsi="Arial"/>
                <w:b w:val="0"/>
                <w:i w:val="0"/>
                <w:color w:val="000000"/>
                <w:sz w:val="16"/>
              </w:rPr>
            </w:r>
          </w:p>
        </w:tc>
        <w:tc>
          <w:tcPr>
            <w:tcW w:type="dxa" w:w="1462"/>
            <w:tcMar>
              <w:top w:w="60" w:type="dxa"/>
              <w:bottom w:w="60" w:type="dxa"/>
              <w:start w:w="80" w:type="dxa"/>
              <w:end w:w="80" w:type="dxa"/>
            </w:tcMar>
          </w:tcPr>
          <w:p>
            <w:pPr>
              <w:jc w:val="left"/>
            </w:pPr>
            <w:r>
              <w:rPr>
                <w:rFonts w:ascii="Cambria" w:hAnsi="Cambria"/>
                <w:b w:val="0"/>
                <w:i w:val="0"/>
                <w:color w:val="000000"/>
                <w:sz w:val="19"/>
              </w:rPr>
            </w:r>
          </w:p>
        </w:tc>
        <w:tc>
          <w:tcPr>
            <w:tcW w:type="dxa" w:w="2017"/>
            <w:tcMar>
              <w:top w:w="60" w:type="dxa"/>
              <w:bottom w:w="60" w:type="dxa"/>
              <w:start w:w="80" w:type="dxa"/>
              <w:end w:w="80" w:type="dxa"/>
            </w:tcMar>
          </w:tcPr>
          <w:p>
            <w:pPr>
              <w:jc w:val="right"/>
            </w:pPr>
            <w:r>
              <w:rPr>
                <w:rFonts w:ascii="Cambria" w:hAnsi="Cambria"/>
                <w:b w:val="0"/>
                <w:i w:val="0"/>
                <w:color w:val="000000"/>
                <w:sz w:val="19"/>
              </w:rPr>
            </w:r>
          </w:p>
        </w:tc>
      </w:tr>
    </w:tbl>
    <w:p>
      <w:pPr>
        <w:spacing w:before="0" w:after="120" w:line="20" w:lineRule="exact"/>
      </w:pPr>
      <w:r>
        <w:rPr>
          <w:sz w:val="2"/>
        </w:rPr>
      </w:r>
    </w:p>
    <w:p>
      <w:pPr>
        <w:spacing w:before="107" w:after="120"/>
        <w:jc w:val="center"/>
      </w:pPr>
      <w:r>
        <w:drawing>
          <wp:inline xmlns:a="http://schemas.openxmlformats.org/drawingml/2006/main" xmlns:pic="http://schemas.openxmlformats.org/drawingml/2006/picture">
            <wp:extent cx="1536700" cy="673100"/>
            <wp:docPr id="17" name="Picture 17"/>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18" name="Picture 1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19" name="Picture 19"/>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0" name="Picture 2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1"/>
          <w:footerReference w:type="default" r:id="rId22"/>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FFFFFF"/>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color w:val="FFFFFF"/>
                <w:sz w:val="20"/>
              </w:rPr>
              <w:t>Region covered</w:t>
            </w:r>
          </w:p>
        </w:tc>
        <w:tc>
          <w:tcPr>
            <w:tcW w:type="dxa" w:w="1571"/>
            <w:shd w:val="clear" w:color="auto" w:fill="1f497d"/>
            <w:tcMar>
              <w:top w:w="60" w:type="dxa"/>
              <w:bottom w:w="60" w:type="dxa"/>
              <w:start w:w="80" w:type="dxa"/>
              <w:end w:w="80" w:type="dxa"/>
            </w:tcMar>
          </w:tcPr>
          <w:p>
            <w:pPr>
              <w:jc w:val="center"/>
            </w:pPr>
            <w:r>
              <w:rPr>
                <w:rFonts w:ascii="Cambria" w:hAnsi="Cambria"/>
                <w:b/>
                <w:color w:val="FFFFFF"/>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20"/>
              </w:rPr>
              <w:t>Region covered_2</w:t>
            </w:r>
          </w:p>
        </w:tc>
        <w:tc>
          <w:tcPr>
            <w:tcW w:type="dxa" w:w="1511"/>
            <w:shd w:val="clear" w:color="auto" w:fill="1f497d"/>
            <w:tcMar>
              <w:top w:w="60" w:type="dxa"/>
              <w:bottom w:w="60" w:type="dxa"/>
              <w:start w:w="80" w:type="dxa"/>
              <w:end w:w="80" w:type="dxa"/>
            </w:tcMar>
          </w:tcPr>
          <w:p>
            <w:pPr>
              <w:jc w:val="center"/>
            </w:pPr>
            <w:r>
              <w:rPr>
                <w:rFonts w:ascii="Cambria" w:hAnsi="Cambria"/>
                <w:b/>
                <w:color w:val="FFFFFF"/>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Gene</w:t>
            </w:r>
          </w:p>
        </w:tc>
        <w:tc>
          <w:tcPr>
            <w:tcW w:type="dxa" w:w="1893"/>
            <w:tcMar>
              <w:top w:w="60" w:type="dxa"/>
              <w:bottom w:w="60" w:type="dxa"/>
              <w:start w:w="80" w:type="dxa"/>
              <w:end w:w="80" w:type="dxa"/>
            </w:tcMar>
          </w:tcPr>
          <w:p>
            <w:pPr>
              <w:jc w:val="left"/>
            </w:pPr>
            <w:r>
              <w:rPr>
                <w:rFonts w:ascii="Cambria" w:hAnsi="Cambria"/>
                <w:b w:val="0"/>
                <w:i w:val="0"/>
                <w:color w:val="000000"/>
                <w:sz w:val="20"/>
              </w:rPr>
              <w:t>Region covered</w:t>
            </w:r>
          </w:p>
        </w:tc>
        <w:tc>
          <w:tcPr>
            <w:tcW w:type="dxa" w:w="1571"/>
            <w:tcMar>
              <w:top w:w="60" w:type="dxa"/>
              <w:bottom w:w="60" w:type="dxa"/>
              <w:start w:w="80" w:type="dxa"/>
              <w:end w:w="80" w:type="dxa"/>
            </w:tcMar>
          </w:tcPr>
          <w:p>
            <w:pPr>
              <w:jc w:val="left"/>
            </w:pPr>
            <w:r>
              <w:rPr>
                <w:rFonts w:ascii="Cambria" w:hAnsi="Cambria"/>
                <w:b/>
                <w:i/>
                <w:color w:val="000000"/>
                <w:sz w:val="20"/>
              </w:rPr>
              <w:t>Gene</w:t>
            </w:r>
          </w:p>
        </w:tc>
        <w:tc>
          <w:tcPr>
            <w:tcW w:type="dxa" w:w="1990"/>
            <w:tcMar>
              <w:top w:w="60" w:type="dxa"/>
              <w:bottom w:w="60" w:type="dxa"/>
              <w:start w:w="80" w:type="dxa"/>
              <w:end w:w="80" w:type="dxa"/>
            </w:tcMar>
          </w:tcPr>
          <w:p>
            <w:pPr>
              <w:jc w:val="left"/>
            </w:pPr>
            <w:r>
              <w:rPr>
                <w:rFonts w:ascii="Cambria" w:hAnsi="Cambria"/>
                <w:b w:val="0"/>
                <w:i w:val="0"/>
                <w:color w:val="000000"/>
                <w:sz w:val="20"/>
              </w:rPr>
              <w:t>Region covered</w:t>
            </w:r>
          </w:p>
        </w:tc>
        <w:tc>
          <w:tcPr>
            <w:tcW w:type="dxa" w:w="1511"/>
            <w:tcMar>
              <w:top w:w="60" w:type="dxa"/>
              <w:bottom w:w="60" w:type="dxa"/>
              <w:start w:w="80" w:type="dxa"/>
              <w:end w:w="80" w:type="dxa"/>
            </w:tcMar>
          </w:tcPr>
          <w:p>
            <w:pPr>
              <w:jc w:val="left"/>
            </w:pPr>
            <w:r>
              <w:rPr>
                <w:rFonts w:ascii="Cambria" w:hAnsi="Cambria"/>
                <w:b/>
                <w:i/>
                <w:color w:val="000000"/>
                <w:sz w:val="20"/>
              </w:rPr>
              <w:t>Gene</w:t>
            </w:r>
          </w:p>
        </w:tc>
        <w:tc>
          <w:tcPr>
            <w:tcW w:type="dxa" w:w="1990"/>
            <w:tcMar>
              <w:top w:w="60" w:type="dxa"/>
              <w:bottom w:w="60" w:type="dxa"/>
              <w:start w:w="80" w:type="dxa"/>
              <w:end w:w="80" w:type="dxa"/>
            </w:tcMar>
          </w:tcPr>
          <w:p>
            <w:pPr>
              <w:jc w:val="right"/>
            </w:pPr>
            <w:r>
              <w:rPr>
                <w:rFonts w:ascii="Cambria" w:hAnsi="Cambria"/>
                <w:b w:val="0"/>
                <w:i w:val="0"/>
                <w:color w:val="000000"/>
                <w:sz w:val="20"/>
              </w:rPr>
              <w:t>Region covered</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RAD50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CDK4</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CDKN1B</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CDKN2A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CHEK2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FLCN</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FH</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MSH6</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APC</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EPCAM</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SMAD4</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MAX</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MEN1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MET</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MITF</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MLH1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MRE11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MSH2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MUTYH</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NBN</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ATM</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NF1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PMS2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SDHAF2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TMEM127</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PRKAR1A</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PTCH1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PTEN</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BARD1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RAD51C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RAD51D</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RB1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RET</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SDHB</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BLM</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BMPR1A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BRCA1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BRCA2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STK11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TP53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TSC1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TSC2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VHL</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XRCC2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CDC73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PALB2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BAP1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BRIP1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CDH1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AXIN2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CTNNA1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DICER1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GREM1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HOXB13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KIT</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MSH3</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NTHL1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PDGFRA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POLD1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POLE</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SDHA</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SDHC</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SDHD</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SMARCA4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VPS13B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RNASEL</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ELAC2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MSR1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PRSS1</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SPINK1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ABRAXAS1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ACVRL1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AKT1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BUB1B</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CASR</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CDKN1C</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CEBPA</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DDX41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DIS3L2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EGFR</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ETV6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EXT1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EXT2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FANCC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GALNT12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GATA2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GPC3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HNF1A</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HNF1B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HRAS</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KIF1B</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MC1R</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MLH3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NF2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PHOX2B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PIK3CA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PMS1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POT1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PTCH2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RECQL</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REST</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RNF43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RPS20</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RUNX1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SAMD9L</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SMARCA2</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SMARCB1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SMARCE1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val="0"/>
                <w:i w:val="0"/>
                <w:color w:val="000000"/>
                <w:sz w:val="19"/>
              </w:rPr>
              <w:t>SUFU</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71"/>
            <w:shd w:val="clear" w:color="auto" w:fill="f8fafc"/>
            <w:tcMar>
              <w:top w:w="60" w:type="dxa"/>
              <w:bottom w:w="60" w:type="dxa"/>
              <w:start w:w="80" w:type="dxa"/>
              <w:end w:w="80" w:type="dxa"/>
            </w:tcMar>
          </w:tcPr>
          <w:p>
            <w:pPr>
              <w:jc w:val="left"/>
            </w:pPr>
            <w:r>
              <w:rPr>
                <w:rFonts w:ascii="Cambria" w:hAnsi="Cambria"/>
                <w:b w:val="0"/>
                <w:i w:val="0"/>
                <w:color w:val="000000"/>
                <w:sz w:val="19"/>
              </w:rPr>
              <w:t>TERT</w:t>
              <w:br/>
              <w:t>Pag</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19"/>
              </w:rPr>
              <w:t>100.00%</w:t>
              <w:br/>
              <w:t>e 6 of 8</w:t>
            </w:r>
          </w:p>
        </w:tc>
        <w:tc>
          <w:tcPr>
            <w:tcW w:type="dxa" w:w="1511"/>
            <w:shd w:val="clear" w:color="auto" w:fill="f8fafc"/>
            <w:tcMar>
              <w:top w:w="60" w:type="dxa"/>
              <w:bottom w:w="60" w:type="dxa"/>
              <w:start w:w="80" w:type="dxa"/>
              <w:end w:w="80" w:type="dxa"/>
            </w:tcMar>
          </w:tcPr>
          <w:p>
            <w:pPr>
              <w:jc w:val="left"/>
            </w:pPr>
            <w:r>
              <w:rPr>
                <w:rFonts w:ascii="Cambria" w:hAnsi="Cambria"/>
                <w:b w:val="0"/>
                <w:i w:val="0"/>
                <w:color w:val="000000"/>
                <w:sz w:val="19"/>
              </w:rPr>
              <w:t>TGFBR2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78" w:after="120"/>
        <w:jc w:val="center"/>
      </w:pPr>
      <w:r>
        <w:drawing>
          <wp:inline xmlns:a="http://schemas.openxmlformats.org/drawingml/2006/main" xmlns:pic="http://schemas.openxmlformats.org/drawingml/2006/picture">
            <wp:extent cx="1536700" cy="673100"/>
            <wp:docPr id="21" name="Picture 2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2" name="Picture 2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3" name="Picture 2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4" name="Picture 2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3"/>
          <w:footerReference w:type="default" r:id="rId24"/>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04"/>
            <w:shd w:val="clear" w:color="auto" w:fill="1f497d"/>
            <w:tcMar>
              <w:top w:w="60" w:type="dxa"/>
              <w:bottom w:w="60" w:type="dxa"/>
              <w:start w:w="80" w:type="dxa"/>
              <w:end w:w="80" w:type="dxa"/>
            </w:tcMar>
          </w:tcPr>
          <w:p>
            <w:pPr>
              <w:jc w:val="center"/>
            </w:pPr>
            <w:r>
              <w:rPr>
                <w:rFonts w:ascii="Cambria" w:hAnsi="Cambria"/>
                <w:b/>
                <w:color w:val="FFFFFF"/>
                <w:sz w:val="20"/>
              </w:rPr>
              <w:t>Gene</w:t>
            </w:r>
          </w:p>
        </w:tc>
        <w:tc>
          <w:tcPr>
            <w:tcW w:type="dxa" w:w="1881"/>
            <w:shd w:val="clear" w:color="auto" w:fill="1f497d"/>
            <w:tcMar>
              <w:top w:w="60" w:type="dxa"/>
              <w:bottom w:w="60" w:type="dxa"/>
              <w:start w:w="80" w:type="dxa"/>
              <w:end w:w="80" w:type="dxa"/>
            </w:tcMar>
          </w:tcPr>
          <w:p>
            <w:pPr>
              <w:jc w:val="center"/>
            </w:pPr>
            <w:r>
              <w:rPr>
                <w:rFonts w:ascii="Cambria" w:hAnsi="Cambria"/>
                <w:b/>
                <w:color w:val="FFFFFF"/>
                <w:sz w:val="20"/>
              </w:rPr>
              <w:t>Region covered</w:t>
            </w:r>
          </w:p>
        </w:tc>
        <w:tc>
          <w:tcPr>
            <w:tcW w:type="dxa" w:w="1504"/>
            <w:shd w:val="clear" w:color="auto" w:fill="1f497d"/>
            <w:tcMar>
              <w:top w:w="60" w:type="dxa"/>
              <w:bottom w:w="60" w:type="dxa"/>
              <w:start w:w="80" w:type="dxa"/>
              <w:end w:w="80" w:type="dxa"/>
            </w:tcMar>
          </w:tcPr>
          <w:p>
            <w:pPr>
              <w:jc w:val="center"/>
            </w:pPr>
            <w:r>
              <w:rPr>
                <w:rFonts w:ascii="Cambria" w:hAnsi="Cambria"/>
                <w:b/>
                <w:color w:val="FFFFFF"/>
                <w:sz w:val="20"/>
              </w:rPr>
              <w:t>Gene_2</w:t>
            </w:r>
          </w:p>
        </w:tc>
        <w:tc>
          <w:tcPr>
            <w:tcW w:type="dxa" w:w="1978"/>
            <w:shd w:val="clear" w:color="auto" w:fill="1f497d"/>
            <w:tcMar>
              <w:top w:w="60" w:type="dxa"/>
              <w:bottom w:w="60" w:type="dxa"/>
              <w:start w:w="80" w:type="dxa"/>
              <w:end w:w="80" w:type="dxa"/>
            </w:tcMar>
          </w:tcPr>
          <w:p>
            <w:pPr>
              <w:jc w:val="center"/>
            </w:pPr>
            <w:r>
              <w:rPr>
                <w:rFonts w:ascii="Cambria" w:hAnsi="Cambria"/>
                <w:b/>
                <w:color w:val="FFFFFF"/>
                <w:sz w:val="20"/>
              </w:rPr>
              <w:t>Region covered_2</w:t>
            </w:r>
          </w:p>
        </w:tc>
        <w:tc>
          <w:tcPr>
            <w:tcW w:type="dxa" w:w="1620"/>
            <w:shd w:val="clear" w:color="auto" w:fill="1f497d"/>
            <w:tcMar>
              <w:top w:w="60" w:type="dxa"/>
              <w:bottom w:w="60" w:type="dxa"/>
              <w:start w:w="80" w:type="dxa"/>
              <w:end w:w="80" w:type="dxa"/>
            </w:tcMar>
          </w:tcPr>
          <w:p>
            <w:pPr>
              <w:jc w:val="center"/>
            </w:pPr>
            <w:r>
              <w:rPr>
                <w:rFonts w:ascii="Cambria" w:hAnsi="Cambria"/>
                <w:b/>
                <w:color w:val="FFFFFF"/>
                <w:sz w:val="20"/>
              </w:rPr>
              <w:t>Gene_3</w:t>
            </w:r>
          </w:p>
        </w:tc>
        <w:tc>
          <w:tcPr>
            <w:tcW w:type="dxa" w:w="1978"/>
            <w:shd w:val="clear" w:color="auto" w:fill="1f497d"/>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TRIP13</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WRN</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WT1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XRCC3</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CDKN2B</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AIP</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ALK</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ANKRD26</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BRAF</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CBL</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CD70</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CEP57</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CYLD</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DDB2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DKC1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EFL1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ELANE</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ERCC1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ERCC2</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ERCC3</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ERCC4</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ERCC5</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EXO1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EZH2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FAM111B</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FANCA</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FANCB</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FANCD2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FANCE</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FANCF</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FANCG</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FANCI</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FANCL</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FANCM</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GPR101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HAVCR2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IKZF1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KITLG</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KRAS</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LZTR1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MAP2K1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MAP2K2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NRAS</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NSD1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NSUN2</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PAX5</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POLH</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PPM1D</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PRF1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PTPN11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RAF1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RASA2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RECQL4</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RHBDF2</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RIT1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RRAS</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SAMD9</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SBDS</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SHOC2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SLX4</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SOS1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SOS2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SPRED1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SRP72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TINF2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XPA</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XPC</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CPA1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RFWD3</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BTNL2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NHEJ1</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RINT1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AR</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CD82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ATR</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PALLD</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ZFHX3</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AXIN1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TGFB1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ENG</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RAD51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LIG4</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TOX3</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LSP1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RASAL1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MXI1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CFTR</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FGFR2</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MAD2L2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MYSM1</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MAP3K1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UBE2T</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ACD</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KLHDC8B</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NPAT</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TERF2IP</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ADA</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CARD11</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CASP10</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CD27</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CTLA4</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DOCK8</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FAS</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FASLG</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ITK</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MAGT1</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PIK3CD</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SH2D1A</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APCS</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STXBP2</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TNFRSF13B</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WAS</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04"/>
            <w:shd w:val="clear" w:color="auto" w:fill="f8fafc"/>
            <w:tcMar>
              <w:top w:w="60" w:type="dxa"/>
              <w:bottom w:w="60" w:type="dxa"/>
              <w:start w:w="80" w:type="dxa"/>
              <w:end w:w="80" w:type="dxa"/>
            </w:tcMar>
          </w:tcPr>
          <w:p>
            <w:pPr>
              <w:jc w:val="left"/>
            </w:pPr>
            <w:r>
              <w:rPr>
                <w:rFonts w:ascii="Cambria" w:hAnsi="Cambria"/>
                <w:b/>
                <w:i/>
                <w:color w:val="000000"/>
                <w:sz w:val="20"/>
              </w:rPr>
              <w:t>CARMIL2</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620"/>
            <w:shd w:val="clear" w:color="auto" w:fill="f8fafc"/>
            <w:tcMar>
              <w:top w:w="60" w:type="dxa"/>
              <w:bottom w:w="60" w:type="dxa"/>
              <w:start w:w="80" w:type="dxa"/>
              <w:end w:w="80" w:type="dxa"/>
            </w:tcMar>
          </w:tcPr>
          <w:p>
            <w:pPr>
              <w:jc w:val="left"/>
            </w:pPr>
            <w:r>
              <w:rPr>
                <w:rFonts w:ascii="Cambria" w:hAnsi="Cambria"/>
                <w:b/>
                <w:i/>
                <w:color w:val="000000"/>
                <w:sz w:val="20"/>
              </w:rPr>
              <w:t>CASP8</w:t>
            </w:r>
          </w:p>
        </w:tc>
        <w:tc>
          <w:tcPr>
            <w:tcW w:type="dxa" w:w="1978"/>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tcMar>
              <w:top w:w="60" w:type="dxa"/>
              <w:bottom w:w="60" w:type="dxa"/>
              <w:start w:w="80" w:type="dxa"/>
              <w:end w:w="80" w:type="dxa"/>
            </w:tcMar>
          </w:tcPr>
          <w:p>
            <w:pPr>
              <w:jc w:val="left"/>
            </w:pPr>
            <w:r>
              <w:rPr>
                <w:rFonts w:ascii="Cambria" w:hAnsi="Cambria"/>
                <w:b/>
                <w:i/>
                <w:color w:val="000000"/>
                <w:sz w:val="20"/>
              </w:rPr>
              <w:t>CTPS1</w:t>
            </w:r>
          </w:p>
        </w:tc>
        <w:tc>
          <w:tcPr>
            <w:tcW w:type="dxa" w:w="1881"/>
            <w:tcMar>
              <w:top w:w="60" w:type="dxa"/>
              <w:bottom w:w="60" w:type="dxa"/>
              <w:start w:w="80" w:type="dxa"/>
              <w:end w:w="80" w:type="dxa"/>
            </w:tcMar>
          </w:tcPr>
          <w:p>
            <w:pPr>
              <w:jc w:val="left"/>
            </w:pPr>
            <w:r>
              <w:rPr>
                <w:rFonts w:ascii="Cambria" w:hAnsi="Cambria"/>
                <w:b w:val="0"/>
                <w:i w:val="0"/>
                <w:color w:val="000000"/>
                <w:sz w:val="20"/>
              </w:rPr>
              <w:t>100.00%</w:t>
            </w:r>
          </w:p>
        </w:tc>
        <w:tc>
          <w:tcPr>
            <w:tcW w:type="dxa" w:w="1504"/>
            <w:tcMar>
              <w:top w:w="60" w:type="dxa"/>
              <w:bottom w:w="60" w:type="dxa"/>
              <w:start w:w="80" w:type="dxa"/>
              <w:end w:w="80" w:type="dxa"/>
            </w:tcMar>
          </w:tcPr>
          <w:p>
            <w:pPr>
              <w:jc w:val="left"/>
            </w:pPr>
            <w:r>
              <w:rPr>
                <w:rFonts w:ascii="Cambria" w:hAnsi="Cambria"/>
                <w:b/>
                <w:i/>
                <w:color w:val="000000"/>
                <w:sz w:val="20"/>
              </w:rPr>
              <w:t>FADD</w:t>
            </w:r>
          </w:p>
        </w:tc>
        <w:tc>
          <w:tcPr>
            <w:tcW w:type="dxa" w:w="1978"/>
            <w:tcMar>
              <w:top w:w="60" w:type="dxa"/>
              <w:bottom w:w="60" w:type="dxa"/>
              <w:start w:w="80" w:type="dxa"/>
              <w:end w:w="80" w:type="dxa"/>
            </w:tcMar>
          </w:tcPr>
          <w:p>
            <w:pPr>
              <w:jc w:val="left"/>
            </w:pPr>
            <w:r>
              <w:rPr>
                <w:rFonts w:ascii="Cambria" w:hAnsi="Cambria"/>
                <w:b w:val="0"/>
                <w:i w:val="0"/>
                <w:color w:val="000000"/>
                <w:sz w:val="20"/>
              </w:rPr>
              <w:t>100.00%</w:t>
            </w:r>
          </w:p>
        </w:tc>
        <w:tc>
          <w:tcPr>
            <w:tcW w:type="dxa" w:w="1620"/>
            <w:tcMar>
              <w:top w:w="60" w:type="dxa"/>
              <w:bottom w:w="60" w:type="dxa"/>
              <w:start w:w="80" w:type="dxa"/>
              <w:end w:w="80" w:type="dxa"/>
            </w:tcMar>
          </w:tcPr>
          <w:p>
            <w:pPr>
              <w:jc w:val="left"/>
            </w:pPr>
            <w:r>
              <w:rPr>
                <w:rFonts w:ascii="Cambria" w:hAnsi="Cambria"/>
                <w:b/>
                <w:i/>
                <w:color w:val="000000"/>
                <w:sz w:val="20"/>
              </w:rPr>
              <w:t>FCHO1</w:t>
            </w:r>
          </w:p>
        </w:tc>
        <w:tc>
          <w:tcPr>
            <w:tcW w:type="dxa" w:w="1978"/>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04"/>
            <w:shd w:val="clear" w:color="auto" w:fill="f8fafc"/>
            <w:tcMar>
              <w:top w:w="60" w:type="dxa"/>
              <w:bottom w:w="60" w:type="dxa"/>
              <w:start w:w="80" w:type="dxa"/>
              <w:end w:w="80" w:type="dxa"/>
            </w:tcMar>
          </w:tcPr>
          <w:p>
            <w:pPr>
              <w:jc w:val="left"/>
            </w:pPr>
            <w:r>
              <w:rPr>
                <w:rFonts w:ascii="Cambria" w:hAnsi="Cambria"/>
                <w:b w:val="0"/>
                <w:i w:val="0"/>
                <w:color w:val="000000"/>
                <w:sz w:val="19"/>
              </w:rPr>
              <w:t>IL2RA</w:t>
            </w:r>
          </w:p>
        </w:tc>
        <w:tc>
          <w:tcPr>
            <w:tcW w:type="dxa" w:w="1881"/>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504"/>
            <w:shd w:val="clear" w:color="auto" w:fill="f8fafc"/>
            <w:tcMar>
              <w:top w:w="60" w:type="dxa"/>
              <w:bottom w:w="60" w:type="dxa"/>
              <w:start w:w="80" w:type="dxa"/>
              <w:end w:w="80" w:type="dxa"/>
            </w:tcMar>
          </w:tcPr>
          <w:p>
            <w:pPr>
              <w:jc w:val="left"/>
            </w:pPr>
            <w:r>
              <w:rPr>
                <w:rFonts w:ascii="Cambria" w:hAnsi="Cambria"/>
                <w:b w:val="0"/>
                <w:i w:val="0"/>
                <w:color w:val="000000"/>
                <w:sz w:val="19"/>
              </w:rPr>
              <w:t>IL2RB</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c>
          <w:tcPr>
            <w:tcW w:type="dxa" w:w="1620"/>
            <w:shd w:val="clear" w:color="auto" w:fill="f8fafc"/>
            <w:tcMar>
              <w:top w:w="60" w:type="dxa"/>
              <w:bottom w:w="60" w:type="dxa"/>
              <w:start w:w="80" w:type="dxa"/>
              <w:end w:w="80" w:type="dxa"/>
            </w:tcMar>
          </w:tcPr>
          <w:p>
            <w:pPr>
              <w:jc w:val="left"/>
            </w:pPr>
            <w:r>
              <w:rPr>
                <w:rFonts w:ascii="Cambria" w:hAnsi="Cambria"/>
                <w:b w:val="0"/>
                <w:i w:val="0"/>
                <w:color w:val="000000"/>
                <w:sz w:val="19"/>
              </w:rPr>
              <w:t>MCM4</w:t>
            </w:r>
          </w:p>
        </w:tc>
        <w:tc>
          <w:tcPr>
            <w:tcW w:type="dxa" w:w="1978"/>
            <w:shd w:val="clear" w:color="auto" w:fill="f8fafc"/>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95" w:after="120"/>
        <w:jc w:val="center"/>
      </w:pPr>
      <w:r>
        <w:drawing>
          <wp:inline xmlns:a="http://schemas.openxmlformats.org/drawingml/2006/main" xmlns:pic="http://schemas.openxmlformats.org/drawingml/2006/picture">
            <wp:extent cx="1536700" cy="673100"/>
            <wp:docPr id="25" name="Picture 25"/>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26" name="Picture 2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27" name="Picture 2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28" name="Picture 2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p>
      <w:pPr>
        <w:sectPr>
          <w:headerReference w:type="default" r:id="rId25"/>
          <w:footerReference w:type="default" r:id="rId26"/>
          <w:pgSz w:w="11906" w:h="16838"/>
          <w:pgMar w:top="1200" w:right="720" w:bottom="800" w:left="720" w:header="720" w:footer="720" w:gutter="0"/>
          <w:cols w:space="720"/>
          <w:docGrid w:linePitch="360"/>
        </w:sectPr>
      </w:pPr>
    </w:p>
    <w:p>
      <w:pPr>
        <w:spacing w:before="0" w:after="360" w:line="20" w:lineRule="exact"/>
      </w:pPr>
      <w:r>
        <w:rPr>
          <w:sz w:val="2"/>
        </w:r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44"/>
        <w:gridCol w:w="1744"/>
        <w:gridCol w:w="1744"/>
        <w:gridCol w:w="1744"/>
        <w:gridCol w:w="1744"/>
        <w:gridCol w:w="1744"/>
      </w:tblGrid>
      <w:tr>
        <w:trPr>
          <w:tblHeader w:val="true"/>
          <w:cantSplit w:val="true"/>
        </w:trPr>
        <w:tc>
          <w:tcPr>
            <w:tcW w:type="dxa" w:w="1511"/>
            <w:shd w:val="clear" w:color="auto" w:fill="1f497d"/>
            <w:tcMar>
              <w:top w:w="60" w:type="dxa"/>
              <w:bottom w:w="60" w:type="dxa"/>
              <w:start w:w="80" w:type="dxa"/>
              <w:end w:w="80" w:type="dxa"/>
            </w:tcMar>
          </w:tcPr>
          <w:p>
            <w:pPr>
              <w:jc w:val="center"/>
            </w:pPr>
            <w:r>
              <w:rPr>
                <w:rFonts w:ascii="Cambria" w:hAnsi="Cambria"/>
                <w:b/>
                <w:color w:val="FFFFFF"/>
                <w:sz w:val="20"/>
              </w:rPr>
              <w:t>Gene</w:t>
            </w:r>
          </w:p>
        </w:tc>
        <w:tc>
          <w:tcPr>
            <w:tcW w:type="dxa" w:w="1893"/>
            <w:shd w:val="clear" w:color="auto" w:fill="1f497d"/>
            <w:tcMar>
              <w:top w:w="60" w:type="dxa"/>
              <w:bottom w:w="60" w:type="dxa"/>
              <w:start w:w="80" w:type="dxa"/>
              <w:end w:w="80" w:type="dxa"/>
            </w:tcMar>
          </w:tcPr>
          <w:p>
            <w:pPr>
              <w:jc w:val="center"/>
            </w:pPr>
            <w:r>
              <w:rPr>
                <w:rFonts w:ascii="Cambria" w:hAnsi="Cambria"/>
                <w:b/>
                <w:color w:val="FFFFFF"/>
                <w:sz w:val="20"/>
              </w:rPr>
              <w:t>Region covered</w:t>
            </w:r>
          </w:p>
        </w:tc>
        <w:tc>
          <w:tcPr>
            <w:tcW w:type="dxa" w:w="1511"/>
            <w:shd w:val="clear" w:color="auto" w:fill="1f497d"/>
            <w:tcMar>
              <w:top w:w="60" w:type="dxa"/>
              <w:bottom w:w="60" w:type="dxa"/>
              <w:start w:w="80" w:type="dxa"/>
              <w:end w:w="80" w:type="dxa"/>
            </w:tcMar>
          </w:tcPr>
          <w:p>
            <w:pPr>
              <w:jc w:val="center"/>
            </w:pPr>
            <w:r>
              <w:rPr>
                <w:rFonts w:ascii="Cambria" w:hAnsi="Cambria"/>
                <w:b/>
                <w:color w:val="FFFFFF"/>
                <w:sz w:val="20"/>
              </w:rPr>
              <w:t>Gene_2</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20"/>
              </w:rPr>
              <w:t>Region covered_2</w:t>
            </w:r>
          </w:p>
        </w:tc>
        <w:tc>
          <w:tcPr>
            <w:tcW w:type="dxa" w:w="1571"/>
            <w:shd w:val="clear" w:color="auto" w:fill="1f497d"/>
            <w:tcMar>
              <w:top w:w="60" w:type="dxa"/>
              <w:bottom w:w="60" w:type="dxa"/>
              <w:start w:w="80" w:type="dxa"/>
              <w:end w:w="80" w:type="dxa"/>
            </w:tcMar>
          </w:tcPr>
          <w:p>
            <w:pPr>
              <w:jc w:val="center"/>
            </w:pPr>
            <w:r>
              <w:rPr>
                <w:rFonts w:ascii="Cambria" w:hAnsi="Cambria"/>
                <w:b/>
                <w:color w:val="FFFFFF"/>
                <w:sz w:val="20"/>
              </w:rPr>
              <w:t>Gene_3</w:t>
            </w:r>
          </w:p>
        </w:tc>
        <w:tc>
          <w:tcPr>
            <w:tcW w:type="dxa" w:w="1990"/>
            <w:shd w:val="clear" w:color="auto" w:fill="1f497d"/>
            <w:tcMar>
              <w:top w:w="60" w:type="dxa"/>
              <w:bottom w:w="60" w:type="dxa"/>
              <w:start w:w="80" w:type="dxa"/>
              <w:end w:w="80" w:type="dxa"/>
            </w:tcMar>
          </w:tcPr>
          <w:p>
            <w:pPr>
              <w:jc w:val="center"/>
            </w:pPr>
            <w:r>
              <w:rPr>
                <w:rFonts w:ascii="Cambria" w:hAnsi="Cambria"/>
                <w:b/>
                <w:color w:val="FFFFFF"/>
                <w:sz w:val="20"/>
              </w:rPr>
              <w:t>Region covered_3</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PIK3R1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PRKCD</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RAC2</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RASGRP1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RHOH</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STAT3</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STK4</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TPP2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XIAP</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CREBBP</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MYD88</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STAT6</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B2M</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EP300</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NOTCH1</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TET2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BCL2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NOTCH2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TNFAIP3</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FOXO1</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TNFRSF14</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GNA13</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PIM1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CD79A</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KMT2D</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CD79B</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MYC</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SOCS1</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FAN1</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CDK12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CHEK1</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CUL2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DIS3</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ERBB2</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ESR2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TDO2</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i/>
                <w:color w:val="000000"/>
                <w:sz w:val="20"/>
              </w:rPr>
              <w:t>GFAP</w:t>
            </w:r>
          </w:p>
        </w:tc>
        <w:tc>
          <w:tcPr>
            <w:tcW w:type="dxa" w:w="1893"/>
            <w:tcMar>
              <w:top w:w="60" w:type="dxa"/>
              <w:bottom w:w="60" w:type="dxa"/>
              <w:start w:w="80" w:type="dxa"/>
              <w:end w:w="80" w:type="dxa"/>
            </w:tcMar>
          </w:tcPr>
          <w:p>
            <w:pPr>
              <w:jc w:val="left"/>
            </w:pPr>
            <w:r>
              <w:rPr>
                <w:rFonts w:ascii="Cambria" w:hAnsi="Cambria"/>
                <w:b w:val="0"/>
                <w:i w:val="0"/>
                <w:color w:val="000000"/>
                <w:sz w:val="20"/>
              </w:rPr>
              <w:t>100.00%</w:t>
            </w:r>
          </w:p>
        </w:tc>
        <w:tc>
          <w:tcPr>
            <w:tcW w:type="dxa" w:w="1511"/>
            <w:tcMar>
              <w:top w:w="60" w:type="dxa"/>
              <w:bottom w:w="60" w:type="dxa"/>
              <w:start w:w="80" w:type="dxa"/>
              <w:end w:w="80" w:type="dxa"/>
            </w:tcMar>
          </w:tcPr>
          <w:p>
            <w:pPr>
              <w:jc w:val="left"/>
            </w:pPr>
            <w:r>
              <w:rPr>
                <w:rFonts w:ascii="Cambria" w:hAnsi="Cambria"/>
                <w:b/>
                <w:i/>
                <w:color w:val="000000"/>
                <w:sz w:val="20"/>
              </w:rPr>
              <w:t>MED12</w:t>
            </w:r>
          </w:p>
        </w:tc>
        <w:tc>
          <w:tcPr>
            <w:tcW w:type="dxa" w:w="1990"/>
            <w:tcMar>
              <w:top w:w="60" w:type="dxa"/>
              <w:bottom w:w="60" w:type="dxa"/>
              <w:start w:w="80" w:type="dxa"/>
              <w:end w:w="80" w:type="dxa"/>
            </w:tcMar>
          </w:tcPr>
          <w:p>
            <w:pPr>
              <w:jc w:val="left"/>
            </w:pPr>
            <w:r>
              <w:rPr>
                <w:rFonts w:ascii="Cambria" w:hAnsi="Cambria"/>
                <w:b w:val="0"/>
                <w:i w:val="0"/>
                <w:color w:val="000000"/>
                <w:sz w:val="20"/>
              </w:rPr>
              <w:t>100.00%</w:t>
            </w:r>
          </w:p>
        </w:tc>
        <w:tc>
          <w:tcPr>
            <w:tcW w:type="dxa" w:w="1571"/>
            <w:tcMar>
              <w:top w:w="60" w:type="dxa"/>
              <w:bottom w:w="60" w:type="dxa"/>
              <w:start w:w="80" w:type="dxa"/>
              <w:end w:w="80" w:type="dxa"/>
            </w:tcMar>
          </w:tcPr>
          <w:p>
            <w:pPr>
              <w:jc w:val="left"/>
            </w:pPr>
            <w:r>
              <w:rPr>
                <w:rFonts w:ascii="Cambria" w:hAnsi="Cambria"/>
                <w:b/>
                <w:i/>
                <w:color w:val="000000"/>
                <w:sz w:val="20"/>
              </w:rPr>
              <w:t>PPP2R2A</w:t>
            </w:r>
          </w:p>
        </w:tc>
        <w:tc>
          <w:tcPr>
            <w:tcW w:type="dxa" w:w="1990"/>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RAD54L</w:t>
            </w:r>
          </w:p>
        </w:tc>
        <w:tc>
          <w:tcPr>
            <w:tcW w:type="dxa" w:w="1893"/>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11"/>
            <w:shd w:val="clear" w:color="auto" w:fill="f8fafc"/>
            <w:tcMar>
              <w:top w:w="60" w:type="dxa"/>
              <w:bottom w:w="60" w:type="dxa"/>
              <w:start w:w="80" w:type="dxa"/>
              <w:end w:w="80" w:type="dxa"/>
            </w:tcMar>
          </w:tcPr>
          <w:p>
            <w:pPr>
              <w:jc w:val="left"/>
            </w:pPr>
            <w:r>
              <w:rPr>
                <w:rFonts w:ascii="Cambria" w:hAnsi="Cambria"/>
                <w:b/>
                <w:i/>
                <w:color w:val="000000"/>
                <w:sz w:val="20"/>
              </w:rPr>
              <w:t>SLC45A2</w:t>
            </w:r>
          </w:p>
        </w:tc>
        <w:tc>
          <w:tcPr>
            <w:tcW w:type="dxa" w:w="1990"/>
            <w:shd w:val="clear" w:color="auto" w:fill="f8fafc"/>
            <w:tcMar>
              <w:top w:w="60" w:type="dxa"/>
              <w:bottom w:w="60" w:type="dxa"/>
              <w:start w:w="80" w:type="dxa"/>
              <w:end w:w="80" w:type="dxa"/>
            </w:tcMar>
          </w:tcPr>
          <w:p>
            <w:pPr>
              <w:jc w:val="left"/>
            </w:pPr>
            <w:r>
              <w:rPr>
                <w:rFonts w:ascii="Cambria" w:hAnsi="Cambria"/>
                <w:b w:val="0"/>
                <w:i w:val="0"/>
                <w:color w:val="000000"/>
                <w:sz w:val="20"/>
              </w:rPr>
              <w:t>100.00%</w:t>
            </w:r>
          </w:p>
        </w:tc>
        <w:tc>
          <w:tcPr>
            <w:tcW w:type="dxa" w:w="1571"/>
            <w:shd w:val="clear" w:color="auto" w:fill="f8fafc"/>
            <w:tcMar>
              <w:top w:w="60" w:type="dxa"/>
              <w:bottom w:w="60" w:type="dxa"/>
              <w:start w:w="80" w:type="dxa"/>
              <w:end w:w="80" w:type="dxa"/>
            </w:tcMar>
          </w:tcPr>
          <w:p>
            <w:pPr>
              <w:jc w:val="left"/>
            </w:pPr>
            <w:r>
              <w:rPr>
                <w:rFonts w:ascii="Cambria" w:hAnsi="Cambria"/>
                <w:b/>
                <w:i/>
                <w:color w:val="000000"/>
                <w:sz w:val="20"/>
              </w:rPr>
              <w:t>SPOP</w:t>
            </w:r>
          </w:p>
        </w:tc>
        <w:tc>
          <w:tcPr>
            <w:tcW w:type="dxa" w:w="1990"/>
            <w:shd w:val="clear" w:color="auto" w:fill="f8fafc"/>
            <w:tcMar>
              <w:top w:w="60" w:type="dxa"/>
              <w:bottom w:w="60" w:type="dxa"/>
              <w:start w:w="80" w:type="dxa"/>
              <w:end w:w="80" w:type="dxa"/>
            </w:tcMar>
          </w:tcPr>
          <w:p>
            <w:pPr>
              <w:jc w:val="right"/>
            </w:pPr>
            <w:r>
              <w:rPr>
                <w:rFonts w:ascii="Cambria" w:hAnsi="Cambria"/>
                <w:b w:val="0"/>
                <w:i w:val="0"/>
                <w:color w:val="000000"/>
                <w:sz w:val="20"/>
              </w:rPr>
              <w:t>100.00%</w:t>
            </w:r>
          </w:p>
        </w:tc>
      </w:tr>
      <w:tr>
        <w:trPr>
          <w:cantSplit w:val="true"/>
        </w:trPr>
        <w:tc>
          <w:tcPr>
            <w:tcW w:type="dxa" w:w="1511"/>
            <w:tcMar>
              <w:top w:w="60" w:type="dxa"/>
              <w:bottom w:w="60" w:type="dxa"/>
              <w:start w:w="80" w:type="dxa"/>
              <w:end w:w="80" w:type="dxa"/>
            </w:tcMar>
          </w:tcPr>
          <w:p>
            <w:pPr>
              <w:jc w:val="left"/>
            </w:pPr>
            <w:r>
              <w:rPr>
                <w:rFonts w:ascii="Cambria" w:hAnsi="Cambria"/>
                <w:b w:val="0"/>
                <w:i w:val="0"/>
                <w:color w:val="000000"/>
                <w:sz w:val="19"/>
              </w:rPr>
              <w:t>TYR</w:t>
            </w:r>
          </w:p>
        </w:tc>
        <w:tc>
          <w:tcPr>
            <w:tcW w:type="dxa" w:w="1893"/>
            <w:tcMar>
              <w:top w:w="60" w:type="dxa"/>
              <w:bottom w:w="60" w:type="dxa"/>
              <w:start w:w="80" w:type="dxa"/>
              <w:end w:w="80" w:type="dxa"/>
            </w:tcMar>
          </w:tcPr>
          <w:p>
            <w:pPr>
              <w:jc w:val="left"/>
            </w:pPr>
            <w:r>
              <w:rPr>
                <w:rFonts w:ascii="Cambria" w:hAnsi="Cambria"/>
                <w:b w:val="0"/>
                <w:i w:val="0"/>
                <w:color w:val="000000"/>
                <w:sz w:val="19"/>
              </w:rPr>
              <w:t>100.00%</w:t>
            </w:r>
          </w:p>
        </w:tc>
        <w:tc>
          <w:tcPr>
            <w:tcW w:type="dxa" w:w="1511"/>
            <w:tcMar>
              <w:top w:w="60" w:type="dxa"/>
              <w:bottom w:w="60" w:type="dxa"/>
              <w:start w:w="80" w:type="dxa"/>
              <w:end w:w="80" w:type="dxa"/>
            </w:tcMar>
          </w:tcPr>
          <w:p>
            <w:pPr>
              <w:jc w:val="left"/>
            </w:pPr>
            <w:r>
              <w:rPr>
                <w:rFonts w:ascii="Cambria" w:hAnsi="Cambria"/>
                <w:b w:val="0"/>
                <w:i w:val="0"/>
                <w:color w:val="000000"/>
                <w:sz w:val="19"/>
              </w:rPr>
              <w:t>MBD4</w:t>
            </w:r>
          </w:p>
        </w:tc>
        <w:tc>
          <w:tcPr>
            <w:tcW w:type="dxa" w:w="1990"/>
            <w:tcMar>
              <w:top w:w="60" w:type="dxa"/>
              <w:bottom w:w="60" w:type="dxa"/>
              <w:start w:w="80" w:type="dxa"/>
              <w:end w:w="80" w:type="dxa"/>
            </w:tcMar>
          </w:tcPr>
          <w:p>
            <w:pPr>
              <w:jc w:val="left"/>
            </w:pPr>
            <w:r>
              <w:rPr>
                <w:rFonts w:ascii="Cambria" w:hAnsi="Cambria"/>
                <w:b w:val="0"/>
                <w:i w:val="0"/>
                <w:color w:val="000000"/>
                <w:sz w:val="19"/>
              </w:rPr>
              <w:t>100.00%</w:t>
            </w:r>
          </w:p>
        </w:tc>
        <w:tc>
          <w:tcPr>
            <w:tcW w:type="dxa" w:w="1571"/>
            <w:tcMar>
              <w:top w:w="60" w:type="dxa"/>
              <w:bottom w:w="60" w:type="dxa"/>
              <w:start w:w="80" w:type="dxa"/>
              <w:end w:w="80" w:type="dxa"/>
            </w:tcMar>
          </w:tcPr>
          <w:p>
            <w:pPr>
              <w:jc w:val="left"/>
            </w:pPr>
            <w:r>
              <w:rPr>
                <w:rFonts w:ascii="Cambria" w:hAnsi="Cambria"/>
                <w:b w:val="0"/>
                <w:i w:val="0"/>
                <w:color w:val="000000"/>
                <w:sz w:val="19"/>
              </w:rPr>
              <w:t>HBB</w:t>
            </w:r>
          </w:p>
        </w:tc>
        <w:tc>
          <w:tcPr>
            <w:tcW w:type="dxa" w:w="1990"/>
            <w:tcMar>
              <w:top w:w="60" w:type="dxa"/>
              <w:bottom w:w="60" w:type="dxa"/>
              <w:start w:w="80" w:type="dxa"/>
              <w:end w:w="80" w:type="dxa"/>
            </w:tcMar>
          </w:tcPr>
          <w:p>
            <w:pPr>
              <w:jc w:val="left"/>
            </w:pPr>
            <w:r>
              <w:rPr>
                <w:rFonts w:ascii="Cambria" w:hAnsi="Cambria"/>
                <w:b w:val="0"/>
                <w:i w:val="0"/>
                <w:color w:val="000000"/>
                <w:sz w:val="19"/>
              </w:rPr>
              <w:t>100.00%</w:t>
            </w:r>
          </w:p>
        </w:tc>
      </w:tr>
    </w:tbl>
    <w:p>
      <w:pPr>
        <w:spacing w:before="0" w:after="120" w:line="20" w:lineRule="exact"/>
      </w:pPr>
      <w:r>
        <w:rPr>
          <w:sz w:val="2"/>
        </w:rPr>
      </w:r>
    </w:p>
    <w:p>
      <w:pPr>
        <w:spacing w:before="360" w:after="80" w:line="276" w:lineRule="auto"/>
        <w:jc w:val="center"/>
      </w:pPr>
      <w:r>
        <w:rPr>
          <w:rFonts w:ascii="Calibri" w:hAnsi="Calibri"/>
          <w:color w:val="000000"/>
          <w:sz w:val="20"/>
        </w:rPr>
        <w:t>------------------ End Of Report ------------------</w:t>
      </w:r>
    </w:p>
    <w:p>
      <w:pPr>
        <w:spacing w:before="360" w:after="120"/>
        <w:jc w:val="center"/>
      </w:pPr>
      <w:r>
        <w:drawing>
          <wp:inline xmlns:a="http://schemas.openxmlformats.org/drawingml/2006/main" xmlns:pic="http://schemas.openxmlformats.org/drawingml/2006/picture">
            <wp:extent cx="1536700" cy="673100"/>
            <wp:docPr id="29" name="Picture 29"/>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536700" cy="673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270000" cy="546100"/>
            <wp:docPr id="30" name="Picture 3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270000" cy="546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473200" cy="800100"/>
            <wp:docPr id="31" name="Picture 3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1473200" cy="800100"/>
                    </a:xfrm>
                    <a:prstGeom prst="rect"/>
                  </pic:spPr>
                </pic:pic>
              </a:graphicData>
            </a:graphic>
          </wp:inline>
        </w:drawing>
      </w:r>
    </w:p>
    <w:p>
      <w:pPr>
        <w:spacing w:before="0" w:after="120"/>
        <w:jc w:val="center"/>
      </w:pPr>
      <w:r>
        <w:drawing>
          <wp:inline xmlns:a="http://schemas.openxmlformats.org/drawingml/2006/main" xmlns:pic="http://schemas.openxmlformats.org/drawingml/2006/picture">
            <wp:extent cx="1739900" cy="1993900"/>
            <wp:docPr id="32" name="Picture 3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739900" cy="1993900"/>
                    </a:xfrm>
                    <a:prstGeom prst="rect"/>
                  </pic:spPr>
                </pic:pic>
              </a:graphicData>
            </a:graphic>
          </wp:inline>
        </w:drawing>
      </w:r>
    </w:p>
    <w:sectPr w:rsidR="00FC693F" w:rsidRPr="0006063C" w:rsidSect="00034616">
      <w:headerReference w:type="default" r:id="rId27"/>
      <w:footerReference w:type="default" r:id="rId28"/>
      <w:pgSz w:w="11906" w:h="16838"/>
      <w:pgMar w:top="1200" w:right="720" w:bottom="80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drawing>
        <wp:inline xmlns:a="http://schemas.openxmlformats.org/drawingml/2006/main" xmlns:pic="http://schemas.openxmlformats.org/drawingml/2006/picture">
          <wp:extent cx="1143000" cy="1117848"/>
          <wp:docPr id="1" name="Picture 1"/>
          <wp:cNvGraphicFramePr>
            <a:graphicFrameLocks noChangeAspect="1"/>
          </wp:cNvGraphicFramePr>
          <a:graphic>
            <a:graphicData uri="http://schemas.openxmlformats.org/drawingml/2006/picture">
              <pic:pic>
                <pic:nvPicPr>
                  <pic:cNvPr id="0" name="dr_vinay_signature.png"/>
                  <pic:cNvPicPr/>
                </pic:nvPicPr>
                <pic:blipFill>
                  <a:blip r:embed="rId1"/>
                  <a:stretch>
                    <a:fillRect/>
                  </a:stretch>
                </pic:blipFill>
                <pic:spPr>
                  <a:xfrm>
                    <a:off x="0" y="0"/>
                    <a:ext cx="1143000" cy="1117848"/>
                  </a:xfrm>
                  <a:prstGeom prst="rect"/>
                </pic:spPr>
              </pic:pic>
            </a:graphicData>
          </a:graphic>
        </wp:inline>
      </w:drawing>
    </w:r>
  </w:p>
  <w:p>
    <w:pPr>
      <w:jc w:val="center"/>
    </w:pPr>
    <w:r>
      <w:rPr>
        <w:rFonts w:ascii="Calibri" w:hAnsi="Calibri"/>
        <w:color w:val="404040"/>
        <w:sz w:val="18"/>
      </w:rPr>
      <w:t xml:space="preserve">Page </w:t>
    </w:r>
    <w:r>
      <w:rPr>
        <w:rFonts w:ascii="Calibri" w:hAnsi="Calibri"/>
        <w:color w:val="404040"/>
        <w:sz w:val="18"/>
      </w:rPr>
      <w:fldChar w:fldCharType="begin"/>
      <w:instrText xml:space="preserve"> PAGE </w:instrText>
      <w:fldChar w:fldCharType="separate"/>
      <w:fldChar w:fldCharType="end"/>
    </w:r>
    <w:r>
      <w:rPr>
        <w:rFonts w:ascii="Calibri" w:hAnsi="Calibri"/>
        <w:color w:val="404040"/>
        <w:sz w:val="18"/>
      </w:rPr>
      <w:t xml:space="preserve"> of </w:t>
    </w:r>
    <w:r>
      <w:rPr>
        <w:rFonts w:ascii="Calibri" w:hAnsi="Calibri"/>
        <w:color w:val="404040"/>
        <w:sz w:val="18"/>
      </w:rPr>
      <w:fldChar w:fldCharType="begin"/>
      <w:instrText xml:space="preserve"> NUMPAGES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drawing>
        <wp:inline xmlns:a="http://schemas.openxmlformats.org/drawingml/2006/main" xmlns:pic="http://schemas.openxmlformats.org/drawingml/2006/picture">
          <wp:extent cx="6858000" cy="8291286"/>
          <wp:docPr id="1" name="Picture 1"/>
          <wp:cNvGraphicFramePr>
            <a:graphicFrameLocks noChangeAspect="1"/>
          </wp:cNvGraphicFramePr>
          <a:graphic>
            <a:graphicData uri="http://schemas.openxmlformats.org/drawingml/2006/picture">
              <pic:pic>
                <pic:nvPicPr>
                  <pic:cNvPr id="0" name="header_image1.png"/>
                  <pic:cNvPicPr/>
                </pic:nvPicPr>
                <pic:blipFill>
                  <a:blip r:embed="rId1"/>
                  <a:stretch>
                    <a:fillRect/>
                  </a:stretch>
                </pic:blipFill>
                <pic:spPr>
                  <a:xfrm>
                    <a:off x="0" y="0"/>
                    <a:ext cx="6858000" cy="8291286"/>
                  </a:xfrm>
                  <a:prstGeom prst="rect"/>
                </pic:spPr>
              </pic:pic>
            </a:graphicData>
          </a:graphic>
        </wp:inline>
      </w:drawing>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footer" Target="footer4.xml"/><Relationship Id="rId21" Type="http://schemas.openxmlformats.org/officeDocument/2006/relationships/header" Target="header5.xml"/><Relationship Id="rId22" Type="http://schemas.openxmlformats.org/officeDocument/2006/relationships/footer" Target="footer5.xml"/><Relationship Id="rId23" Type="http://schemas.openxmlformats.org/officeDocument/2006/relationships/header" Target="header6.xml"/><Relationship Id="rId24" Type="http://schemas.openxmlformats.org/officeDocument/2006/relationships/footer" Target="footer6.xml"/><Relationship Id="rId25" Type="http://schemas.openxmlformats.org/officeDocument/2006/relationships/header" Target="header7.xml"/><Relationship Id="rId26" Type="http://schemas.openxmlformats.org/officeDocument/2006/relationships/footer" Target="footer7.xml"/><Relationship Id="rId27" Type="http://schemas.openxmlformats.org/officeDocument/2006/relationships/header" Target="header8.xml"/><Relationship Id="rId28" Type="http://schemas.openxmlformats.org/officeDocument/2006/relationships/footer" Target="footer8.xml"/><Relationship Id="rId29" Type="http://schemas.openxmlformats.org/officeDocument/2006/relationships/header" Target="header9.xml"/><Relationship Id="rId30" Type="http://schemas.openxmlformats.org/officeDocument/2006/relationships/header" Target="header10.xml"/><Relationship Id="rId31" Type="http://schemas.openxmlformats.org/officeDocument/2006/relationships/footer" Target="footer9.xml"/><Relationship Id="rId32" Type="http://schemas.openxmlformats.org/officeDocument/2006/relationships/footer" Target="footer10.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