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34" w:after="358"/>
        <w:ind w:left="0" w:right="0" w:firstLine="0"/>
        <w:jc w:val="center"/>
      </w:pPr>
      <w:r>
        <w:rPr>
          <w:rFonts w:ascii="Cambria" w:hAnsi="Cambria" w:eastAsia="Cambria"/>
          <w:b/>
          <w:i/>
          <w:color w:val="008080"/>
          <w:sz w:val="28"/>
        </w:rPr>
        <w:t>TEST NAME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20.0" w:type="dxa"/>
      </w:tblPr>
      <w:tblGrid>
        <w:gridCol w:w="9038"/>
      </w:tblGrid>
      <w:tr>
        <w:trPr>
          <w:trHeight w:hRule="exact" w:val="1688"/>
        </w:trPr>
        <w:tc>
          <w:tcPr>
            <w:tcW w:type="dxa" w:w="4484"/>
            <w:tcBorders>
              <w:top w:sz="6.400000000000091" w:val="single" w:color="#0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12" w:val="left"/>
              </w:tabs>
              <w:autoSpaceDE w:val="0"/>
              <w:widowControl/>
              <w:spacing w:line="245" w:lineRule="auto" w:before="1144" w:after="0"/>
              <w:ind w:left="664" w:right="576" w:firstLine="0"/>
              <w:jc w:val="left"/>
            </w:pP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8"/>
              </w:rPr>
              <w:t xml:space="preserve">Positive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FFFFFF"/>
                <w:sz w:val="20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480"/>
        </w:trPr>
        <w:tc>
          <w:tcPr>
            <w:tcW w:type="dxa" w:w="10710"/>
            <w:tcBorders>
              <w:start w:sz="6.400000000000006" w:val="single" w:color="#4AABC4"/>
              <w:top w:sz="6.400000000000091" w:val="single" w:color="#4AABC4"/>
              <w:end w:sz="5.600000000000364" w:val="single" w:color="#4AABC4"/>
              <w:bottom w:sz="6.400000000000091" w:val="single" w:color="#4AABC4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99" w:type="dxa"/>
            </w:tblPr>
            <w:tblGrid>
              <w:gridCol w:w="10710"/>
            </w:tblGrid>
            <w:tr>
              <w:trPr>
                <w:trHeight w:hRule="exact" w:val="272"/>
              </w:trPr>
              <w:tc>
                <w:tcPr>
                  <w:tcW w:type="dxa" w:w="1876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Clinical Indication: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0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Metastatic Adenocarcinoma</w:t>
            </w:r>
          </w:p>
        </w:tc>
      </w:tr>
    </w:tbl>
    <w:p>
      <w:pPr>
        <w:autoSpaceDN w:val="0"/>
        <w:autoSpaceDE w:val="0"/>
        <w:widowControl/>
        <w:spacing w:line="240" w:lineRule="auto" w:before="1196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1102"/>
        </w:trPr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III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MSI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MSI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52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Therapies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Therapies</w:t>
            </w:r>
          </w:p>
        </w:tc>
        <w:tc>
          <w:tcPr>
            <w:tcW w:type="dxa" w:w="28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70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Clinical 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Clinical Trials</w:t>
            </w:r>
          </w:p>
        </w:tc>
      </w:tr>
    </w:tbl>
    <w:p>
      <w:pPr>
        <w:autoSpaceDN w:val="0"/>
        <w:autoSpaceDE w:val="0"/>
        <w:widowControl/>
        <w:spacing w:line="240" w:lineRule="auto" w:before="56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96"/>
        </w:trPr>
        <w:tc>
          <w:tcPr>
            <w:tcW w:type="dxa" w:w="157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</w:t>
            </w:r>
          </w:p>
        </w:tc>
        <w:tc>
          <w:tcPr>
            <w:tcW w:type="dxa" w:w="3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54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Gene &amp; Transcript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 &amp; Transcript</w:t>
            </w:r>
          </w:p>
        </w:tc>
        <w:tc>
          <w:tcPr>
            <w:tcW w:type="dxa" w:w="22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174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45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Exon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Exon</w:t>
            </w:r>
          </w:p>
        </w:tc>
        <w:tc>
          <w:tcPr>
            <w:tcW w:type="dxa" w:w="217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Coverage/ VAF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Coverage/VAF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646"/>
        </w:trPr>
        <w:tc>
          <w:tcPr>
            <w:tcW w:type="dxa" w:w="1528"/>
            <w:tcBorders>
              <w:start w:sz="6.400000000000006" w:val="single" w:color="#D9ECF2"/>
              <w:top w:sz="6.400000000000091" w:val="single" w:color="#D9ECF2"/>
              <w:end w:sz="5.600000000000023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2820"/>
            <w:tcBorders>
              <w:start w:sz="5.600000000000023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NM_000546.6</w:t>
            </w:r>
          </w:p>
        </w:tc>
        <w:tc>
          <w:tcPr>
            <w:tcW w:type="dxa" w:w="2642"/>
            <w:tcBorders>
              <w:start w:sz="5.599999999999909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574"/>
            <w:tcBorders>
              <w:start w:sz="5.599999999999909" w:val="single" w:color="#D9ECF2"/>
              <w:top w:sz="6.400000000000091" w:val="single" w:color="#D9ECF2"/>
              <w:end w:sz="6.400000000000091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146"/>
            <w:tcBorders>
              <w:start w:sz="6.400000000000091" w:val="single" w:color="#D9ECF2"/>
              <w:top w:sz="6.400000000000091" w:val="single" w:color="#D9ECF2"/>
              <w:end w:sz="5.600000000000364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691x /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59" w:lineRule="auto" w:before="50" w:after="0"/>
        <w:ind w:left="714" w:right="3024" w:firstLine="2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*Genetic test results are reported based on the recommendations of AMP-ASCO-CAP guidelines. </w:t>
      </w:r>
      <w:r>
        <w:rPr>
          <w:rFonts w:ascii="Cambria" w:hAnsi="Cambria" w:eastAsia="Cambria"/>
          <w:b w:val="0"/>
          <w:i/>
          <w:color w:val="000000"/>
          <w:sz w:val="20"/>
        </w:rPr>
        <w:t>**Public data sources 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22" w:after="246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38"/>
      </w:tblGrid>
      <w:tr>
        <w:trPr>
          <w:trHeight w:hRule="exact" w:val="910"/>
        </w:trPr>
        <w:tc>
          <w:tcPr>
            <w:tcW w:type="dxa" w:w="1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30" w:val="left"/>
                <w:tab w:pos="5978" w:val="left"/>
                <w:tab w:pos="6066" w:val="left"/>
                <w:tab w:pos="8746" w:val="left"/>
                <w:tab w:pos="8826" w:val="left"/>
              </w:tabs>
              <w:autoSpaceDE w:val="0"/>
              <w:widowControl/>
              <w:spacing w:line="290" w:lineRule="auto" w:before="60" w:after="0"/>
              <w:ind w:left="176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Result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Result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8.0" w:type="dxa"/>
            </w:tblPr>
            <w:tblGrid>
              <w:gridCol w:w="3773"/>
              <w:gridCol w:w="3773"/>
              <w:gridCol w:w="3773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6.399999999999636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76"/>
              </w:trPr>
              <w:tc>
                <w:tcPr>
                  <w:tcW w:type="dxa" w:w="4440"/>
                  <w:tcBorders>
                    <w:start w:sz="6.400000000000006" w:val="single" w:color="#D9ECF2"/>
                    <w:top w:sz="6.399999999999636" w:val="single" w:color="#D9ECF2"/>
                    <w:end w:sz="6.400000000000091" w:val="single" w:color="#D9ECF2"/>
                    <w:bottom w:sz="6.399999999999636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Microsatellite Instability (MSI)</w:t>
                  </w:r>
                </w:p>
              </w:tc>
              <w:tc>
                <w:tcPr>
                  <w:tcW w:type="dxa" w:w="3044"/>
                  <w:tcBorders>
                    <w:start w:sz="6.400000000000091" w:val="single" w:color="#D9ECF2"/>
                    <w:top w:sz="6.399999999999636" w:val="single" w:color="#D9ECF2"/>
                    <w:end w:sz="6.400000000000091" w:val="single" w:color="#D9ECF2"/>
                    <w:bottom w:sz="6.399999999999636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</w:t>
                  </w:r>
                </w:p>
              </w:tc>
              <w:tc>
                <w:tcPr>
                  <w:tcW w:type="dxa" w:w="3226"/>
                  <w:tcBorders>
                    <w:start w:sz="6.400000000000091" w:val="single" w:color="#D9ECF2"/>
                    <w:top w:sz="6.399999999999636" w:val="single" w:color="#D9ECF2"/>
                    <w:end w:sz="5.600000000000364" w:val="single" w:color="#D9ECF2"/>
                    <w:bottom w:sz="6.399999999999636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6" w:after="0"/>
                    <w:ind w:left="34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 Microsatellite detected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59" w:lineRule="auto" w:before="26" w:after="0"/>
        <w:ind w:left="714" w:right="1296" w:firstLine="2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# Correlation of the genetic findings with the clinical condition of the patient is required to arrive at accurate diagnosis, </w:t>
      </w:r>
      <w:r>
        <w:rPr>
          <w:rFonts w:ascii="Cambria" w:hAnsi="Cambria" w:eastAsia="Cambria"/>
          <w:b w:val="0"/>
          <w:i/>
          <w:color w:val="000000"/>
          <w:sz w:val="20"/>
        </w:rPr>
        <w:t>prognosis or therapeutic decisions.</w:t>
      </w:r>
    </w:p>
    <w:p>
      <w:pPr>
        <w:sectPr>
          <w:footerReference w:type="default" r:id="rId10"/>
          <w:footerReference w:type="first" r:id="rId11"/>
          <w:footerReference w:type="even" r:id="rId12"/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02" w:after="178"/>
        <w:ind w:left="95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Clinical Significance: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540"/>
        </w:trPr>
        <w:tc>
          <w:tcPr>
            <w:tcW w:type="dxa" w:w="44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472"/>
            </w:tblGrid>
            <w:tr>
              <w:trPr>
                <w:trHeight w:hRule="exact" w:val="520"/>
              </w:trPr>
              <w:tc>
                <w:tcPr>
                  <w:tcW w:type="dxa" w:w="331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142" w:after="0"/>
                    <w:ind w:left="0" w:right="112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23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0.0" w:type="dxa"/>
            </w:tblPr>
            <w:tblGrid>
              <w:gridCol w:w="6238"/>
            </w:tblGrid>
            <w:tr>
              <w:trPr>
                <w:trHeight w:hRule="exact" w:val="382"/>
              </w:trPr>
              <w:tc>
                <w:tcPr>
                  <w:tcW w:type="dxa" w:w="354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60" w:after="0"/>
                    <w:ind w:left="0" w:right="155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Therapy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008"/>
        </w:trPr>
        <w:tc>
          <w:tcPr>
            <w:tcW w:type="dxa" w:w="1070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510"/>
              </w:trPr>
              <w:tc>
                <w:tcPr>
                  <w:tcW w:type="dxa" w:w="3554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58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133.9999999999998" w:type="dxa"/>
                  </w:tblPr>
                  <w:tblGrid>
                    <w:gridCol w:w="3558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45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This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3582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67.9999999999995" w:type="dxa"/>
                  </w:tblPr>
                  <w:tblGrid>
                    <w:gridCol w:w="3582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60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Other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78"/>
              </w:trPr>
              <w:tc>
                <w:tcPr>
                  <w:tcW w:type="dxa" w:w="355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148" w:after="0"/>
                    <w:ind w:left="1296" w:right="1296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IIC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55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50" w:after="0"/>
                    <w:ind w:left="11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6666"/>
                      <w:sz w:val="24"/>
                    </w:rPr>
                    <w:t>▪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582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8.000000000000682" w:type="dxa"/>
                  </w:tblPr>
                  <w:tblGrid>
                    <w:gridCol w:w="3582"/>
                  </w:tblGrid>
                  <w:tr>
                    <w:trPr>
                      <w:trHeight w:hRule="exact" w:val="940"/>
                    </w:trPr>
                    <w:tc>
                      <w:tcPr>
                        <w:tcW w:type="dxa" w:w="3554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42" w:after="0"/>
                          <w:ind w:left="9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6666"/>
                            <w:sz w:val="24"/>
                          </w:rPr>
                          <w:t>▪</w:t>
                        </w: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0000"/>
                            <w:sz w:val="20"/>
                          </w:rPr>
                          <w:t>None*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tabs>
                <w:tab w:pos="1124" w:val="left"/>
                <w:tab w:pos="3712" w:val="left"/>
                <w:tab w:pos="3780" w:val="left"/>
                <w:tab w:pos="7670" w:val="left"/>
                <w:tab w:pos="7736" w:val="left"/>
              </w:tabs>
              <w:autoSpaceDE w:val="0"/>
              <w:widowControl/>
              <w:spacing w:line="290" w:lineRule="auto" w:before="462" w:after="0"/>
              <w:ind w:left="104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Variant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Diagnostic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Diagnostic Significance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Prognostic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Prognostic Significance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4"/>
              </w:trPr>
              <w:tc>
                <w:tcPr>
                  <w:tcW w:type="dxa" w:w="2788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42" w:after="0"/>
                    <w:ind w:left="864" w:right="864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962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960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4519"/>
        <w:gridCol w:w="4519"/>
      </w:tblGrid>
      <w:tr>
        <w:trPr>
          <w:trHeight w:hRule="exact" w:val="932"/>
        </w:trPr>
        <w:tc>
          <w:tcPr>
            <w:tcW w:type="dxa" w:w="3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38" w:val="left"/>
                <w:tab w:pos="914" w:val="left"/>
              </w:tabs>
              <w:autoSpaceDE w:val="0"/>
              <w:widowControl/>
              <w:spacing w:line="406" w:lineRule="auto" w:before="40" w:after="0"/>
              <w:ind w:left="314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 xml:space="preserve">Biomarker Description: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7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628" w:after="0"/>
              <w:ind w:left="0" w:right="308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Biomarker Description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Biomarker Description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4524"/>
        </w:trPr>
        <w:tc>
          <w:tcPr>
            <w:tcW w:type="dxa" w:w="2368"/>
            <w:tcBorders>
              <w:start w:sz="6.400000000000006" w:val="single" w:color="#D9ECF2"/>
              <w:top w:sz="6.400000000000091" w:val="single" w:color="#D9ECF2"/>
              <w:end w:sz="5.599999999999909" w:val="single" w:color="#D9ECF2"/>
              <w:bottom w:sz="6.399999999999636" w:val="single" w:color="#D9ECF2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44" w:after="0"/>
              <w:ind w:left="100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NM_000546.6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chr17:7578525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8342"/>
            <w:tcBorders>
              <w:start w:sz="5.599999999999909" w:val="single" w:color="#D9ECF2"/>
              <w:top w:sz="6.400000000000091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86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TP53 gene encodes the tumor suppressor protein p53, which binds to DNA and activates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transcription in response to diverse cellular stresses to induce cell cycle arrest, apoptosis, 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DNA repair[1]. In unstressed cells, TP53 is kept inactive by targeted degradation via MDM2,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substrate recognition factor for ubiquitin-dependent proteolysis[2]. Alterations in TP53 are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required for oncogenesis as they result in loss of protein function and gain of transforming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potential[3]. Germline mutations in TP53 are the underlying cause of Li-Fraumeni syndrome,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complex hereditary cancer predisposition disorder associated with early-onset cancers[4,5].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is the most frequently mutated gene in the cancer genome with approximately half of all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experiencing TP53 mutations. Ovarian, head and neck, esophageal, and lung squamous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have particularly high TP53 mutation rates (60-90%)[6,7,8,9,10,11]. Approximately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two-thirds of TP53 mutations are missense mutations and several recurrent missense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mutations are common, including substitutions at codons R158, R175, Y220, R248, R273, and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R282[6,7]. Invariably, recurrent missense mutations in TP53 inactivate its ability to bind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and activate transcription of target genes[12,13,14,15]. Alterations in TP53 are also observed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pediatric cancers[6,7]. Somatic mutations are observed in 53% of non-Hodgkin lymphoma,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24% of soft tissue sarcoma, 19% of glioma, 13% of bone cancer, 9% of B-lymphoblastic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leukemia/lymphoma, 4% of embryonal tumors, 3% of Wilms tumor and leukemia, 2% of T-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lymphoblastic leukemia/lymphoma, and less than 1% of peripheral nervous system cancers (5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151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104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tumor, and less than 1% of B-lymphoblastic leukemia/lymphoma (2 in 731 cases) and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tumor, and less than 1% of B-lymphoblastic leukemia/lymphoma (2 in 731 cases) and</w:t>
            </w:r>
          </w:p>
          <w:p>
            <w:pPr>
              <w:autoSpaceDN w:val="0"/>
              <w:tabs>
                <w:tab w:pos="2506" w:val="left"/>
                <w:tab w:pos="4668" w:val="left"/>
                <w:tab w:pos="6278" w:val="left"/>
                <w:tab w:pos="7868" w:val="left"/>
                <w:tab w:pos="9622" w:val="left"/>
              </w:tabs>
              <w:autoSpaceDE w:val="0"/>
              <w:widowControl/>
              <w:spacing w:line="31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leukemia (1 in 250 cases)[6,7]. The small molecule p53 reactivator, PC14586[16] (2020),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(1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250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cases)[6,7].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small molecule p53 reactivator, PC14586[16] (2020), received a fast track designation by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received a fast track designation by the FDA for advanced tumors harboring a TP53 Y220C</w:t>
            </w:r>
          </w:p>
          <w:p>
            <w:pPr>
              <w:autoSpaceDN w:val="0"/>
              <w:autoSpaceDE w:val="0"/>
              <w:widowControl/>
              <w:spacing w:line="286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FDA for advanced tumors harboring a TP53 Y220C mutation. The FDA has granted fast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mutation. The FDA has granted fast track designation to the p53 reactivator,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track designation to the p53 reactivator, eprenetapopt[17], (2019) and breakthrough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eprenetapopt[17], (2019) and breakthrough designation[18] (2020) in combination with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designation[18] (2020) in combination with azacitidine or azacitidine and venetoclax for acute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38"/>
      </w:tblGrid>
      <w:tr>
        <w:trPr>
          <w:trHeight w:hRule="exact" w:val="3074"/>
        </w:trPr>
        <w:tc>
          <w:tcPr>
            <w:tcW w:type="dxa" w:w="10724"/>
            <w:tcBorders>
              <w:bottom w:sz="6.400000000000091" w:val="single" w:color="#D9ECF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" w:after="0"/>
              <w:ind w:left="253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myelodysplastic syndrome (MDS) harboring a TP53 mutation, respectively. In addition to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mutation, respectively. In addition to investigational therapies aimed at restoring wild-type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investigational therapies aimed at restoring wild-type TP53 activity, compounds that</w:t>
            </w:r>
          </w:p>
          <w:p>
            <w:pPr>
              <w:autoSpaceDN w:val="0"/>
              <w:tabs>
                <w:tab w:pos="2556" w:val="left"/>
                <w:tab w:pos="3110" w:val="left"/>
                <w:tab w:pos="3970" w:val="left"/>
                <w:tab w:pos="5154" w:val="left"/>
                <w:tab w:pos="5684" w:val="left"/>
                <w:tab w:pos="6444" w:val="left"/>
                <w:tab w:pos="7414" w:val="left"/>
                <w:tab w:pos="8306" w:val="left"/>
                <w:tab w:pos="8770" w:val="left"/>
                <w:tab w:pos="9300" w:val="left"/>
                <w:tab w:pos="10000" w:val="left"/>
              </w:tabs>
              <w:autoSpaceDE w:val="0"/>
              <w:widowControl/>
              <w:spacing w:line="25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induce synthetic lethality are also under clinical evaluation[19,20]. TP53 mutation are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activity,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compounds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that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induce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synthetic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lethality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are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also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under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</w:t>
            </w:r>
          </w:p>
          <w:p>
            <w:pPr>
              <w:autoSpaceDN w:val="0"/>
              <w:autoSpaceDE w:val="0"/>
              <w:widowControl/>
              <w:spacing w:line="29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evaluation[19,20]. TP53 mutation are a diagnostic marker of SHH-activated, TP53-mutant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diagnostic marker of SHH-activated, TP53-mutant medulloblastoma[21]. TP53 mutations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medulloblastoma[21]. TP53 mutations confer poor prognosis and poor risk in multiple blood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confer poor prognosis and poor risk in multiple blood cancers including AML, MDS,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including AML, MDS, myeloproliferative neoplasms (MPN), and chronic lymphocytic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myeloproliferative neoplasms (MPN), and chronic lymphocytic leukemia (CLL), and acute</w:t>
            </w:r>
          </w:p>
          <w:p>
            <w:pPr>
              <w:autoSpaceDN w:val="0"/>
              <w:autoSpaceDE w:val="0"/>
              <w:widowControl/>
              <w:spacing w:line="338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(CLL), and acute lymphoblastic leukemia (ALL)[22,23,24,25,26,27]. In mantle cell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lymphoblastic leukemia (ALL)[22,23,24,25,26,27]. In mantle cell lymphoma, TP53</w:t>
            </w:r>
          </w:p>
          <w:p>
            <w:pPr>
              <w:autoSpaceDN w:val="0"/>
              <w:autoSpaceDE w:val="0"/>
              <w:widowControl/>
              <w:spacing w:line="44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including hematopoietic cell transplant[28]. Mono- and bi-allelic mutations in TP53 confer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lymphoma, TP53 mutations are associated with poor prognosis when treated with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mutations are associated with poor prognosis when treated with conventional therapy</w:t>
            </w:r>
          </w:p>
          <w:p>
            <w:pPr>
              <w:autoSpaceDN w:val="0"/>
              <w:autoSpaceDE w:val="0"/>
              <w:widowControl/>
              <w:spacing w:line="32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conventional therapy including hematopoietic cell transplant[28]. Mono- and bi-allelic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unique characteristics in MDS, with multi-hit patients also experiencing associations with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5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complex karyotype, few co-occurring mutations, and high-risk disease presentation as well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mutations in TP53 confer unique characteristics in MDS, with multi-hit patients also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experiencing associations with complex karyotype, few co-occurring mutations, and high-risk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 predicted death and leukemic transformation independent of the IPSS-R staging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disease presentation as well as predicted death and leukemic transformation independent of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system[29].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IPSS-R staging system[29].</w:t>
            </w:r>
          </w:p>
        </w:tc>
      </w:tr>
    </w:tbl>
    <w:p>
      <w:pPr>
        <w:autoSpaceDN w:val="0"/>
        <w:autoSpaceDE w:val="0"/>
        <w:widowControl/>
        <w:spacing w:line="240" w:lineRule="auto" w:before="290" w:after="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402" w:after="8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32"/>
        </w:trPr>
        <w:tc>
          <w:tcPr>
            <w:tcW w:type="dxa" w:w="445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128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Therapy</w:t>
            </w:r>
          </w:p>
        </w:tc>
        <w:tc>
          <w:tcPr>
            <w:tcW w:type="dxa" w:w="2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25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FDA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FDA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NCCN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NCCN</w:t>
            </w:r>
          </w:p>
        </w:tc>
        <w:tc>
          <w:tcPr>
            <w:tcW w:type="dxa" w:w="1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EMA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EMA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ESMO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ESMO</w:t>
            </w:r>
          </w:p>
        </w:tc>
        <w:tc>
          <w:tcPr>
            <w:tcW w:type="dxa" w:w="105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Trials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48"/>
        </w:trPr>
        <w:tc>
          <w:tcPr>
            <w:tcW w:type="dxa" w:w="5416"/>
            <w:tcBorders>
              <w:start w:sz="6.400000000000006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atezolizumab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azenosertib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ART-6043, olaparib, niraparib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ATRN-119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GSK-101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VB-15010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2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2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3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GenSci-122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8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rHeight w:hRule="exact" w:val="494"/>
        </w:trPr>
        <w:tc>
          <w:tcPr>
            <w:tcW w:type="dxa" w:w="15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572"/>
            </w:tblGrid>
            <w:tr>
              <w:trPr>
                <w:trHeight w:hRule="exact" w:val="474"/>
              </w:trPr>
              <w:tc>
                <w:tcPr>
                  <w:tcW w:type="dxa" w:w="119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92" w:after="0"/>
                    <w:ind w:left="10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GH-2616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136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GH-2616</w:t>
            </w: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45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52"/>
        </w:trPr>
        <w:tc>
          <w:tcPr>
            <w:tcW w:type="dxa" w:w="5416"/>
            <w:tcBorders>
              <w:start w:sz="6.400000000000006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HRS-1167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HS-10502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SIM-0501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talazoparib, palbociclib, axitinib, crizotinib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65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XL-309, 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pembrolizumab,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IV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saruparib,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2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2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6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2" w:after="0"/>
              <w:ind w:left="94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abiraterone + niraparib, hormone therapy, radiation therapy,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steroid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60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60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9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camrelizumab, fluzoparib,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eflornithine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hormone therapy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trastuzumab, chemotherapy, camonsertib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dostarlimab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2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804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38"/>
      </w:tblGrid>
      <w:tr>
        <w:trPr>
          <w:trHeight w:hRule="exact" w:val="4502"/>
        </w:trPr>
        <w:tc>
          <w:tcPr>
            <w:tcW w:type="dxa" w:w="11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172" w:val="left"/>
                <w:tab w:pos="7210" w:val="left"/>
                <w:tab w:pos="8258" w:val="left"/>
                <w:tab w:pos="9312" w:val="left"/>
                <w:tab w:pos="10392" w:val="left"/>
              </w:tabs>
              <w:autoSpaceDE w:val="0"/>
              <w:widowControl/>
              <w:spacing w:line="250" w:lineRule="auto" w:before="60" w:after="0"/>
              <w:ind w:left="203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olaparib, durvalumab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2.0" w:type="dxa"/>
            </w:tblPr>
            <w:tblGrid>
              <w:gridCol w:w="1883"/>
              <w:gridCol w:w="1883"/>
              <w:gridCol w:w="1883"/>
              <w:gridCol w:w="1883"/>
              <w:gridCol w:w="1883"/>
              <w:gridCol w:w="1883"/>
            </w:tblGrid>
            <w:tr>
              <w:trPr>
                <w:trHeight w:hRule="exact" w:val="232"/>
              </w:trPr>
              <w:tc>
                <w:tcPr>
                  <w:tcW w:type="dxa" w:w="10682"/>
                  <w:gridSpan w:val="6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080" w:val="left"/>
                    </w:tabs>
                    <w:autoSpaceDE w:val="0"/>
                    <w:widowControl/>
                    <w:spacing w:line="240" w:lineRule="auto" w:before="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olaparib, durvalumab </w:t>
                  </w:r>
                  <w:r>
                    <w:tab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52"/>
              </w:trPr>
              <w:tc>
                <w:tcPr>
                  <w:tcW w:type="dxa" w:w="5416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olaparib, pembrolizumab</w:t>
                  </w:r>
                </w:p>
              </w:tc>
              <w:tc>
                <w:tcPr>
                  <w:tcW w:type="dxa" w:w="1020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>
                    <w:start w:sz="5.600000000000364" w:val="single" w:color="#D9ECF2"/>
                    <w:top w:sz="5.599999999999909" w:val="single" w:color="#D9ECF2"/>
                    <w:end w:sz="5.600000000000364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45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sintilimab, chemotherapy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fluzoparib, camrelizumab, chemotherapy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IMP-1734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65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4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tislelizumab, radiation therapy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A2A-252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GB-3010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lunresertib, camonsertib, Debio-0123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  <w:tr>
              <w:trPr>
                <w:trHeight w:hRule="exact" w:val="421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SC0245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4" w:lineRule="exact" w:before="70" w:after="196"/>
        <w:ind w:left="716" w:right="1440" w:firstLine="0"/>
        <w:jc w:val="left"/>
      </w:pPr>
      <w:r>
        <w:rPr>
          <w:rFonts w:ascii="Type3 (21 0 R)" w:hAnsi="Type3 (21 0 R)" w:eastAsia="Type3 (21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>Note: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this Cancer Type,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Other Cancer Type,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both In this and Other Cancer Type,</w:t>
      </w:r>
      <w:r>
        <w:rPr>
          <w:rFonts w:ascii="Cambria" w:hAnsi="Cambria" w:eastAsia="Cambria"/>
          <w:b w:val="0"/>
          <w:i w:val="0"/>
          <w:color w:val="808080"/>
          <w:sz w:val="20"/>
        </w:rPr>
        <w:t xml:space="preserve"> X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Evidence.</w:t>
      </w:r>
      <w:r>
        <w:rPr>
          <w:rFonts w:ascii="Type3 (23 0 R)" w:hAnsi="Type3 (23 0 R)" w:eastAsia="Type3 (23 0 R)"/>
          <w:b w:val="0"/>
          <w:i w:val="0"/>
          <w:color w:val="EE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: </w:t>
      </w:r>
      <w:r>
        <w:rPr>
          <w:rFonts w:ascii="Cambria" w:hAnsi="Cambria" w:eastAsia="Cambria"/>
          <w:b w:val="0"/>
          <w:i w:val="0"/>
          <w:color w:val="000000"/>
          <w:sz w:val="20"/>
        </w:rPr>
        <w:t>Caution for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44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Description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2814"/>
              </w:trPr>
              <w:tc>
                <w:tcPr>
                  <w:tcW w:type="dxa" w:w="10710"/>
                  <w:tcBorders>
                    <w:start w:sz="6.400000000000006" w:val="single" w:color="#D9ECF2"/>
                    <w:top w:sz="6.400000000000091" w:val="single" w:color="#D9ECF2"/>
                    <w:end w:sz="5.600000000000364" w:val="single" w:color="#D9ECF2"/>
                    <w:bottom w:sz="5.600000000000364" w:val="single" w:color="#D9ECF2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24" w:after="0"/>
                    <w:ind w:left="100" w:right="1008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Liquidseq Actionable Genomic Profiling Panel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is advancing precision oncology research through the analysis of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multiple relevant biomarkers in a single next-generation sequencing (NGS) test.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 Liquidseq Actionable Genomic Profiling assay analyses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34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unique genes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28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DNA +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6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Fusions driver genes) for single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 and multiple gene biomarker insights, detects single gene biomarkers from all variant types including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SNVs, indels,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CNVs, known and novel fusions, and splice variants.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Analyze complex multi-gene biomarkers for mutational signatures,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including microsatellite instability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MSI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) for immunotherapy research.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115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 performance of the panel was verified using both commercially sourced reference controls and cell-free DNA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(cfTNA)samples.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2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Methodology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714" w:right="1152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Extraction &amp; Library Preparation: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Cell free Total Nucleic acid (cfTNA) extracted from the liquid biopsy sample is used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for targeted gene capture using a custom designed hybrid capture panel. In process quality controls were determined for </w:t>
      </w:r>
      <w:r>
        <w:rPr>
          <w:rFonts w:ascii="Cambria" w:hAnsi="Cambria" w:eastAsia="Cambria"/>
          <w:b w:val="0"/>
          <w:i w:val="0"/>
          <w:color w:val="000000"/>
          <w:sz w:val="20"/>
        </w:rPr>
        <w:t>prepared library.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56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4" w:after="0"/>
              <w:ind w:left="100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Sequencing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: The libraries were sequenced at mean depth: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&gt;25,000x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Illumina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Novaseq- next generation sequencing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platform.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98" w:right="28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Data Analysis: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Sequencing data analyzed using a customized and validated bioinformatics pipeline capable of detecting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various classes of genomic alterations, including single nucleotide variants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),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Indels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, copy number variations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fusions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. As part of the streamlined bioinformatics workflow, Multi-gene Biomarkers such as Microsatellite Instability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Score is calculated. Reportable genomic alterations and fusions are prioritized, classified, and reported based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AMP-ASCO-CAP guidelines and NCCN guidelines.</w:t>
            </w:r>
          </w:p>
          <w:p>
            <w:pPr>
              <w:autoSpaceDN w:val="0"/>
              <w:autoSpaceDE w:val="0"/>
              <w:widowControl/>
              <w:spacing w:line="245" w:lineRule="auto" w:before="80" w:after="0"/>
              <w:ind w:left="100" w:right="432" w:hanging="2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Limit of Detection (LOD): The LOD for SNVs and Short InDels is 0.1% Variant allele Frequency (VAF) and for Fusions is 05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supporting reads.</w:t>
            </w:r>
          </w:p>
        </w:tc>
      </w:tr>
    </w:tbl>
    <w:p>
      <w:pPr>
        <w:autoSpaceDN w:val="0"/>
        <w:autoSpaceDE w:val="0"/>
        <w:widowControl/>
        <w:spacing w:line="2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28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18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Notes</w:t>
            </w:r>
          </w:p>
        </w:tc>
      </w:tr>
    </w:tbl>
    <w:p>
      <w:pPr>
        <w:autoSpaceDN w:val="0"/>
        <w:autoSpaceDE w:val="0"/>
        <w:widowControl/>
        <w:spacing w:line="245" w:lineRule="auto" w:before="52" w:after="0"/>
        <w:ind w:left="714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decisions should not be based solely on the results of this test. Findings must be interpreted in the context of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patient’s complete clinical profile—including pathological, radiological, and family history—to guide diagnosis, </w:t>
      </w:r>
      <w:r>
        <w:rPr>
          <w:rFonts w:ascii="Cambria" w:hAnsi="Cambria" w:eastAsia="Cambria"/>
          <w:b w:val="0"/>
          <w:i w:val="0"/>
          <w:color w:val="000000"/>
          <w:sz w:val="20"/>
        </w:rPr>
        <w:t>prognosis, and therapeutic decisions.</w:t>
      </w:r>
    </w:p>
    <w:p>
      <w:pPr>
        <w:autoSpaceDN w:val="0"/>
        <w:autoSpaceDE w:val="0"/>
        <w:widowControl/>
        <w:spacing w:line="245" w:lineRule="auto" w:before="396" w:after="0"/>
        <w:ind w:left="714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Therapy-related information in this report is derived from multiple sources including FDA-approved drug data, NCCN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guidelines, peer-reviewed literature, standard clinical databases, and biomarker evidence strength. However, therapy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options listed may not be suitable or beneficial for all patients. This report aims to provide a summary of potentially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effective treatments, therapies that may pose increased risks, and those that may have limited benefit, based on genomic </w:t>
      </w:r>
      <w:r>
        <w:rPr>
          <w:rFonts w:ascii="Cambria" w:hAnsi="Cambria" w:eastAsia="Cambria"/>
          <w:b w:val="0"/>
          <w:i w:val="0"/>
          <w:color w:val="000000"/>
          <w:sz w:val="20"/>
        </w:rPr>
        <w:t>alterations identified. Prognostic and diagnostic biomarkers relevant to the disease context may also be reported.</w:t>
      </w:r>
    </w:p>
    <w:p>
      <w:pPr>
        <w:autoSpaceDN w:val="0"/>
        <w:autoSpaceDE w:val="0"/>
        <w:widowControl/>
        <w:spacing w:line="245" w:lineRule="auto" w:before="396" w:after="0"/>
        <w:ind w:left="714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SN Genelab Pvt Ltd does not guarantee completeness, accuracy, or eligibility for trial enrollment. Physicians must verify </w:t>
      </w:r>
      <w:r>
        <w:rPr>
          <w:rFonts w:ascii="Cambria" w:hAnsi="Cambria" w:eastAsia="Cambria"/>
          <w:b w:val="0"/>
          <w:i w:val="0"/>
          <w:color w:val="000000"/>
          <w:sz w:val="20"/>
        </w:rPr>
        <w:t>eligibility criteria for specific trials independently.</w:t>
      </w:r>
    </w:p>
    <w:p>
      <w:pPr>
        <w:autoSpaceDN w:val="0"/>
        <w:autoSpaceDE w:val="0"/>
        <w:widowControl/>
        <w:spacing w:line="245" w:lineRule="auto" w:before="396" w:after="0"/>
        <w:ind w:left="714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Identification of a genomic alteration does not guarantee therapeutic efficacy or predict ineffectiveness. Final decisions on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should rest with the treating physician. The absence of reported therapeutic options does not imply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0"/>
        </w:rPr>
        <w:t>ineffectiveness or lack of safety of any medication selected independently.</w:t>
      </w:r>
    </w:p>
    <w:p>
      <w:pPr>
        <w:autoSpaceDN w:val="0"/>
        <w:autoSpaceDE w:val="0"/>
        <w:widowControl/>
        <w:spacing w:line="245" w:lineRule="auto" w:before="396" w:after="0"/>
        <w:ind w:left="714" w:right="14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All variant classifications and related clinical information are based on the latest evidence from peer-reviewed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publications, public clinical databases, and medical guidelines (e.g., NCCN, ASCO, AMP) available at the time of report </w:t>
      </w:r>
      <w:r>
        <w:rPr>
          <w:rFonts w:ascii="Cambria" w:hAnsi="Cambria" w:eastAsia="Cambria"/>
          <w:b w:val="0"/>
          <w:i w:val="0"/>
          <w:color w:val="000000"/>
          <w:sz w:val="20"/>
        </w:rPr>
        <w:t>generation. However, literature is continuously evolving, and classification may change with emerging evidence.</w:t>
      </w:r>
    </w:p>
    <w:p>
      <w:pPr>
        <w:autoSpaceDN w:val="0"/>
        <w:autoSpaceDE w:val="0"/>
        <w:widowControl/>
        <w:spacing w:line="245" w:lineRule="auto" w:before="396" w:after="0"/>
        <w:ind w:left="714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assay is designed and validated for somatic variant detection, it does not differentiate between somatic and germline </w:t>
      </w:r>
      <w:r>
        <w:rPr>
          <w:rFonts w:ascii="Cambria" w:hAnsi="Cambria" w:eastAsia="Cambria"/>
          <w:b w:val="0"/>
          <w:i w:val="0"/>
          <w:color w:val="000000"/>
          <w:sz w:val="20"/>
        </w:rPr>
        <w:t>variants. If indicated, germline testing and genetic counselling are recommended.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355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6.400000000000091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Poor-quality cfDNA/ Previous or Ongoing therapy may fail QC thresholds at various stages such as cfDNA extraction,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library preparation, or bioinformatics, and may result in assay failure or compromised results, such as low gene coverage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or shallow variant depth.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with lower allele frequencies may be reported if they are of strong or potential clinical relevance, or if previously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detected in the same patient. False positives or negatives below assay sensitivity cannot be ruled out.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CNVs/gene amplifications reported, Confirmation using orthogonal methods such as DDPCR is recommended when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clinically indicated.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in non-coding regions or deep intronic sequences are not assessed in this assay.</w:t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This assay is under the scope of NABL as Liquidseq Actionable Panel.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430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.000000000000057" w:type="dxa"/>
            </w:tblPr>
            <w:tblGrid>
              <w:gridCol w:w="2142"/>
              <w:gridCol w:w="2142"/>
              <w:gridCol w:w="2142"/>
              <w:gridCol w:w="2142"/>
              <w:gridCol w:w="2142"/>
            </w:tblGrid>
            <w:tr>
              <w:trPr>
                <w:trHeight w:hRule="exact" w:val="240"/>
              </w:trPr>
              <w:tc>
                <w:tcPr>
                  <w:tcW w:type="dxa" w:w="10682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97" w:type="dxa"/>
                  </w:tblPr>
                  <w:tblGrid>
                    <w:gridCol w:w="10682"/>
                  </w:tblGrid>
                  <w:tr>
                    <w:trPr>
                      <w:trHeight w:hRule="exact" w:val="222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DNA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6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AKT1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APC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ATM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BRAF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BRCA2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CTNNB1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EGFR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ERBB2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ERBB3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ESR1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FOXL2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GNA11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GNAQ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KIT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KRAS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NRAS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PDGFRA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PIK3CA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POLE</w:t>
                  </w:r>
                </w:p>
              </w:tc>
            </w:tr>
            <w:tr>
              <w:trPr>
                <w:trHeight w:hRule="exact" w:val="231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2248" w:val="left"/>
                <w:tab w:pos="4390" w:val="left"/>
              </w:tabs>
              <w:autoSpaceDE w:val="0"/>
              <w:widowControl/>
              <w:spacing w:line="240" w:lineRule="auto" w:before="0" w:after="234"/>
              <w:ind w:left="10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RAF1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.000000000000028" w:type="dxa"/>
            </w:tblPr>
            <w:tblGrid>
              <w:gridCol w:w="2142"/>
              <w:gridCol w:w="2142"/>
              <w:gridCol w:w="2142"/>
              <w:gridCol w:w="2142"/>
              <w:gridCol w:w="2142"/>
            </w:tblGrid>
            <w:tr>
              <w:trPr>
                <w:trHeight w:hRule="exact" w:val="240"/>
              </w:trPr>
              <w:tc>
                <w:tcPr>
                  <w:tcW w:type="dxa" w:w="10686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0.0" w:type="dxa"/>
                  </w:tblPr>
                  <w:tblGrid>
                    <w:gridCol w:w="10686"/>
                  </w:tblGrid>
                  <w:tr>
                    <w:trPr>
                      <w:trHeight w:hRule="exact" w:val="224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RNA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NTRK1</w:t>
                  </w:r>
                </w:p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NTRK2</w:t>
                  </w:r>
                </w:p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NTRK3</w:t>
                  </w:r>
                </w:p>
              </w:tc>
            </w:tr>
            <w:tr>
              <w:trPr>
                <w:trHeight w:hRule="exact" w:val="24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204"/>
              <w:ind w:left="10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ROS1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.000000000000057" w:type="dxa"/>
            </w:tblPr>
            <w:tblGrid>
              <w:gridCol w:w="5355"/>
              <w:gridCol w:w="5355"/>
            </w:tblGrid>
            <w:tr>
              <w:trPr>
                <w:trHeight w:hRule="exact" w:val="238"/>
              </w:trPr>
              <w:tc>
                <w:tcPr>
                  <w:tcW w:type="dxa" w:w="4704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2.00000000000003" w:type="dxa"/>
                  </w:tblPr>
                  <w:tblGrid>
                    <w:gridCol w:w="2352"/>
                    <w:gridCol w:w="2352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52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MSI</w:t>
                        </w:r>
                      </w:p>
                    </w:tc>
                    <w:tc>
                      <w:tcPr>
                        <w:tcW w:type="dxa" w:w="297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0" w:right="1094" w:firstLine="0"/>
                          <w:jc w:val="righ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MSI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5998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55" w:type="dxa"/>
                  </w:tblPr>
                  <w:tblGrid>
                    <w:gridCol w:w="2999"/>
                    <w:gridCol w:w="2999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184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% of Unstable Loci</w:t>
                        </w:r>
                      </w:p>
                    </w:tc>
                    <w:tc>
                      <w:tcPr>
                        <w:tcW w:type="dxa" w:w="294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20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% of Unstable Loci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49"/>
              </w:trPr>
              <w:tc>
                <w:tcPr>
                  <w:tcW w:type="dxa" w:w="4704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Stable</w:t>
                  </w:r>
                </w:p>
              </w:tc>
              <w:tc>
                <w:tcPr>
                  <w:tcW w:type="dxa" w:w="5998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0-19%</w:t>
                  </w:r>
                </w:p>
              </w:tc>
            </w:tr>
            <w:tr>
              <w:trPr>
                <w:trHeight w:hRule="exact" w:val="241"/>
              </w:trPr>
              <w:tc>
                <w:tcPr>
                  <w:tcW w:type="dxa" w:w="470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  <w:tc>
                <w:tcPr>
                  <w:tcW w:type="dxa" w:w="599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20-30%</w:t>
                  </w:r>
                </w:p>
              </w:tc>
            </w:tr>
            <w:tr>
              <w:trPr>
                <w:trHeight w:hRule="exact" w:val="235"/>
              </w:trPr>
              <w:tc>
                <w:tcPr>
                  <w:tcW w:type="dxa" w:w="470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4814" w:val="left"/>
              </w:tabs>
              <w:autoSpaceDE w:val="0"/>
              <w:widowControl/>
              <w:spacing w:line="240" w:lineRule="auto" w:before="0" w:after="0"/>
              <w:ind w:left="10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MSI - High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</w:tc>
      </w:tr>
      <w:tr>
        <w:trPr>
          <w:trHeight w:hRule="exact" w:val="1718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38" w:val="left"/>
                <w:tab w:pos="2048" w:val="left"/>
                <w:tab w:pos="5620" w:val="left"/>
              </w:tabs>
              <w:autoSpaceDE w:val="0"/>
              <w:widowControl/>
              <w:spacing w:line="286" w:lineRule="auto" w:before="72" w:after="0"/>
              <w:ind w:left="19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.000000000000043" w:type="dxa"/>
            </w:tblPr>
            <w:tblGrid>
              <w:gridCol w:w="5355"/>
              <w:gridCol w:w="5355"/>
            </w:tblGrid>
            <w:tr>
              <w:trPr>
                <w:trHeight w:hRule="exact" w:val="944"/>
              </w:trPr>
              <w:tc>
                <w:tcPr>
                  <w:tcW w:type="dxa" w:w="1844"/>
                  <w:tcBorders>
                    <w:start w:sz="6.400000000000006" w:val="single" w:color="#008080"/>
                    <w:top w:sz="6.399999999999636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IA</w:t>
                  </w:r>
                </w:p>
              </w:tc>
              <w:tc>
                <w:tcPr>
                  <w:tcW w:type="dxa" w:w="8850"/>
                  <w:tcBorders>
                    <w:start w:sz="6.399999999999977" w:val="single" w:color="#008080"/>
                    <w:top w:sz="6.399999999999636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6" w:after="0"/>
                    <w:ind w:left="98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Variants of Strong Clinical Significance: Biomarkers that predict response or resistance to US FDA-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approved therapies for a specific type of tumor or have been included in professional guidelines as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therapeutic, diagnostic, and/or prognostic biomarkers for specific types of tumors.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8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4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IB</w:t>
                  </w:r>
                </w:p>
              </w:tc>
              <w:tc>
                <w:tcPr>
                  <w:tcW w:type="dxa" w:w="885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06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Strong Clinical Significance: Biomarkers that predict response or resistance to a therapy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well-powered studies with consensus from experts in the field, or have diagnostic and/or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52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10"/>
            </w:tblGrid>
            <w:tr>
              <w:trPr>
                <w:trHeight w:hRule="exact" w:val="506"/>
              </w:trPr>
              <w:tc>
                <w:tcPr>
                  <w:tcW w:type="dxa" w:w="1071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104" w:after="0"/>
                    <w:ind w:left="192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prognostic significance of certain diseases based on well-powered studies with expert consensus.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prognostic significance of certain diseases based on well-powered studies with expert consensus.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94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5355"/>
              <w:gridCol w:w="5355"/>
            </w:tblGrid>
            <w:tr>
              <w:trPr>
                <w:trHeight w:hRule="exact" w:val="1184"/>
              </w:trPr>
              <w:tc>
                <w:tcPr>
                  <w:tcW w:type="dxa" w:w="1840"/>
                  <w:tcBorders>
                    <w:start w:sz="6.400000000000006" w:val="single" w:color="#008080"/>
                    <w:top w:sz="6.400000000000091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IIC</w:t>
                  </w:r>
                </w:p>
              </w:tc>
              <w:tc>
                <w:tcPr>
                  <w:tcW w:type="dxa" w:w="8850"/>
                  <w:tcBorders>
                    <w:start w:sz="6.399999999999977" w:val="single" w:color="#008080"/>
                    <w:top w:sz="6.400000000000091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0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predict response or resistance to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therapies approved by FDA or professional societies for a different tumor type (i.e., off-label use of 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drug), serve as inclusion criteria for clinical trials, or have diagnostic and/or prognostic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the results of multiple small studies.</w:t>
                  </w:r>
                </w:p>
              </w:tc>
            </w:tr>
            <w:tr>
              <w:trPr>
                <w:trHeight w:hRule="exact" w:val="941"/>
              </w:trPr>
              <w:tc>
                <w:tcPr>
                  <w:tcW w:type="dxa" w:w="1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IID</w:t>
                  </w:r>
                </w:p>
              </w:tc>
              <w:tc>
                <w:tcPr>
                  <w:tcW w:type="dxa" w:w="885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8" w:after="0"/>
                    <w:ind w:left="108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show plausible therapeutic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based on preclinical studies or may assist disease diagnosis and/or prognosis themselves or along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with other biomarkers based on small studies or multiple case reports with no consensus.</w:t>
                  </w:r>
                </w:p>
              </w:tc>
            </w:tr>
            <w:tr>
              <w:trPr>
                <w:trHeight w:hRule="exact" w:val="698"/>
              </w:trPr>
              <w:tc>
                <w:tcPr>
                  <w:tcW w:type="dxa" w:w="1840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III</w:t>
                  </w:r>
                </w:p>
              </w:tc>
              <w:tc>
                <w:tcPr>
                  <w:tcW w:type="dxa" w:w="8850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4" w:after="0"/>
                    <w:ind w:left="108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Unknown clinical significance (VUS): Not observed at a significant allele frequency in the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general or specific subpopulation or pancancer or tumor specific variant databases. No convincing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95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186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 xml:space="preserve">O&amp;#x27;Leary et al. Reference sequence (RefSeq) database at NCBI: current status, taxonomic expansion, and functional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12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24651012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28270529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Cerami et al. The cBio cancer genomics portal: an open platform for exploring multidimensional cancer genomics data. Cancer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0" w:right="0" w:firstLine="0"/>
        <w:jc w:val="center"/>
      </w:pPr>
      <w:r>
        <w:rPr>
          <w:rFonts w:ascii="Cambria" w:hAnsi="Cambria" w:eastAsia="Cambria"/>
          <w:b w:val="0"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22960745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Network. Comprehensive genomic characterization of head and neck squamous cell carcinomas. Nature.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Genet. 2016 Jun;48(6):607-16. PMID: 27158780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282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296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6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64" w:lineRule="auto" w:before="112" w:after="0"/>
        <w:ind w:left="1074" w:right="1440" w:hanging="36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 w:val="0"/>
          <w:i/>
          <w:color w:val="000000"/>
          <w:sz w:val="20"/>
        </w:rPr>
        <w:t>Designation-of-PC14586-for-the-Treatment-of-Advanced-Cancer-Patients-that-have-Tumors-with-a-p53-Y220C-</w:t>
      </w:r>
      <w:r>
        <w:rPr>
          <w:rFonts w:ascii="Cambria" w:hAnsi="Cambria" w:eastAsia="Cambria"/>
          <w:b w:val="0"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56"/>
        <w:ind w:left="714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fda-breakthrough-therapy-designation-1769167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rHeight w:hRule="exact" w:val="308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6" w:firstLine="0"/>
              <w:jc w:val="righ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Parrales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et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al.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Targeting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Oncogenic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Mutant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p53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for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Cancer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Therapy.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Front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Oncol.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2015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Dec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21;5:288.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doi: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107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28643165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NCCN-B-Cell Lymphomas [Version 2.2025]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26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Bernard et al. Implications of TP53 allelic state for genome stability, clinical presentation and outcomes in myelodysplastic</w:t>
      </w:r>
    </w:p>
    <w:p>
      <w:pPr>
        <w:autoSpaceDN w:val="0"/>
        <w:autoSpaceDE w:val="0"/>
        <w:widowControl/>
        <w:spacing w:line="240" w:lineRule="auto" w:before="36" w:after="0"/>
        <w:ind w:left="107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0"/>
        </w:rPr>
        <w:t>------------------ End Of Report ------------------</w:t>
      </w: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