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2" w:lineRule="auto" w:before="2794" w:after="238"/>
        <w:ind w:left="3024" w:right="3024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  <w:u w:val="single"/>
        </w:rPr>
        <w:t xml:space="preserve">Liquidseq Actionable Genomic Profiling Panel </w:t>
      </w:r>
      <w:r>
        <w:br/>
      </w:r>
      <w:r>
        <w:rPr>
          <w:rFonts w:ascii="Cambria" w:hAnsi="Cambria" w:eastAsia="Cambria"/>
          <w:b/>
          <w:i/>
          <w:color w:val="008080"/>
          <w:sz w:val="28"/>
          <w:u w:val="single"/>
        </w:rPr>
        <w:t>On Illumina Novaseq 6000 Platform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1396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480"/>
              </w:trPr>
              <w:tc>
                <w:tcPr>
                  <w:tcW w:type="dxa" w:w="10710"/>
                  <w:tcBorders>
                    <w:start w:sz="6.400000000000006" w:val="single" w:color="#4AABC4"/>
                    <w:top w:sz="6.400000000000091" w:val="single" w:color="#4AABC4"/>
                    <w:end w:sz="5.600000000000364" w:val="single" w:color="#4AABC4"/>
                    <w:bottom w:sz="6.400000000000091" w:val="single" w:color="#4AABC4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3.99999999999999" w:type="dxa"/>
                  </w:tblPr>
                  <w:tblGrid>
                    <w:gridCol w:w="10710"/>
                  </w:tblGrid>
                  <w:tr>
                    <w:trPr>
                      <w:trHeight w:hRule="exact" w:val="272"/>
                    </w:trPr>
                    <w:tc>
                      <w:tcPr>
                        <w:tcW w:type="dxa" w:w="187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Clinical Indication: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Metastatic Adenocarcinoma</w:t>
                  </w:r>
                </w:p>
              </w:tc>
            </w:tr>
          </w:tbl>
          <w:p>
            <w:pPr>
              <w:autoSpaceDN w:val="0"/>
              <w:tabs>
                <w:tab w:pos="4916" w:val="left"/>
              </w:tabs>
              <w:autoSpaceDE w:val="0"/>
              <w:widowControl/>
              <w:spacing w:line="245" w:lineRule="auto" w:before="364" w:after="0"/>
              <w:ind w:left="3768" w:right="3600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FFFFFF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40" w:lineRule="auto" w:before="296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1102"/>
        </w:trPr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MSI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52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Therapies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Therapies</w:t>
            </w:r>
          </w:p>
        </w:tc>
        <w:tc>
          <w:tcPr>
            <w:tcW w:type="dxa" w:w="28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70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Clinical 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Clinical Trials</w:t>
            </w:r>
          </w:p>
        </w:tc>
      </w:tr>
    </w:tbl>
    <w:p>
      <w:pPr>
        <w:autoSpaceDN w:val="0"/>
        <w:autoSpaceDE w:val="0"/>
        <w:widowControl/>
        <w:spacing w:line="240" w:lineRule="auto" w:before="56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96"/>
        </w:trPr>
        <w:tc>
          <w:tcPr>
            <w:tcW w:type="dxa" w:w="157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</w:t>
            </w:r>
          </w:p>
        </w:tc>
        <w:tc>
          <w:tcPr>
            <w:tcW w:type="dxa" w:w="3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54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Gene &amp; Transcript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 &amp; Transcript</w:t>
            </w:r>
          </w:p>
        </w:tc>
        <w:tc>
          <w:tcPr>
            <w:tcW w:type="dxa" w:w="22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174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45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Exon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Exon</w:t>
            </w:r>
          </w:p>
        </w:tc>
        <w:tc>
          <w:tcPr>
            <w:tcW w:type="dxa" w:w="217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Coverage/ VAF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Coverage/VAF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646"/>
        </w:trPr>
        <w:tc>
          <w:tcPr>
            <w:tcW w:type="dxa" w:w="1528"/>
            <w:tcBorders>
              <w:start w:sz="6.400000000000006" w:val="single" w:color="#D9ECF2"/>
              <w:top w:sz="6.400000000000091" w:val="single" w:color="#D9ECF2"/>
              <w:end w:sz="5.600000000000023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20"/>
            <w:tcBorders>
              <w:start w:sz="5.600000000000023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74"/>
            <w:tcBorders>
              <w:start w:sz="5.599999999999909" w:val="single" w:color="#D9ECF2"/>
              <w:top w:sz="6.400000000000091" w:val="single" w:color="#D9ECF2"/>
              <w:end w:sz="6.400000000000091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D9ECF2"/>
              <w:top w:sz="6.400000000000091" w:val="single" w:color="#D9ECF2"/>
              <w:end w:sz="5.600000000000364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59" w:lineRule="auto" w:before="50" w:after="0"/>
        <w:ind w:left="714" w:right="3024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*Genetic test results are reported based on the recommendations of AMP-ASCO-CAP guidelines. </w:t>
      </w: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246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910"/>
        </w:trPr>
        <w:tc>
          <w:tcPr>
            <w:tcW w:type="dxa" w:w="1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30" w:val="left"/>
                <w:tab w:pos="5978" w:val="left"/>
                <w:tab w:pos="6066" w:val="left"/>
                <w:tab w:pos="8746" w:val="left"/>
                <w:tab w:pos="8826" w:val="left"/>
              </w:tabs>
              <w:autoSpaceDE w:val="0"/>
              <w:widowControl/>
              <w:spacing w:line="290" w:lineRule="auto" w:before="60" w:after="0"/>
              <w:ind w:left="176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Assay Biomarker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Result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Result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08.0" w:type="dxa"/>
            </w:tblPr>
            <w:tblGrid>
              <w:gridCol w:w="3773"/>
              <w:gridCol w:w="3773"/>
              <w:gridCol w:w="3773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6.399999999999636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476"/>
              </w:trPr>
              <w:tc>
                <w:tcPr>
                  <w:tcW w:type="dxa" w:w="4440"/>
                  <w:tcBorders>
                    <w:start w:sz="6.400000000000006" w:val="single" w:color="#D9ECF2"/>
                    <w:top w:sz="6.399999999999636" w:val="single" w:color="#D9ECF2"/>
                    <w:end w:sz="6.400000000000091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Microsatellite Instability (MSI)</w:t>
                  </w:r>
                </w:p>
              </w:tc>
              <w:tc>
                <w:tcPr>
                  <w:tcW w:type="dxa" w:w="3044"/>
                  <w:tcBorders>
                    <w:start w:sz="6.400000000000091" w:val="single" w:color="#D9ECF2"/>
                    <w:top w:sz="6.399999999999636" w:val="single" w:color="#D9ECF2"/>
                    <w:end w:sz="6.400000000000091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</w:t>
                  </w:r>
                </w:p>
              </w:tc>
              <w:tc>
                <w:tcPr>
                  <w:tcW w:type="dxa" w:w="3226"/>
                  <w:tcBorders>
                    <w:start w:sz="6.400000000000091" w:val="single" w:color="#D9ECF2"/>
                    <w:top w:sz="6.399999999999636" w:val="single" w:color="#D9ECF2"/>
                    <w:end w:sz="5.600000000000364" w:val="single" w:color="#D9ECF2"/>
                    <w:bottom w:sz="6.399999999999636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6" w:after="0"/>
                    <w:ind w:left="34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 Microsatellite detected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59" w:lineRule="auto" w:before="26" w:after="0"/>
        <w:ind w:left="714" w:right="1296" w:firstLine="2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# Correlation of the genetic findings with the clinical condition of the patient is required to arrive at accurate diagnosis, </w:t>
      </w: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p>
      <w:pPr>
        <w:sectPr>
          <w:footerReference w:type="default" r:id="rId10"/>
          <w:footerReference w:type="first" r:id="rId11"/>
          <w:footerReference w:type="even" r:id="rId12"/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02" w:after="178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540"/>
        </w:trPr>
        <w:tc>
          <w:tcPr>
            <w:tcW w:type="dxa" w:w="44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72"/>
            </w:tblGrid>
            <w:tr>
              <w:trPr>
                <w:trHeight w:hRule="exact" w:val="520"/>
              </w:trPr>
              <w:tc>
                <w:tcPr>
                  <w:tcW w:type="dxa" w:w="331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142" w:after="0"/>
                    <w:ind w:left="0" w:right="112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23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0.0" w:type="dxa"/>
            </w:tblPr>
            <w:tblGrid>
              <w:gridCol w:w="6238"/>
            </w:tblGrid>
            <w:tr>
              <w:trPr>
                <w:trHeight w:hRule="exact" w:val="382"/>
              </w:trPr>
              <w:tc>
                <w:tcPr>
                  <w:tcW w:type="dxa" w:w="354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3" w:lineRule="auto" w:before="60" w:after="0"/>
                    <w:ind w:left="0" w:right="1554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Therapy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008"/>
        </w:trPr>
        <w:tc>
          <w:tcPr>
            <w:tcW w:type="dxa" w:w="1070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510"/>
              </w:trPr>
              <w:tc>
                <w:tcPr>
                  <w:tcW w:type="dxa" w:w="3554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58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33.9999999999998" w:type="dxa"/>
                  </w:tblPr>
                  <w:tblGrid>
                    <w:gridCol w:w="3558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45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This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582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67.9999999999995" w:type="dxa"/>
                  </w:tblPr>
                  <w:tblGrid>
                    <w:gridCol w:w="358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60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Other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78"/>
              </w:trPr>
              <w:tc>
                <w:tcPr>
                  <w:tcW w:type="dxa" w:w="355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148" w:after="0"/>
                    <w:ind w:left="1296" w:right="1296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IIC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55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50" w:after="0"/>
                    <w:ind w:left="11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▪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582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8.000000000000682" w:type="dxa"/>
                  </w:tblPr>
                  <w:tblGrid>
                    <w:gridCol w:w="3582"/>
                  </w:tblGrid>
                  <w:tr>
                    <w:trPr>
                      <w:trHeight w:hRule="exact" w:val="940"/>
                    </w:trPr>
                    <w:tc>
                      <w:tcPr>
                        <w:tcW w:type="dxa" w:w="3554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42" w:after="0"/>
                          <w:ind w:left="9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6666"/>
                            <w:sz w:val="24"/>
                          </w:rPr>
                          <w:t>▪</w:t>
                        </w: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0000"/>
                            <w:sz w:val="20"/>
                          </w:rPr>
                          <w:t>None*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tabs>
                <w:tab w:pos="1124" w:val="left"/>
                <w:tab w:pos="3712" w:val="left"/>
                <w:tab w:pos="3780" w:val="left"/>
                <w:tab w:pos="7670" w:val="left"/>
                <w:tab w:pos="7736" w:val="left"/>
              </w:tabs>
              <w:autoSpaceDE w:val="0"/>
              <w:widowControl/>
              <w:spacing w:line="290" w:lineRule="auto" w:before="462" w:after="0"/>
              <w:ind w:left="104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Variant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Diagnostic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Diagnostic Significance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Prognostic Significance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Prognostic Significance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4"/>
              </w:trPr>
              <w:tc>
                <w:tcPr>
                  <w:tcW w:type="dxa" w:w="2788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42" w:after="0"/>
                    <w:ind w:left="864" w:right="864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962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960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4519"/>
        <w:gridCol w:w="4519"/>
      </w:tblGrid>
      <w:tr>
        <w:trPr>
          <w:trHeight w:hRule="exact" w:val="932"/>
        </w:trPr>
        <w:tc>
          <w:tcPr>
            <w:tcW w:type="dxa" w:w="3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38" w:val="left"/>
                <w:tab w:pos="914" w:val="left"/>
              </w:tabs>
              <w:autoSpaceDE w:val="0"/>
              <w:widowControl/>
              <w:spacing w:line="406" w:lineRule="auto" w:before="40" w:after="0"/>
              <w:ind w:left="314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8080"/>
                <w:sz w:val="24"/>
              </w:rPr>
              <w:t xml:space="preserve">Biomarker Description: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</w:t>
            </w:r>
          </w:p>
        </w:tc>
        <w:tc>
          <w:tcPr>
            <w:tcW w:type="dxa" w:w="71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628" w:after="0"/>
              <w:ind w:left="0" w:right="308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Biomarker Description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Biomarker Description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524"/>
        </w:trPr>
        <w:tc>
          <w:tcPr>
            <w:tcW w:type="dxa" w:w="2368"/>
            <w:tcBorders>
              <w:start w:sz="6.400000000000006" w:val="single" w:color="#D9ECF2"/>
              <w:top w:sz="6.400000000000091" w:val="single" w:color="#D9ECF2"/>
              <w:end w:sz="5.599999999999909" w:val="single" w:color="#D9ECF2"/>
              <w:bottom w:sz="6.399999999999636" w:val="single" w:color="#D9ECF2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44" w:after="0"/>
              <w:ind w:left="10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2"/>
            <w:tcBorders>
              <w:start w:sz="5.599999999999909" w:val="single" w:color="#D9ECF2"/>
              <w:top w:sz="6.400000000000091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86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complex hereditary cancer predisposition disorder associated with early-onset cancers[4,5].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151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9" w:lineRule="auto" w:before="104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tumor, and less than 1% of B-lymphoblastic leukemia/lymphoma (2 in 731 cases) and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  <w:p>
            <w:pPr>
              <w:autoSpaceDN w:val="0"/>
              <w:tabs>
                <w:tab w:pos="2506" w:val="left"/>
                <w:tab w:pos="4668" w:val="left"/>
                <w:tab w:pos="6278" w:val="left"/>
                <w:tab w:pos="7868" w:val="left"/>
                <w:tab w:pos="9622" w:val="left"/>
              </w:tabs>
              <w:autoSpaceDE w:val="0"/>
              <w:widowControl/>
              <w:spacing w:line="31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leukemia (1 in 250 cases)[6,7]. The small molecule p53 reactivator, PC14586[16] (2020),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(1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250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cases)[6,7].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small molecule p53 reactivator, PC14586[16] (2020), received a fast track designation by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received a fast track designation by the FDA for advanced tumors harboring a TP53 Y220C</w:t>
            </w:r>
          </w:p>
          <w:p>
            <w:pPr>
              <w:autoSpaceDN w:val="0"/>
              <w:autoSpaceDE w:val="0"/>
              <w:widowControl/>
              <w:spacing w:line="286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FDA for advanced tumors harboring a TP53 Y220C mutation. The FDA has granted fast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mutation. The FDA has granted fast track designation to the p53 reactivator,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track designation to the p53 reactivator, eprenetapopt[17], (2019) and breakthrough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eprenetapopt[17], (2019) and breakthrough designation[18] (2020) in combination with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designation[18] (2020) in combination with azacitidine or azacitidine and venetoclax for acute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8"/>
      </w:tblGrid>
      <w:tr>
        <w:trPr>
          <w:trHeight w:hRule="exact" w:val="3074"/>
        </w:trPr>
        <w:tc>
          <w:tcPr>
            <w:tcW w:type="dxa" w:w="10724"/>
            <w:tcBorders>
              <w:bottom w:sz="6.400000000000091" w:val="single" w:color="#D9ECF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" w:after="0"/>
              <w:ind w:left="253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myelodysplastic syndrome (MDS) harboring a TP53 mutation, respectively. In addition to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mutation, respectively. In addition to investigational therapies aimed at restoring wild-type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  <w:p>
            <w:pPr>
              <w:autoSpaceDN w:val="0"/>
              <w:tabs>
                <w:tab w:pos="2556" w:val="left"/>
                <w:tab w:pos="3110" w:val="left"/>
                <w:tab w:pos="3970" w:val="left"/>
                <w:tab w:pos="5154" w:val="left"/>
                <w:tab w:pos="5684" w:val="left"/>
                <w:tab w:pos="6444" w:val="left"/>
                <w:tab w:pos="7414" w:val="left"/>
                <w:tab w:pos="8306" w:val="left"/>
                <w:tab w:pos="8770" w:val="left"/>
                <w:tab w:pos="9300" w:val="left"/>
                <w:tab w:pos="10000" w:val="left"/>
              </w:tabs>
              <w:autoSpaceDE w:val="0"/>
              <w:widowControl/>
              <w:spacing w:line="25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induce synthetic lethality are also under clinical evaluation[19,20]. TP53 mutation are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activity,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compounds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that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induce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synthetic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lethality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are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also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under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</w:t>
            </w:r>
          </w:p>
          <w:p>
            <w:pPr>
              <w:autoSpaceDN w:val="0"/>
              <w:autoSpaceDE w:val="0"/>
              <w:widowControl/>
              <w:spacing w:line="29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evaluation[19,20]. TP53 mutation are a diagnostic marker of SHH-activated, TP53-mutant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diagnostic marker of SHH-activated, TP53-mutant medulloblastoma[21]. TP53 mutations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medulloblastoma[21]. TP53 mutations confer poor prognosis and poor risk in multiple blood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confer poor prognosis and poor risk in multiple blood cancers including AML, MDS,</w:t>
            </w:r>
          </w:p>
          <w:p>
            <w:pPr>
              <w:autoSpaceDN w:val="0"/>
              <w:autoSpaceDE w:val="0"/>
              <w:widowControl/>
              <w:spacing w:line="307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including AML, MDS, myeloproliferative neoplasms (MPN), and chronic lymphocytic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myeloproliferative neoplasms (MPN), and chronic lymphocytic leukemia (CLL), and acute</w:t>
            </w:r>
          </w:p>
          <w:p>
            <w:pPr>
              <w:autoSpaceDN w:val="0"/>
              <w:autoSpaceDE w:val="0"/>
              <w:widowControl/>
              <w:spacing w:line="338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leukemia (CLL), and acute lymphoblastic leukemia (ALL)[22,23,24,25,26,27]. In mantle cell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lymphoblastic leukemia (ALL)[22,23,24,25,26,27]. In mantle cell lymphoma, TP53</w:t>
            </w:r>
          </w:p>
          <w:p>
            <w:pPr>
              <w:autoSpaceDN w:val="0"/>
              <w:autoSpaceDE w:val="0"/>
              <w:widowControl/>
              <w:spacing w:line="444" w:lineRule="auto" w:before="0" w:after="0"/>
              <w:ind w:left="246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including hematopoietic cell transplant[28]. Mono- and bi-allelic mutations in TP53 confer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lymphoma, TP53 mutations are associated with poor prognosis when treated with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mutations are associated with poor prognosis when treated with conventional therapy</w:t>
            </w:r>
          </w:p>
          <w:p>
            <w:pPr>
              <w:autoSpaceDN w:val="0"/>
              <w:autoSpaceDE w:val="0"/>
              <w:widowControl/>
              <w:spacing w:line="32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conventional therapy including hematopoietic cell transplant[28]. Mono- and bi-allelic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unique characteristics in MDS, with multi-hit patients also experiencing associations with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54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complex karyotype, few co-occurring mutations, and high-risk disease presentation as well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mutations in TP53 confer unique characteristics in MDS, with multi-hit patients also</w:t>
            </w:r>
          </w:p>
          <w:p>
            <w:pPr>
              <w:autoSpaceDN w:val="0"/>
              <w:autoSpaceDE w:val="0"/>
              <w:widowControl/>
              <w:spacing w:line="30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experiencing associations with complex karyotype, few co-occurring mutations, and high-risk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 predicted death and leukemic transformation independent of the IPSS-R staging</w:t>
            </w:r>
          </w:p>
          <w:p>
            <w:pPr>
              <w:autoSpaceDN w:val="0"/>
              <w:autoSpaceDE w:val="0"/>
              <w:widowControl/>
              <w:spacing w:line="269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disease presentation as well as predicted death and leukemic transformation independent of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24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the IPSS-R staging system[29].</w:t>
            </w:r>
          </w:p>
        </w:tc>
      </w:tr>
    </w:tbl>
    <w:p>
      <w:pPr>
        <w:autoSpaceDN w:val="0"/>
        <w:autoSpaceDE w:val="0"/>
        <w:widowControl/>
        <w:spacing w:line="240" w:lineRule="auto" w:before="290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32"/>
        </w:trPr>
        <w:tc>
          <w:tcPr>
            <w:tcW w:type="dxa" w:w="445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128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Therapy</w:t>
            </w:r>
          </w:p>
        </w:tc>
        <w:tc>
          <w:tcPr>
            <w:tcW w:type="dxa" w:w="2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25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FDA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FDA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NCCN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NCCN</w:t>
            </w:r>
          </w:p>
        </w:tc>
        <w:tc>
          <w:tcPr>
            <w:tcW w:type="dxa" w:w="10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EMA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EMA</w:t>
            </w:r>
          </w:p>
        </w:tc>
        <w:tc>
          <w:tcPr>
            <w:tcW w:type="dxa" w:w="1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ESMO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ESMO</w:t>
            </w:r>
          </w:p>
        </w:tc>
        <w:tc>
          <w:tcPr>
            <w:tcW w:type="dxa" w:w="105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Trials </w:t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Trials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48"/>
        </w:trPr>
        <w:tc>
          <w:tcPr>
            <w:tcW w:type="dxa" w:w="5416"/>
            <w:tcBorders>
              <w:start w:sz="6.400000000000006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600000000000364" w:val="single" w:color="#D9ECF2"/>
              <w:end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600000000000364" w:val="single" w:color="#D9ECF2"/>
              <w:end w:sz="5.600000000000364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atezolizumab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66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azenosertib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ART-6043, olaparib, niraparib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ATRN-119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6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6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GSK-101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VB-15010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2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2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I/II</w:t>
            </w:r>
          </w:p>
        </w:tc>
      </w:tr>
      <w:tr>
        <w:trPr>
          <w:trHeight w:hRule="exact" w:val="436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GenSci-122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38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rHeight w:hRule="exact" w:val="494"/>
        </w:trPr>
        <w:tc>
          <w:tcPr>
            <w:tcW w:type="dxa" w:w="157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572"/>
            </w:tblGrid>
            <w:tr>
              <w:trPr>
                <w:trHeight w:hRule="exact" w:val="474"/>
              </w:trPr>
              <w:tc>
                <w:tcPr>
                  <w:tcW w:type="dxa" w:w="119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2" w:after="0"/>
                    <w:ind w:left="10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GH-2616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136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GH-2616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450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I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2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52"/>
        </w:trPr>
        <w:tc>
          <w:tcPr>
            <w:tcW w:type="dxa" w:w="5416"/>
            <w:tcBorders>
              <w:start w:sz="6.400000000000006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8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HRS-1167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>
              <w:start w:sz="5.599999999999909" w:val="single" w:color="#D9ECF2"/>
              <w:top w:sz="5.599999999999909" w:val="single" w:color="#D9ECF2"/>
              <w:end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>
              <w:start w:sz="5.599999999999909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>
              <w:start w:sz="5.600000000000364" w:val="single" w:color="#D9ECF2"/>
              <w:top w:sz="5.599999999999909" w:val="single" w:color="#D9ECF2"/>
              <w:end w:sz="5.600000000000364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HS-10502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SIM-0501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talazoparib, palbociclib, axitinib, crizotinib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65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XL-309, 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pembrolizumab,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IV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saruparib,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radiation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2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2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II/III</w:t>
            </w:r>
          </w:p>
        </w:tc>
      </w:tr>
      <w:tr>
        <w:trPr>
          <w:trHeight w:hRule="exact" w:val="645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2" w:after="0"/>
              <w:ind w:left="94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abiraterone + niraparib, hormone therapy, radiation therapy,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steroid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608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608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49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camrelizumab, fluzoparib,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eflornithine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14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14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hormone therapy, hormone therapy +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lunresertib, trastuzumab, chemotherapy, camonsertib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niraparib, dostarlimab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.000000000000227" w:type="dxa"/>
            </w:tblPr>
            <w:tblGrid>
              <w:gridCol w:w="1020"/>
            </w:tblGrid>
            <w:tr>
              <w:trPr>
                <w:trHeight w:hRule="exact" w:val="430"/>
              </w:trPr>
              <w:tc>
                <w:tcPr>
                  <w:tcW w:type="dxa" w:w="99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.999999999999545" w:type="dxa"/>
            </w:tblPr>
            <w:tblGrid>
              <w:gridCol w:w="1094"/>
            </w:tblGrid>
            <w:tr>
              <w:trPr>
                <w:trHeight w:hRule="exact" w:val="430"/>
              </w:trPr>
              <w:tc>
                <w:tcPr>
                  <w:tcW w:type="dxa" w:w="106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50"/>
        </w:trPr>
        <w:tc>
          <w:tcPr>
            <w:tcW w:type="dxa" w:w="5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 + hormone 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  <w:tr>
        <w:trPr>
          <w:trHeight w:hRule="exact" w:val="422"/>
        </w:trPr>
        <w:tc>
          <w:tcPr>
            <w:tcW w:type="dxa" w:w="5416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94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olaparib, chemotherapy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4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20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4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>X</w:t>
            </w:r>
          </w:p>
        </w:tc>
        <w:tc>
          <w:tcPr>
            <w:tcW w:type="dxa" w:w="1068"/>
            <w:tcBorders/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804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9038"/>
      </w:tblGrid>
      <w:tr>
        <w:trPr>
          <w:trHeight w:hRule="exact" w:val="4502"/>
        </w:trPr>
        <w:tc>
          <w:tcPr>
            <w:tcW w:type="dxa" w:w="11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172" w:val="left"/>
                <w:tab w:pos="7210" w:val="left"/>
                <w:tab w:pos="8258" w:val="left"/>
                <w:tab w:pos="9312" w:val="left"/>
                <w:tab w:pos="10392" w:val="left"/>
              </w:tabs>
              <w:autoSpaceDE w:val="0"/>
              <w:widowControl/>
              <w:spacing w:line="250" w:lineRule="auto" w:before="60" w:after="0"/>
              <w:ind w:left="203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olaparib, durvalumab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808080"/>
                <w:sz w:val="24"/>
              </w:rPr>
              <w:t xml:space="preserve">X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II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2.0" w:type="dxa"/>
            </w:tblPr>
            <w:tblGrid>
              <w:gridCol w:w="1883"/>
              <w:gridCol w:w="1883"/>
              <w:gridCol w:w="1883"/>
              <w:gridCol w:w="1883"/>
              <w:gridCol w:w="1883"/>
              <w:gridCol w:w="1883"/>
            </w:tblGrid>
            <w:tr>
              <w:trPr>
                <w:trHeight w:hRule="exact" w:val="232"/>
              </w:trPr>
              <w:tc>
                <w:tcPr>
                  <w:tcW w:type="dxa" w:w="10682"/>
                  <w:gridSpan w:val="6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080" w:val="left"/>
                    </w:tabs>
                    <w:autoSpaceDE w:val="0"/>
                    <w:widowControl/>
                    <w:spacing w:line="240" w:lineRule="auto" w:before="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olaparib, durvalumab </w:t>
                  </w:r>
                  <w:r>
                    <w:tab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52"/>
              </w:trPr>
              <w:tc>
                <w:tcPr>
                  <w:tcW w:type="dxa" w:w="5416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olaparib, pembrolizumab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>
                    <w:start w:sz="5.600000000000364" w:val="single" w:color="#D9ECF2"/>
                    <w:top w:sz="5.599999999999909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45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sintilimab, chemotherapy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fluzoparib, camrelizumab, chemotherapy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IMP-1734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65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tislelizumab, radiation therapy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A2A-252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GB-3010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lunresertib, camonsertib, Debio-0123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  <w:tr>
              <w:trPr>
                <w:trHeight w:hRule="exact" w:val="421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SC0245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34" w:lineRule="exact" w:before="70" w:after="196"/>
        <w:ind w:left="716" w:right="1440" w:firstLine="0"/>
        <w:jc w:val="left"/>
      </w:pPr>
      <w:r>
        <w:rPr>
          <w:rFonts w:ascii="Type3 (21 0 R)" w:hAnsi="Type3 (21 0 R)" w:eastAsia="Type3 (21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3 0 R)" w:hAnsi="Type3 (23 0 R)" w:eastAsia="Type3 (23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: </w:t>
      </w: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44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Description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2814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400000000000091" w:val="single" w:color="#D9ECF2"/>
                    <w:end w:sz="5.600000000000364" w:val="single" w:color="#D9ECF2"/>
                    <w:bottom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4" w:after="0"/>
                    <w:ind w:left="100" w:right="1008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Liquidseq Actionable Genomic Profiling Panel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is advancing precision oncology research through the analysis of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multiple relevant biomarkers in a single next-generation sequencing (NGS) test.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 Liquidseq Actionable Genomic Profiling assay analyses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34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unique genes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28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DNA +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6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Fusions driver genes) for single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 and multiple gene biomarker insights, detects single gene biomarkers from all variant types including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SNVs, indels,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CNVs, known and novel fusions, and splice variants.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Analyze complex multi-gene biomarkers for mutational signatures,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including microsatellite instability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MSI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) for immunotherapy research.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115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 performance of the panel was verified using both commercially sourced reference controls and cell-free DNA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(cfTNA)samples.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32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Methodology</w:t>
            </w:r>
          </w:p>
        </w:tc>
      </w:tr>
    </w:tbl>
    <w:p>
      <w:pPr>
        <w:autoSpaceDN w:val="0"/>
        <w:autoSpaceDE w:val="0"/>
        <w:widowControl/>
        <w:spacing w:line="245" w:lineRule="auto" w:before="0" w:after="0"/>
        <w:ind w:left="714" w:right="1152" w:firstLine="0"/>
        <w:jc w:val="left"/>
      </w:pPr>
      <w:r>
        <w:rPr>
          <w:rFonts w:ascii="Cambria" w:hAnsi="Cambria" w:eastAsia="Cambria"/>
          <w:b/>
          <w:i w:val="0"/>
          <w:color w:val="000000"/>
          <w:sz w:val="20"/>
        </w:rPr>
        <w:t>Extraction &amp; Library Preparation: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Cell free Total Nucleic acid (cfTNA) extracted from the liquid biopsy sample is used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for targeted gene capture using a custom designed hybrid capture panel. In process quality controls were determined for </w:t>
      </w:r>
      <w:r>
        <w:rPr>
          <w:rFonts w:ascii="Cambria" w:hAnsi="Cambria" w:eastAsia="Cambria"/>
          <w:b w:val="0"/>
          <w:i w:val="0"/>
          <w:color w:val="000000"/>
          <w:sz w:val="20"/>
        </w:rPr>
        <w:t>prepared library.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0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98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100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28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4" w:after="0"/>
              <w:ind w:left="18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Notes</w:t>
            </w:r>
          </w:p>
        </w:tc>
      </w:tr>
    </w:tbl>
    <w:p>
      <w:pPr>
        <w:autoSpaceDN w:val="0"/>
        <w:autoSpaceDE w:val="0"/>
        <w:widowControl/>
        <w:spacing w:line="245" w:lineRule="auto" w:before="52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decisions should not be based solely on the results of this test. Findings must be interpreted in the context of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patient’s complete clinical profile—including pathological, radiological, and family history—to guide diagnosis, </w:t>
      </w:r>
      <w:r>
        <w:rPr>
          <w:rFonts w:ascii="Cambria" w:hAnsi="Cambria" w:eastAsia="Cambria"/>
          <w:b w:val="0"/>
          <w:i w:val="0"/>
          <w:color w:val="000000"/>
          <w:sz w:val="20"/>
        </w:rPr>
        <w:t>prognosis, and therapeutic decisions.</w:t>
      </w:r>
    </w:p>
    <w:p>
      <w:pPr>
        <w:autoSpaceDN w:val="0"/>
        <w:autoSpaceDE w:val="0"/>
        <w:widowControl/>
        <w:spacing w:line="245" w:lineRule="auto" w:before="396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Therapy-related information in this report is derived from multiple sources including FDA-approved drug data, NCCN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guidelines, peer-reviewed literature, standard clinical databases, and biomarker evidence strength. However, therapy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options listed may not be suitable or beneficial for all patients. This report aims to provide a summary of potentially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effective treatments, therapies that may pose increased risks, and those that may have limited benefit, based on genomic </w:t>
      </w:r>
      <w:r>
        <w:rPr>
          <w:rFonts w:ascii="Cambria" w:hAnsi="Cambria" w:eastAsia="Cambria"/>
          <w:b w:val="0"/>
          <w:i w:val="0"/>
          <w:color w:val="000000"/>
          <w:sz w:val="20"/>
        </w:rPr>
        <w:t>alterations identified. Prognostic and diagnostic biomarkers relevant to the disease context may also be reported.</w:t>
      </w:r>
    </w:p>
    <w:p>
      <w:pPr>
        <w:autoSpaceDN w:val="0"/>
        <w:autoSpaceDE w:val="0"/>
        <w:widowControl/>
        <w:spacing w:line="245" w:lineRule="auto" w:before="396" w:after="0"/>
        <w:ind w:left="714" w:right="1296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SN Genelab Pvt Ltd does not guarantee completeness, accuracy, or eligibility for trial enrollment. Physicians must verify </w:t>
      </w:r>
      <w:r>
        <w:rPr>
          <w:rFonts w:ascii="Cambria" w:hAnsi="Cambria" w:eastAsia="Cambria"/>
          <w:b w:val="0"/>
          <w:i w:val="0"/>
          <w:color w:val="000000"/>
          <w:sz w:val="20"/>
        </w:rPr>
        <w:t>eligibility criteria for specific trials independently.</w:t>
      </w:r>
    </w:p>
    <w:p>
      <w:pPr>
        <w:autoSpaceDN w:val="0"/>
        <w:autoSpaceDE w:val="0"/>
        <w:widowControl/>
        <w:spacing w:line="245" w:lineRule="auto" w:before="396" w:after="0"/>
        <w:ind w:left="714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Identification of a genomic alteration does not guarantee therapeutic efficacy or predict ineffectiveness. Final decisions on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treatment should rest with the treating physician. The absence of reported therapeutic options does not imply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20"/>
        </w:rPr>
        <w:t>ineffectiveness or lack of safety of any medication selected independently.</w:t>
      </w:r>
    </w:p>
    <w:p>
      <w:pPr>
        <w:autoSpaceDN w:val="0"/>
        <w:autoSpaceDE w:val="0"/>
        <w:widowControl/>
        <w:spacing w:line="245" w:lineRule="auto" w:before="396" w:after="0"/>
        <w:ind w:left="714" w:right="144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All variant classifications and related clinical information are based on the latest evidence from peer-reviewed 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publications, public clinical databases, and medical guidelines (e.g., NCCN, ASCO, AMP) available at the time of report </w:t>
      </w:r>
      <w:r>
        <w:rPr>
          <w:rFonts w:ascii="Cambria" w:hAnsi="Cambria" w:eastAsia="Cambria"/>
          <w:b w:val="0"/>
          <w:i w:val="0"/>
          <w:color w:val="000000"/>
          <w:sz w:val="20"/>
        </w:rPr>
        <w:t>generation. However, literature is continuously evolving, and classification may change with emerging evidence.</w:t>
      </w:r>
    </w:p>
    <w:p>
      <w:pPr>
        <w:autoSpaceDN w:val="0"/>
        <w:autoSpaceDE w:val="0"/>
        <w:widowControl/>
        <w:spacing w:line="245" w:lineRule="auto" w:before="396" w:after="0"/>
        <w:ind w:left="714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The assay is designed and validated for somatic variant detection, it does not differentiate between somatic and germline </w:t>
      </w:r>
      <w:r>
        <w:rPr>
          <w:rFonts w:ascii="Cambria" w:hAnsi="Cambria" w:eastAsia="Cambria"/>
          <w:b w:val="0"/>
          <w:i w:val="0"/>
          <w:color w:val="000000"/>
          <w:sz w:val="20"/>
        </w:rPr>
        <w:t>variants. If indicated, germline testing and genetic counselling are recommended.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5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6.400000000000091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30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.000000000000057" w:type="dxa"/>
            </w:tblPr>
            <w:tblGrid>
              <w:gridCol w:w="2142"/>
              <w:gridCol w:w="2142"/>
              <w:gridCol w:w="2142"/>
              <w:gridCol w:w="2142"/>
              <w:gridCol w:w="2142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97" w:type="dxa"/>
                  </w:tblPr>
                  <w:tblGrid>
                    <w:gridCol w:w="10682"/>
                  </w:tblGrid>
                  <w:tr>
                    <w:trPr>
                      <w:trHeight w:hRule="exact" w:val="222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DNA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248" w:val="left"/>
                <w:tab w:pos="4390" w:val="left"/>
              </w:tabs>
              <w:autoSpaceDE w:val="0"/>
              <w:widowControl/>
              <w:spacing w:line="240" w:lineRule="auto" w:before="0" w:after="234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.000000000000028" w:type="dxa"/>
            </w:tblPr>
            <w:tblGrid>
              <w:gridCol w:w="2142"/>
              <w:gridCol w:w="2142"/>
              <w:gridCol w:w="2142"/>
              <w:gridCol w:w="2142"/>
              <w:gridCol w:w="2142"/>
            </w:tblGrid>
            <w:tr>
              <w:trPr>
                <w:trHeight w:hRule="exact" w:val="240"/>
              </w:trPr>
              <w:tc>
                <w:tcPr>
                  <w:tcW w:type="dxa" w:w="10686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0.0" w:type="dxa"/>
                  </w:tblPr>
                  <w:tblGrid>
                    <w:gridCol w:w="10686"/>
                  </w:tblGrid>
                  <w:tr>
                    <w:trPr>
                      <w:trHeight w:hRule="exact" w:val="224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RNA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5355"/>
              <w:gridCol w:w="5355"/>
            </w:tblGrid>
            <w:tr>
              <w:trPr>
                <w:trHeight w:hRule="exact" w:val="238"/>
              </w:trPr>
              <w:tc>
                <w:tcPr>
                  <w:tcW w:type="dxa" w:w="4704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2.00000000000003" w:type="dxa"/>
                  </w:tblPr>
                  <w:tblGrid>
                    <w:gridCol w:w="2352"/>
                    <w:gridCol w:w="2352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52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MSI</w:t>
                        </w:r>
                      </w:p>
                    </w:tc>
                    <w:tc>
                      <w:tcPr>
                        <w:tcW w:type="dxa" w:w="297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0" w:right="1094" w:firstLine="0"/>
                          <w:jc w:val="righ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MSI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5998"/>
                  <w:tcBorders>
                    <w:start w:sz="12.0" w:val="single" w:color="#1F497D"/>
                    <w:top w:sz="12.0" w:val="single" w:color="#1F497D"/>
                    <w:end w:sz="12.0" w:val="single" w:color="#1F497D"/>
                    <w:bottom w:sz="6.399999999999636" w:val="single" w:color="#008080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55" w:type="dxa"/>
                  </w:tblPr>
                  <w:tblGrid>
                    <w:gridCol w:w="2999"/>
                    <w:gridCol w:w="2999"/>
                  </w:tblGrid>
                  <w:tr>
                    <w:trPr>
                      <w:trHeight w:hRule="exact" w:val="244"/>
                    </w:trPr>
                    <w:tc>
                      <w:tcPr>
                        <w:tcW w:type="dxa" w:w="184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% of Unstable Loci</w:t>
                        </w:r>
                      </w:p>
                    </w:tc>
                    <w:tc>
                      <w:tcPr>
                        <w:tcW w:type="dxa" w:w="294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40" w:after="0"/>
                          <w:ind w:left="20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19"/>
                          </w:rPr>
                          <w:t>% of Unstable Loci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49"/>
              </w:trPr>
              <w:tc>
                <w:tcPr>
                  <w:tcW w:type="dxa" w:w="4704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Stable</w:t>
                  </w:r>
                </w:p>
              </w:tc>
              <w:tc>
                <w:tcPr>
                  <w:tcW w:type="dxa" w:w="5998"/>
                  <w:tcBorders>
                    <w:top w:sz="6.399999999999636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0-19%</w:t>
                  </w:r>
                </w:p>
              </w:tc>
            </w:tr>
            <w:tr>
              <w:trPr>
                <w:trHeight w:hRule="exact" w:val="241"/>
              </w:trPr>
              <w:tc>
                <w:tcPr>
                  <w:tcW w:type="dxa" w:w="470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5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4814" w:val="left"/>
              </w:tabs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</w:tc>
      </w:tr>
      <w:tr>
        <w:trPr>
          <w:trHeight w:hRule="exact" w:val="1718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38" w:val="left"/>
                <w:tab w:pos="2048" w:val="left"/>
                <w:tab w:pos="5620" w:val="left"/>
              </w:tabs>
              <w:autoSpaceDE w:val="0"/>
              <w:widowControl/>
              <w:spacing w:line="286" w:lineRule="auto" w:before="72" w:after="0"/>
              <w:ind w:left="19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 xml:space="preserve">Interpretation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.000000000000043" w:type="dxa"/>
            </w:tblPr>
            <w:tblGrid>
              <w:gridCol w:w="5355"/>
              <w:gridCol w:w="5355"/>
            </w:tblGrid>
            <w:tr>
              <w:trPr>
                <w:trHeight w:hRule="exact" w:val="944"/>
              </w:trPr>
              <w:tc>
                <w:tcPr>
                  <w:tcW w:type="dxa" w:w="1844"/>
                  <w:tcBorders>
                    <w:start w:sz="6.400000000000006" w:val="single" w:color="#008080"/>
                    <w:top w:sz="6.399999999999636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IA</w:t>
                  </w:r>
                </w:p>
              </w:tc>
              <w:tc>
                <w:tcPr>
                  <w:tcW w:type="dxa" w:w="8850"/>
                  <w:tcBorders>
                    <w:start w:sz="6.399999999999977" w:val="single" w:color="#008080"/>
                    <w:top w:sz="6.399999999999636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6" w:after="0"/>
                    <w:ind w:left="98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Variants of Strong Clinical Significance: Biomarkers that predict response or resistance to US FDA-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5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0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2722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52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10"/>
            </w:tblGrid>
            <w:tr>
              <w:trPr>
                <w:trHeight w:hRule="exact" w:val="506"/>
              </w:trPr>
              <w:tc>
                <w:tcPr>
                  <w:tcW w:type="dxa" w:w="1071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104" w:after="0"/>
                    <w:ind w:left="192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prognostic significance of certain diseases based on well-powered studies with expert consensus.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prognostic significance of certain diseases based on well-powered studies with expert consensus.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94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5355"/>
              <w:gridCol w:w="5355"/>
            </w:tblGrid>
            <w:tr>
              <w:trPr>
                <w:trHeight w:hRule="exact" w:val="1184"/>
              </w:trPr>
              <w:tc>
                <w:tcPr>
                  <w:tcW w:type="dxa" w:w="1840"/>
                  <w:tcBorders>
                    <w:start w:sz="6.400000000000006" w:val="single" w:color="#008080"/>
                    <w:top w:sz="6.400000000000091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0" w:after="0"/>
                    <w:ind w:left="9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IIC</w:t>
                  </w:r>
                </w:p>
              </w:tc>
              <w:tc>
                <w:tcPr>
                  <w:tcW w:type="dxa" w:w="8850"/>
                  <w:tcBorders>
                    <w:start w:sz="6.399999999999977" w:val="single" w:color="#008080"/>
                    <w:top w:sz="6.400000000000091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0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predict response or resistance to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5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8" w:after="0"/>
                    <w:ind w:left="108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698"/>
              </w:trPr>
              <w:tc>
                <w:tcPr>
                  <w:tcW w:type="dxa" w:w="184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50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4" w:after="0"/>
                    <w:ind w:left="108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95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282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300" w:after="0"/>
        <w:ind w:left="0" w:right="518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648460" cy="647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26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Bernard et al. Implications of TP53 allelic state for genome stability, clinical presentation and outcomes in myelodysplastic</w:t>
      </w:r>
    </w:p>
    <w:p>
      <w:pPr>
        <w:autoSpaceDN w:val="0"/>
        <w:autoSpaceDE w:val="0"/>
        <w:widowControl/>
        <w:spacing w:line="240" w:lineRule="auto" w:before="36" w:after="0"/>
        <w:ind w:left="107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drawing>
        <wp:inline xmlns:a="http://schemas.openxmlformats.org/drawingml/2006/main" xmlns:pic="http://schemas.openxmlformats.org/drawingml/2006/picture">
          <wp:extent cx="1097280" cy="107313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73134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drawing>
        <wp:inline xmlns:a="http://schemas.openxmlformats.org/drawingml/2006/main" xmlns:pic="http://schemas.openxmlformats.org/drawingml/2006/picture">
          <wp:extent cx="1097280" cy="107313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73134"/>
                  </a:xfrm>
                  <a:prstGeom prst="rect"/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drawing>
        <wp:inline xmlns:a="http://schemas.openxmlformats.org/drawingml/2006/main" xmlns:pic="http://schemas.openxmlformats.org/drawingml/2006/picture">
          <wp:extent cx="1097280" cy="107313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7313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