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2794" w:after="216"/>
        <w:ind w:left="3024" w:right="3024" w:firstLine="0"/>
        <w:jc w:val="center"/>
      </w:pPr>
      <w:r>
        <w:rPr>
          <w:rFonts w:ascii="Cambria" w:hAnsi="Cambria" w:eastAsia="Cambria"/>
          <w:b/>
          <w:i/>
          <w:color w:val="008080"/>
          <w:sz w:val="28"/>
          <w:u w:val="single"/>
        </w:rPr>
        <w:t xml:space="preserve">Liquidseq Actionable Genomic Profiling Panel </w:t>
      </w:r>
      <w:r>
        <w:br/>
      </w:r>
      <w:r>
        <w:rPr>
          <w:rFonts w:ascii="Cambria" w:hAnsi="Cambria" w:eastAsia="Cambria"/>
          <w:b/>
          <w:i/>
          <w:color w:val="008080"/>
          <w:sz w:val="28"/>
          <w:u w:val="single"/>
        </w:rPr>
        <w:t>On Illumina Novaseq 6000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2259"/>
        <w:gridCol w:w="2259"/>
        <w:gridCol w:w="2259"/>
        <w:gridCol w:w="2259"/>
      </w:tblGrid>
      <w:tr>
        <w:trPr>
          <w:trHeight w:hRule="exact" w:val="493"/>
        </w:trPr>
        <w:tc>
          <w:tcPr>
            <w:tcW w:type="dxa" w:w="1364"/>
            <w:gridSpan w:val="2"/>
            <w:tcBorders>
              <w:top w:sz="12.0" w:val="single" w:color="#1F497D"/>
              <w:end w:sz="12.0" w:val="single" w:color="#1F497D"/>
            </w:tcBorders>
            <w:shd w:fill="1f497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0" w:after="0"/>
              <w:ind w:left="1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Clinical Indic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Clinical</w:t>
            </w:r>
          </w:p>
          <w:p>
            <w:pPr>
              <w:autoSpaceDN w:val="0"/>
              <w:autoSpaceDE w:val="0"/>
              <w:widowControl/>
              <w:spacing w:line="338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Metastatic Ade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Indica</w:t>
            </w:r>
          </w:p>
        </w:tc>
        <w:tc>
          <w:tcPr>
            <w:tcW w:type="dxa" w:w="8022"/>
            <w:tcBorders>
              <w:start w:sz="12.0" w:val="single" w:color="#1F497D"/>
              <w:top w:sz="12.0" w:val="single" w:color="#1F497D"/>
              <w:end w:sz="12.0" w:val="single" w:color="#1F497D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26" w:after="0"/>
              <w:ind w:left="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ation: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This report is issued by Laboratory. and verified.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ation: This report is issued by Laboratory. and verified.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ocarcinoma</w:t>
            </w:r>
          </w:p>
        </w:tc>
        <w:tc>
          <w:tcPr>
            <w:tcW w:type="dxa" w:w="1296"/>
            <w:tcBorders>
              <w:start w:sz="12.0" w:val="single" w:color="#1F497D"/>
              <w:top w:sz="12.0" w:val="single" w:color="#1F497D"/>
            </w:tcBorders>
            <w:shd w:fill="1f497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1364"/>
            <w:gridSpan w:val="2"/>
            <w:tcBorders>
              <w:start w:sz="12.0" w:val="single" w:color="#1F497D"/>
              <w:end w:sz="12.0" w:val="single" w:color="#1F497D"/>
              <w:bottom w:sz="12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22"/>
            <w:tcBorders>
              <w:start w:sz="12.0" w:val="single" w:color="#1F497D"/>
              <w:end w:sz="12.0" w:val="single" w:color="#1F497D"/>
              <w:bottom w:sz="12.0" w:val="single" w:color="#1F497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12.0" w:val="single" w:color="#1F497D"/>
              <w:end w:sz="12.0" w:val="single" w:color="#1F497D"/>
              <w:bottom w:sz="12.0" w:val="single" w:color="#1F497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3"/>
        </w:trPr>
        <w:tc>
          <w:tcPr>
            <w:tcW w:type="dxa" w:w="1364"/>
            <w:gridSpan w:val="2"/>
            <w:vMerge w:val="restart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22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shd w:fill="ff0000"/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vMerge w:val="restart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18"/>
            <w:gridSpan w:val="2"/>
            <w:vMerge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</w:tcPr>
          <w:p/>
        </w:tc>
        <w:tc>
          <w:tcPr>
            <w:tcW w:type="dxa" w:w="8022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shd w:fill="ff000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4011"/>
              <w:gridCol w:w="4011"/>
            </w:tblGrid>
            <w:tr>
              <w:trPr>
                <w:trHeight w:hRule="exact" w:val="466"/>
              </w:trPr>
              <w:tc>
                <w:tcPr>
                  <w:tcW w:type="dxa" w:w="23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2"/>
                    </w:rPr>
                    <w:t>Laboratory: Laboratory</w:t>
                  </w:r>
                </w:p>
              </w:tc>
              <w:tc>
                <w:tcPr>
                  <w:tcW w:type="dxa" w:w="34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150" w:firstLine="0"/>
                    <w:jc w:val="righ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8"/>
                    </w:rPr>
                    <w:t>Positive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3406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3406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FFFFFF"/>
                            <w:sz w:val="20"/>
                          </w:rPr>
                          <w:t>(Clinically significant Variant detected)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59"/>
            <w:vMerge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</w:tcPr>
          <w:p/>
        </w:tc>
      </w:tr>
      <w:tr>
        <w:trPr>
          <w:trHeight w:hRule="exact" w:val="259"/>
        </w:trPr>
        <w:tc>
          <w:tcPr>
            <w:tcW w:type="dxa" w:w="1364"/>
            <w:gridSpan w:val="2"/>
            <w:tcBorders>
              <w:start w:sz="12.0" w:val="single" w:color="#1F497D"/>
              <w:top w:sz="12.0" w:val="single" w:color="#1F497D"/>
              <w:end w:sz="12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22"/>
            <w:vMerge w:val="restart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8080"/>
                <w:sz w:val="24"/>
              </w:rPr>
              <w:t>ghlights:</w:t>
            </w:r>
          </w:p>
        </w:tc>
        <w:tc>
          <w:tcPr>
            <w:tcW w:type="dxa" w:w="1296"/>
            <w:vMerge w:val="restart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94"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  <w:shd w:fill="008080"/>
            <w:tcMar>
              <w:start w:w="0" w:type="dxa"/>
              <w:end w:w="0" w:type="dxa"/>
            </w:tcMar>
          </w:tcPr>
          <w:p/>
        </w:tc>
        <w:tc>
          <w:tcPr>
            <w:tcW w:type="dxa" w:w="225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59"/>
            <w:vMerge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</w:tcPr>
          <w:p/>
        </w:tc>
        <w:tc>
          <w:tcPr>
            <w:tcW w:type="dxa" w:w="2259"/>
            <w:vMerge/>
            <w:tcBorders>
              <w:start w:sz="12.0" w:val="single" w:color="#1F497D"/>
              <w:top w:sz="12.0" w:val="single" w:color="#1F497D"/>
              <w:end w:sz="12.0" w:val="single" w:color="#1F497D"/>
              <w:bottom w:sz="12.0" w:val="single" w:color="#1F497D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1102"/>
        </w:trPr>
        <w:tc>
          <w:tcPr>
            <w:tcW w:type="dxa" w:w="13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III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MSI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52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Therapies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28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70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Clinical Trials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Clinical Trials</w:t>
            </w:r>
          </w:p>
        </w:tc>
      </w:tr>
    </w:tbl>
    <w:p>
      <w:pPr>
        <w:autoSpaceDN w:val="0"/>
        <w:autoSpaceDE w:val="0"/>
        <w:widowControl/>
        <w:spacing w:line="240" w:lineRule="auto" w:before="56" w:after="164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496"/>
        </w:trPr>
        <w:tc>
          <w:tcPr>
            <w:tcW w:type="dxa" w:w="1572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30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54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Gene &amp; Transcript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22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74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454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Exon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78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Coverage/ VAF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Coverage/VAF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46"/>
        </w:trPr>
        <w:tc>
          <w:tcPr>
            <w:tcW w:type="dxa" w:w="1528"/>
            <w:tcBorders>
              <w:start w:sz="6.400000000000006" w:val="single" w:color="#D9ECF2"/>
              <w:top w:sz="6.400000000000091" w:val="single" w:color="#D9ECF2"/>
              <w:end w:sz="5.600000000000023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20"/>
            <w:tcBorders>
              <w:start w:sz="5.600000000000023" w:val="single" w:color="#D9ECF2"/>
              <w:top w:sz="6.400000000000091" w:val="single" w:color="#D9ECF2"/>
              <w:end w:sz="5.599999999999909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2"/>
            <w:tcBorders>
              <w:start w:sz="5.599999999999909" w:val="single" w:color="#D9ECF2"/>
              <w:top w:sz="6.400000000000091" w:val="single" w:color="#D9ECF2"/>
              <w:end w:sz="5.599999999999909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4"/>
            <w:tcBorders>
              <w:start w:sz="5.599999999999909" w:val="single" w:color="#D9ECF2"/>
              <w:top w:sz="6.400000000000091" w:val="single" w:color="#D9ECF2"/>
              <w:end w:sz="6.400000000000091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6"/>
            <w:tcBorders>
              <w:start w:sz="6.400000000000091" w:val="single" w:color="#D9ECF2"/>
              <w:top w:sz="6.400000000000091" w:val="single" w:color="#D9ECF2"/>
              <w:end w:sz="5.600000000000364" w:val="single" w:color="#D9ECF2"/>
              <w:bottom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59" w:lineRule="auto" w:before="50" w:after="0"/>
        <w:ind w:left="714" w:right="3024" w:firstLine="2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*Genetic test results are reported based on the recommendations of AMP-ASCO-CAP guidelines. </w:t>
      </w:r>
      <w:r>
        <w:rPr>
          <w:rFonts w:ascii="Cambria" w:hAnsi="Cambria" w:eastAsia="Cambria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40" w:lineRule="auto" w:before="222" w:after="246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038"/>
      </w:tblGrid>
      <w:tr>
        <w:trPr>
          <w:trHeight w:hRule="exact" w:val="910"/>
        </w:trPr>
        <w:tc>
          <w:tcPr>
            <w:tcW w:type="dxa" w:w="1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30" w:val="left"/>
                <w:tab w:pos="5978" w:val="left"/>
                <w:tab w:pos="6066" w:val="left"/>
                <w:tab w:pos="8746" w:val="left"/>
                <w:tab w:pos="8826" w:val="left"/>
              </w:tabs>
              <w:autoSpaceDE w:val="0"/>
              <w:widowControl/>
              <w:spacing w:line="290" w:lineRule="auto" w:before="60" w:after="0"/>
              <w:ind w:left="176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Assay Biomarker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Assay Biomarker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Result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Result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Interpretation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Interpretation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8.0" w:type="dxa"/>
            </w:tblPr>
            <w:tblGrid>
              <w:gridCol w:w="3773"/>
              <w:gridCol w:w="3773"/>
              <w:gridCol w:w="3773"/>
            </w:tblGrid>
            <w:tr>
              <w:trPr>
                <w:trHeight w:hRule="exact" w:val="202"/>
              </w:trPr>
              <w:tc>
                <w:tcPr>
                  <w:tcW w:type="dxa" w:w="10710"/>
                  <w:gridSpan w:val="3"/>
                  <w:tcBorders>
                    <w:top w:sz="12.0" w:val="single" w:color="#1F497D"/>
                    <w:bottom w:sz="6.399999999999636" w:val="single" w:color="#D9ECF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6"/>
              </w:trPr>
              <w:tc>
                <w:tcPr>
                  <w:tcW w:type="dxa" w:w="4440"/>
                  <w:tcBorders>
                    <w:start w:sz="6.400000000000006" w:val="single" w:color="#D9ECF2"/>
                    <w:top w:sz="6.399999999999636" w:val="single" w:color="#D9ECF2"/>
                    <w:end w:sz="6.400000000000091" w:val="single" w:color="#D9ECF2"/>
                    <w:bottom w:sz="6.399999999999636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Microsatellite Instability (MSI)</w:t>
                  </w:r>
                </w:p>
              </w:tc>
              <w:tc>
                <w:tcPr>
                  <w:tcW w:type="dxa" w:w="3044"/>
                  <w:tcBorders>
                    <w:start w:sz="6.400000000000091" w:val="single" w:color="#D9ECF2"/>
                    <w:top w:sz="6.399999999999636" w:val="single" w:color="#D9ECF2"/>
                    <w:end w:sz="6.400000000000091" w:val="single" w:color="#D9ECF2"/>
                    <w:bottom w:sz="6.399999999999636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Stable</w:t>
                  </w:r>
                </w:p>
              </w:tc>
              <w:tc>
                <w:tcPr>
                  <w:tcW w:type="dxa" w:w="3226"/>
                  <w:tcBorders>
                    <w:start w:sz="6.400000000000091" w:val="single" w:color="#D9ECF2"/>
                    <w:top w:sz="6.399999999999636" w:val="single" w:color="#D9ECF2"/>
                    <w:end w:sz="5.600000000000364" w:val="single" w:color="#D9ECF2"/>
                    <w:bottom w:sz="6.399999999999636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6" w:after="0"/>
                    <w:ind w:left="34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Stable Microsatellite detected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26" w:after="0"/>
        <w:ind w:left="714" w:right="1296" w:firstLine="2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# Correlation of the genetic findings with the clinical condition of the patient is required to arrive at accurate diagnosis, </w:t>
      </w:r>
      <w:r>
        <w:rPr>
          <w:rFonts w:ascii="Cambria" w:hAnsi="Cambria" w:eastAsia="Cambria"/>
          <w:b w:val="0"/>
          <w:i/>
          <w:color w:val="000000"/>
          <w:sz w:val="20"/>
        </w:rPr>
        <w:t>prognosis or therapeutic decisions.</w:t>
      </w:r>
    </w:p>
    <w:p>
      <w:pPr>
        <w:sectPr>
          <w:footerReference w:type="default" r:id="rId10"/>
          <w:footerReference w:type="first" r:id="rId11"/>
          <w:footerReference w:type="even" r:id="rId12"/>
          <w:headerReference w:type="default" r:id="rId13"/>
          <w:headerReference w:type="first" r:id="rId14"/>
          <w:headerReference w:type="even" r:id="rId15"/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2" w:after="178"/>
        <w:ind w:left="95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4519"/>
        <w:gridCol w:w="4519"/>
      </w:tblGrid>
      <w:tr>
        <w:trPr>
          <w:trHeight w:hRule="exact" w:val="540"/>
        </w:trPr>
        <w:tc>
          <w:tcPr>
            <w:tcW w:type="dxa" w:w="44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72"/>
            </w:tblGrid>
            <w:tr>
              <w:trPr>
                <w:trHeight w:hRule="exact" w:val="520"/>
              </w:trPr>
              <w:tc>
                <w:tcPr>
                  <w:tcW w:type="dxa" w:w="3312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42" w:after="0"/>
                    <w:ind w:left="0" w:right="1124" w:firstLine="0"/>
                    <w:jc w:val="righ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Variant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0.0" w:type="dxa"/>
            </w:tblPr>
            <w:tblGrid>
              <w:gridCol w:w="6238"/>
            </w:tblGrid>
            <w:tr>
              <w:trPr>
                <w:trHeight w:hRule="exact" w:val="382"/>
              </w:trPr>
              <w:tc>
                <w:tcPr>
                  <w:tcW w:type="dxa" w:w="3540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0" w:right="1554" w:firstLine="0"/>
                    <w:jc w:val="righ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008"/>
        </w:trPr>
        <w:tc>
          <w:tcPr>
            <w:tcW w:type="dxa" w:w="107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67"/>
              <w:gridCol w:w="3567"/>
              <w:gridCol w:w="3567"/>
            </w:tblGrid>
            <w:tr>
              <w:trPr>
                <w:trHeight w:hRule="exact" w:val="510"/>
              </w:trPr>
              <w:tc>
                <w:tcPr>
                  <w:tcW w:type="dxa" w:w="3554"/>
                  <w:tcBorders>
                    <w:start w:sz="6.400000000000006" w:val="single" w:color="#D9ECF2"/>
                    <w:top w:sz="5.599999999999909" w:val="single" w:color="#D9ECF2"/>
                    <w:end w:sz="5.599999999999909" w:val="single" w:color="#D9ECF2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58"/>
                  <w:tcBorders>
                    <w:start w:sz="5.599999999999909" w:val="single" w:color="#D9ECF2"/>
                    <w:top w:sz="5.599999999999909" w:val="single" w:color="#D9ECF2"/>
                    <w:end w:sz="6.400000000000091" w:val="single" w:color="#D9ECF2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33.9999999999998" w:type="dxa"/>
                  </w:tblPr>
                  <w:tblGrid>
                    <w:gridCol w:w="355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454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In This Cancer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582"/>
                  <w:tcBorders>
                    <w:start w:sz="6.400000000000091" w:val="single" w:color="#D9ECF2"/>
                    <w:top w:sz="5.599999999999909" w:val="single" w:color="#D9ECF2"/>
                    <w:end w:sz="5.600000000000364" w:val="single" w:color="#D9ECF2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67.9999999999995" w:type="dxa"/>
                  </w:tblPr>
                  <w:tblGrid>
                    <w:gridCol w:w="3582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06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In Other Cancer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78"/>
              </w:trPr>
              <w:tc>
                <w:tcPr>
                  <w:tcW w:type="dxa" w:w="355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48" w:after="0"/>
                    <w:ind w:left="1296" w:right="1296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IIC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355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50" w:after="0"/>
                    <w:ind w:left="11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6666"/>
                      <w:sz w:val="24"/>
                    </w:rPr>
                    <w:t>▪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None*</w:t>
                  </w:r>
                </w:p>
              </w:tc>
              <w:tc>
                <w:tcPr>
                  <w:tcW w:type="dxa" w:w="3582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682" w:type="dxa"/>
                  </w:tblPr>
                  <w:tblGrid>
                    <w:gridCol w:w="3582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3554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2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6666"/>
                            <w:sz w:val="24"/>
                          </w:rPr>
                          <w:t>▪</w:t>
                        </w: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000000"/>
                            <w:sz w:val="20"/>
                          </w:rPr>
                          <w:t>None*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tabs>
                <w:tab w:pos="1124" w:val="left"/>
                <w:tab w:pos="3712" w:val="left"/>
                <w:tab w:pos="3780" w:val="left"/>
                <w:tab w:pos="7670" w:val="left"/>
                <w:tab w:pos="7736" w:val="left"/>
              </w:tabs>
              <w:autoSpaceDE w:val="0"/>
              <w:widowControl/>
              <w:spacing w:line="290" w:lineRule="auto" w:before="462" w:after="0"/>
              <w:ind w:left="104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Variant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Diagnostic Significance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Diagnostic Significance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Prognostic Significance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Prognostic Significance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043" w:type="dxa"/>
            </w:tblPr>
            <w:tblGrid>
              <w:gridCol w:w="3567"/>
              <w:gridCol w:w="3567"/>
              <w:gridCol w:w="3567"/>
            </w:tblGrid>
            <w:tr>
              <w:trPr>
                <w:trHeight w:hRule="exact" w:val="202"/>
              </w:trPr>
              <w:tc>
                <w:tcPr>
                  <w:tcW w:type="dxa" w:w="10710"/>
                  <w:gridSpan w:val="3"/>
                  <w:tcBorders>
                    <w:top w:sz="12.0" w:val="single" w:color="#1F497D"/>
                    <w:bottom w:sz="5.599999999999909" w:val="single" w:color="#D9ECF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24"/>
              </w:trPr>
              <w:tc>
                <w:tcPr>
                  <w:tcW w:type="dxa" w:w="2788"/>
                  <w:tcBorders>
                    <w:start w:sz="6.400000000000006" w:val="single" w:color="#D9ECF2"/>
                    <w:top w:sz="5.599999999999909" w:val="single" w:color="#D9ECF2"/>
                    <w:end w:sz="5.599999999999909" w:val="single" w:color="#D9ECF2"/>
                    <w:bottom w:sz="5.599999999999909" w:val="single" w:color="#D9ECF2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42" w:after="0"/>
                    <w:ind w:left="864" w:right="86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3962"/>
                  <w:tcBorders>
                    <w:start w:sz="5.599999999999909" w:val="single" w:color="#D9ECF2"/>
                    <w:top w:sz="5.599999999999909" w:val="single" w:color="#D9ECF2"/>
                    <w:end w:sz="5.599999999999909" w:val="single" w:color="#D9ECF2"/>
                    <w:bottom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6" w:after="0"/>
                    <w:ind w:left="8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None*</w:t>
                  </w:r>
                </w:p>
              </w:tc>
              <w:tc>
                <w:tcPr>
                  <w:tcW w:type="dxa" w:w="3960"/>
                  <w:tcBorders>
                    <w:start w:sz="5.599999999999909" w:val="single" w:color="#D9ECF2"/>
                    <w:top w:sz="5.599999999999909" w:val="single" w:color="#D9ECF2"/>
                    <w:end w:sz="5.600000000000364" w:val="single" w:color="#D9ECF2"/>
                    <w:bottom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None*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4519"/>
        <w:gridCol w:w="4519"/>
      </w:tblGrid>
      <w:tr>
        <w:trPr>
          <w:trHeight w:hRule="exact" w:val="932"/>
        </w:trPr>
        <w:tc>
          <w:tcPr>
            <w:tcW w:type="dxa" w:w="3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  <w:tab w:pos="914" w:val="left"/>
              </w:tabs>
              <w:autoSpaceDE w:val="0"/>
              <w:widowControl/>
              <w:spacing w:line="406" w:lineRule="auto" w:before="40" w:after="0"/>
              <w:ind w:left="314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8080"/>
                <w:sz w:val="24"/>
              </w:rPr>
              <w:t xml:space="preserve">Biomarker Description: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Variant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28" w:after="0"/>
              <w:ind w:left="0" w:right="308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Biomarker Description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Biomarker Description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4519"/>
        <w:gridCol w:w="4519"/>
      </w:tblGrid>
      <w:tr>
        <w:trPr>
          <w:trHeight w:hRule="exact" w:val="4524"/>
        </w:trPr>
        <w:tc>
          <w:tcPr>
            <w:tcW w:type="dxa" w:w="2368"/>
            <w:tcBorders>
              <w:start w:sz="6.400000000000006" w:val="single" w:color="#D9ECF2"/>
              <w:top w:sz="6.400000000000091" w:val="single" w:color="#D9ECF2"/>
              <w:end w:sz="5.599999999999909" w:val="single" w:color="#D9ECF2"/>
              <w:bottom w:sz="6.399999999999636" w:val="single" w:color="#D9ECF2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4" w:after="0"/>
              <w:ind w:left="100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NM_000546.6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chr17:7578525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8342"/>
            <w:tcBorders>
              <w:start w:sz="5.599999999999909" w:val="single" w:color="#D9ECF2"/>
              <w:top w:sz="6.400000000000091" w:val="single" w:color="#D9ECF2"/>
              <w:end w:sz="5.600000000000364" w:val="single" w:color="#D9ECF2"/>
              <w:bottom w:sz="6.399999999999636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TP53 gene encodes the tumor suppressor protein p53, which binds to DNA and activates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transcription in response to diverse cellular stresses to induce cell cycle arrest, apoptosis,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repair[1]. In unstressed cells, TP53 is kept inactive by targeted degradation via MDM2,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substrate recognition factor for ubiquitin-dependent proteolysis[2]. Alterations in TP53 are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required for oncogenesis as they result in loss of protein function and gain of transforming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potential[3]. Germline mutations in TP53 are the underlying cause of Li-Fraumeni syndrome,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complex hereditary cancer predisposition disorder associated with early-onset cancers[4,5].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is the most frequently mutated gene in the cancer genome with approximately half of all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experiencing TP53 mutations. Ovarian, head and neck, esophageal, and lung squamous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have particularly high TP53 mutation rates (60-90%)[6,7,8,9,10,11]. Approximately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two-thirds of TP53 mutations are missense mutations and several recurrent missense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mutations are common, including substitutions at codons R158, R175, Y220, R248, R273, 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R282[6,7]. Invariably, recurrent missense mutations in TP53 inactivate its ability to bind 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activate transcription of target genes[12,13,14,15]. Alterations in TP53 are also observed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pediatric cancers[6,7]. Somatic mutations are observed in 53% of non-Hodgkin lymphoma,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24% of soft tissue sarcoma, 19% of glioma, 13% of bone cancer, 9% of B-lymphoblastic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leukemia/lymphoma, 4% of embryonal tumors, 3% of Wilms tumor and leukemia, 2% of T-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lymphoblastic leukemia/lymphoma, and less than 1% of peripheral nervous system cancers (5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1158 cases )[6,7]. Biallelic loss of TP53 is observed in 10% of bone cancer, 2% of Wilms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2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151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104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tumor, and less than 1% of B-lymphoblastic leukemia/lymphoma (2 in 731 cases) and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tumor, and less than 1% of B-lymphoblastic leukemia/lymphoma (2 in 731 cases) and</w:t>
            </w:r>
          </w:p>
          <w:p>
            <w:pPr>
              <w:autoSpaceDN w:val="0"/>
              <w:tabs>
                <w:tab w:pos="2506" w:val="left"/>
                <w:tab w:pos="4668" w:val="left"/>
                <w:tab w:pos="6278" w:val="left"/>
                <w:tab w:pos="7868" w:val="left"/>
                <w:tab w:pos="9622" w:val="left"/>
              </w:tabs>
              <w:autoSpaceDE w:val="0"/>
              <w:widowControl/>
              <w:spacing w:line="314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leukemia (1 in 250 cases)[6,7]. The small molecule p53 reactivator, PC14586[16] (2020),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cases)[6,7].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received a fast track designation by the FDA for advanced tumors harboring a TP53 Y220C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FDA for advanced tumors harboring a TP53 Y220C mutation. The FDA has granted fast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mutation. The FDA has granted fast track designation to the p53 reactivator,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track designation to the p53 reactivator, eprenetapopt[17], (2019) and breakthrough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eprenetapopt[17], (2019) and breakthrough designation[18] (2020) in combination with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designation[18] (2020) in combination with azacitidine or azacitidine and venetoclax for acute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38"/>
      </w:tblGrid>
      <w:tr>
        <w:trPr>
          <w:trHeight w:hRule="exact" w:val="3074"/>
        </w:trPr>
        <w:tc>
          <w:tcPr>
            <w:tcW w:type="dxa" w:w="10724"/>
            <w:tcBorders>
              <w:bottom w:sz="6.400000000000091" w:val="single" w:color="#D9ECF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253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myelodysplastic syndrome (MDS) harboring a TP53 mutation, respectively. In addition to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mutation, respectively. In addition to investigational therapies aimed at restoring wild-type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investigational therapies aimed at restoring wild-type TP53 activity, compounds that</w:t>
            </w:r>
          </w:p>
          <w:p>
            <w:pPr>
              <w:autoSpaceDN w:val="0"/>
              <w:tabs>
                <w:tab w:pos="2556" w:val="left"/>
                <w:tab w:pos="3110" w:val="left"/>
                <w:tab w:pos="3970" w:val="left"/>
                <w:tab w:pos="5154" w:val="left"/>
                <w:tab w:pos="5684" w:val="left"/>
                <w:tab w:pos="6444" w:val="left"/>
                <w:tab w:pos="7414" w:val="left"/>
                <w:tab w:pos="8306" w:val="left"/>
                <w:tab w:pos="8770" w:val="left"/>
                <w:tab w:pos="9300" w:val="left"/>
                <w:tab w:pos="10000" w:val="left"/>
              </w:tabs>
              <w:autoSpaceDE w:val="0"/>
              <w:widowControl/>
              <w:spacing w:line="259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induce synthetic lethality are also under clinical evaluation[19,20]. TP53 mutation are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</w:p>
          <w:p>
            <w:pPr>
              <w:autoSpaceDN w:val="0"/>
              <w:autoSpaceDE w:val="0"/>
              <w:widowControl/>
              <w:spacing w:line="290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evaluation[19,20]. TP53 mutation are a diagnostic marker of SHH-activated, TP53-mutant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diagnostic marker of SHH-activated, TP53-mutant medulloblastoma[21]. TP53 mutations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medulloblastoma[21]. TP53 mutations confer poor prognosis and poor risk in multiple blood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confer poor prognosis and poor risk in multiple blood cancers including AML, MDS,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cancers including AML, MDS, myeloproliferative neoplasms (MPN), and chronic lymphocytic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myeloproliferative neoplasms (MPN), and chronic lymphocytic leukemia (CLL), and acute</w:t>
            </w:r>
          </w:p>
          <w:p>
            <w:pPr>
              <w:autoSpaceDN w:val="0"/>
              <w:autoSpaceDE w:val="0"/>
              <w:widowControl/>
              <w:spacing w:line="338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(CLL), and acute lymphoblastic leukemia (ALL)[22,23,24,25,26,27]. In mantle cell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lymphoblastic leukemia (ALL)[22,23,24,25,26,27]. In mantle cell lymphoma, TP53</w:t>
            </w:r>
          </w:p>
          <w:p>
            <w:pPr>
              <w:autoSpaceDN w:val="0"/>
              <w:autoSpaceDE w:val="0"/>
              <w:widowControl/>
              <w:spacing w:line="444" w:lineRule="auto" w:before="0" w:after="0"/>
              <w:ind w:left="246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including hematopoietic cell transplant[28]. Mono- and bi-allelic mutations in TP53 confer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lymphoma, TP53 mutations are associated with poor prognosis when treated with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mutations are associated with poor prognosis when treated with conventional therapy</w:t>
            </w:r>
          </w:p>
          <w:p>
            <w:pPr>
              <w:autoSpaceDN w:val="0"/>
              <w:autoSpaceDE w:val="0"/>
              <w:widowControl/>
              <w:spacing w:line="329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conventional therapy including hematopoietic cell transplant[28]. Mono- and bi-allelic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unique characteristics in MDS, with multi-hit patients also experiencing associations with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245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complex karyotype, few co-occurring mutations, and high-risk disease presentation as well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 in TP53 confer unique characteristics in MDS, with multi-hit patients also</w:t>
            </w:r>
          </w:p>
          <w:p>
            <w:pPr>
              <w:autoSpaceDN w:val="0"/>
              <w:autoSpaceDE w:val="0"/>
              <w:widowControl/>
              <w:spacing w:line="300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experiencing associations with complex karyotype, few co-occurring mutations, and high-risk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as predicted death and leukemic transformation independent of the IPSS-R staging</w:t>
            </w:r>
          </w:p>
          <w:p>
            <w:pPr>
              <w:autoSpaceDN w:val="0"/>
              <w:autoSpaceDE w:val="0"/>
              <w:widowControl/>
              <w:spacing w:line="269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disease presentation as well as predicted death and leukemic transformation independent of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system[29].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7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0" w:lineRule="auto" w:before="290" w:after="0"/>
        <w:ind w:left="930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4"/>
        </w:rPr>
        <w:t>Therapy &amp; Clinical Trials:</w:t>
      </w:r>
    </w:p>
    <w:p>
      <w:pPr>
        <w:autoSpaceDN w:val="0"/>
        <w:autoSpaceDE w:val="0"/>
        <w:widowControl/>
        <w:spacing w:line="240" w:lineRule="auto" w:before="402" w:after="8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0"/>
        </w:rPr>
        <w:t>TP53 p.(C135*) c.405C&gt;A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32"/>
        </w:trPr>
        <w:tc>
          <w:tcPr>
            <w:tcW w:type="dxa" w:w="4452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1280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Therapy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Therapy</w:t>
            </w:r>
          </w:p>
        </w:tc>
        <w:tc>
          <w:tcPr>
            <w:tcW w:type="dxa" w:w="20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25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FDA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FDA</w:t>
            </w:r>
          </w:p>
        </w:tc>
        <w:tc>
          <w:tcPr>
            <w:tcW w:type="dxa" w:w="11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NCCN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NCCN</w:t>
            </w:r>
          </w:p>
        </w:tc>
        <w:tc>
          <w:tcPr>
            <w:tcW w:type="dxa" w:w="10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EMA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EMA</w:t>
            </w:r>
          </w:p>
        </w:tc>
        <w:tc>
          <w:tcPr>
            <w:tcW w:type="dxa" w:w="1100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ESMO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ESMO</w:t>
            </w:r>
          </w:p>
        </w:tc>
        <w:tc>
          <w:tcPr>
            <w:tcW w:type="dxa" w:w="1058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Trials </w:t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Trials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48"/>
        </w:trPr>
        <w:tc>
          <w:tcPr>
            <w:tcW w:type="dxa" w:w="5416"/>
            <w:tcBorders>
              <w:start w:sz="6.400000000000006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</w:t>
            </w:r>
          </w:p>
        </w:tc>
        <w:tc>
          <w:tcPr>
            <w:tcW w:type="dxa" w:w="1020"/>
            <w:tcBorders>
              <w:start w:sz="5.599999999999909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5.599999999999909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top w:sz="5.600000000000364" w:val="single" w:color="#D9ECF2"/>
              <w:end w:sz="5.599999999999909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>
              <w:start w:sz="5.599999999999909" w:val="single" w:color="#D9ECF2"/>
              <w:top w:sz="5.600000000000364" w:val="single" w:color="#D9ECF2"/>
              <w:end w:sz="5.600000000000364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5.600000000000364" w:val="single" w:color="#D9ECF2"/>
              <w:top w:sz="5.600000000000364" w:val="single" w:color="#D9ECF2"/>
              <w:end w:sz="5.600000000000364" w:val="single" w:color="#D9ECF2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6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atezolizumab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66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azenosertib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6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6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ART-6043, olaparib, niraparib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ATRN-119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6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6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GSK-101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VB-15010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2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2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36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GenSci-122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38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494"/>
        </w:trPr>
        <w:tc>
          <w:tcPr>
            <w:tcW w:type="dxa" w:w="15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72"/>
            </w:tblGrid>
            <w:tr>
              <w:trPr>
                <w:trHeight w:hRule="exact" w:val="474"/>
              </w:trPr>
              <w:tc>
                <w:tcPr>
                  <w:tcW w:type="dxa" w:w="1192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2" w:after="0"/>
                    <w:ind w:left="10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GH-2616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6" w:after="0"/>
              <w:ind w:left="0" w:right="1366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GH-2616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4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52"/>
        </w:trPr>
        <w:tc>
          <w:tcPr>
            <w:tcW w:type="dxa" w:w="5416"/>
            <w:tcBorders>
              <w:start w:sz="6.400000000000006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8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20"/>
            <w:tcBorders>
              <w:start w:sz="5.599999999999909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>
              <w:start w:sz="5.599999999999909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>
              <w:start w:sz="5.599999999999909" w:val="single" w:color="#D9ECF2"/>
              <w:top w:sz="5.599999999999909" w:val="single" w:color="#D9ECF2"/>
              <w:end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>
              <w:start w:sz="5.599999999999909" w:val="single" w:color="#D9ECF2"/>
              <w:top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5.600000000000364" w:val="single" w:color="#D9ECF2"/>
              <w:top w:sz="5.599999999999909" w:val="single" w:color="#D9ECF2"/>
              <w:end w:sz="5.600000000000364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45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0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0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65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28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28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5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94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608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608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9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14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14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0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0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020"/>
            </w:tblGrid>
            <w:tr>
              <w:trPr>
                <w:trHeight w:hRule="exact" w:val="430"/>
              </w:trPr>
              <w:tc>
                <w:tcPr>
                  <w:tcW w:type="dxa" w:w="992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094"/>
            </w:tblGrid>
            <w:tr>
              <w:trPr>
                <w:trHeight w:hRule="exact" w:val="430"/>
              </w:trPr>
              <w:tc>
                <w:tcPr>
                  <w:tcW w:type="dxa" w:w="106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22"/>
        </w:trPr>
        <w:tc>
          <w:tcPr>
            <w:tcW w:type="dxa" w:w="5416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9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4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0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/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804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038"/>
      </w:tblGrid>
      <w:tr>
        <w:trPr>
          <w:trHeight w:hRule="exact" w:val="4502"/>
        </w:trPr>
        <w:tc>
          <w:tcPr>
            <w:tcW w:type="dxa" w:w="1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72" w:val="left"/>
                <w:tab w:pos="7210" w:val="left"/>
                <w:tab w:pos="8258" w:val="left"/>
                <w:tab w:pos="9312" w:val="left"/>
                <w:tab w:pos="10392" w:val="left"/>
              </w:tabs>
              <w:autoSpaceDE w:val="0"/>
              <w:widowControl/>
              <w:spacing w:line="250" w:lineRule="auto" w:before="60" w:after="0"/>
              <w:ind w:left="203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olaparib, durvalumab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 xml:space="preserve">X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 xml:space="preserve">X </w:t>
            </w: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 xml:space="preserve">X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 xml:space="preserve">X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.0" w:type="dxa"/>
            </w:tblPr>
            <w:tblGrid>
              <w:gridCol w:w="1883"/>
              <w:gridCol w:w="1883"/>
              <w:gridCol w:w="1883"/>
              <w:gridCol w:w="1883"/>
              <w:gridCol w:w="1883"/>
              <w:gridCol w:w="1883"/>
            </w:tblGrid>
            <w:tr>
              <w:trPr>
                <w:trHeight w:hRule="exact" w:val="232"/>
              </w:trPr>
              <w:tc>
                <w:tcPr>
                  <w:tcW w:type="dxa" w:w="10682"/>
                  <w:gridSpan w:val="6"/>
                  <w:tcBorders>
                    <w:top w:sz="12.0" w:val="single" w:color="#1F497D"/>
                    <w:bottom w:sz="5.599999999999909" w:val="single" w:color="#D9ECF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080" w:val="left"/>
                    </w:tabs>
                    <w:autoSpaceDE w:val="0"/>
                    <w:widowControl/>
                    <w:spacing w:line="240" w:lineRule="auto" w:before="0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olaparib, durvalumab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16"/>
                  <w:tcBorders>
                    <w:start w:sz="6.400000000000006" w:val="single" w:color="#D9ECF2"/>
                    <w:top w:sz="5.599999999999909" w:val="single" w:color="#D9ECF2"/>
                    <w:end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6" w:after="0"/>
                    <w:ind w:left="8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olaparib, pembrolizumab</w:t>
                  </w:r>
                </w:p>
              </w:tc>
              <w:tc>
                <w:tcPr>
                  <w:tcW w:type="dxa" w:w="1020"/>
                  <w:tcBorders>
                    <w:start w:sz="5.599999999999909" w:val="single" w:color="#D9ECF2"/>
                    <w:top w:sz="5.599999999999909" w:val="single" w:color="#D9ECF2"/>
                    <w:end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4"/>
                  <w:tcBorders>
                    <w:start w:sz="5.599999999999909" w:val="single" w:color="#D9ECF2"/>
                    <w:top w:sz="5.599999999999909" w:val="single" w:color="#D9ECF2"/>
                    <w:end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>
                    <w:start w:sz="5.599999999999909" w:val="single" w:color="#D9ECF2"/>
                    <w:top w:sz="5.599999999999909" w:val="single" w:color="#D9ECF2"/>
                    <w:end w:sz="5.599999999999909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>
                    <w:start w:sz="5.599999999999909" w:val="single" w:color="#D9ECF2"/>
                    <w:top w:sz="5.599999999999909" w:val="single" w:color="#D9ECF2"/>
                    <w:end w:sz="5.600000000000364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5.600000000000364" w:val="single" w:color="#D9ECF2"/>
                    <w:top w:sz="5.599999999999909" w:val="single" w:color="#D9ECF2"/>
                    <w:end w:sz="5.600000000000364" w:val="single" w:color="#D9ECF2"/>
                  </w:tcBorders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45"/>
              </w:trPr>
              <w:tc>
                <w:tcPr>
                  <w:tcW w:type="dxa" w:w="54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sintilimab, chemotherapy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1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fluzoparib, camrelizumab, chemotherapy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.000000000000227" w:type="dxa"/>
                  </w:tblPr>
                  <w:tblGrid>
                    <w:gridCol w:w="1020"/>
                  </w:tblGrid>
                  <w:tr>
                    <w:trPr>
                      <w:trHeight w:hRule="exact" w:val="416"/>
                    </w:trPr>
                    <w:tc>
                      <w:tcPr>
                        <w:tcW w:type="dxa" w:w="992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808080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4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.999999999999545" w:type="dxa"/>
                  </w:tblPr>
                  <w:tblGrid>
                    <w:gridCol w:w="1094"/>
                  </w:tblGrid>
                  <w:tr>
                    <w:trPr>
                      <w:trHeight w:hRule="exact" w:val="416"/>
                    </w:trPr>
                    <w:tc>
                      <w:tcPr>
                        <w:tcW w:type="dxa" w:w="1066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808080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IMP-1734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65"/>
              </w:trPr>
              <w:tc>
                <w:tcPr>
                  <w:tcW w:type="dxa" w:w="541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4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tislelizumab, radiation therapy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.000000000000227" w:type="dxa"/>
                  </w:tblPr>
                  <w:tblGrid>
                    <w:gridCol w:w="1020"/>
                  </w:tblGrid>
                  <w:tr>
                    <w:trPr>
                      <w:trHeight w:hRule="exact" w:val="416"/>
                    </w:trPr>
                    <w:tc>
                      <w:tcPr>
                        <w:tcW w:type="dxa" w:w="992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808080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4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.999999999999545" w:type="dxa"/>
                  </w:tblPr>
                  <w:tblGrid>
                    <w:gridCol w:w="1094"/>
                  </w:tblGrid>
                  <w:tr>
                    <w:trPr>
                      <w:trHeight w:hRule="exact" w:val="416"/>
                    </w:trPr>
                    <w:tc>
                      <w:tcPr>
                        <w:tcW w:type="dxa" w:w="1066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808080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A2A-252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1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GB-3010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.000000000000227" w:type="dxa"/>
                  </w:tblPr>
                  <w:tblGrid>
                    <w:gridCol w:w="1020"/>
                  </w:tblGrid>
                  <w:tr>
                    <w:trPr>
                      <w:trHeight w:hRule="exact" w:val="416"/>
                    </w:trPr>
                    <w:tc>
                      <w:tcPr>
                        <w:tcW w:type="dxa" w:w="992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808080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4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.999999999999545" w:type="dxa"/>
                  </w:tblPr>
                  <w:tblGrid>
                    <w:gridCol w:w="1094"/>
                  </w:tblGrid>
                  <w:tr>
                    <w:trPr>
                      <w:trHeight w:hRule="exact" w:val="416"/>
                    </w:trPr>
                    <w:tc>
                      <w:tcPr>
                        <w:tcW w:type="dxa" w:w="1066"/>
                        <w:tcBorders/>
                        <w:shd w:fill="f7f7f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 w:val="0"/>
                            <w:i w:val="0"/>
                            <w:color w:val="808080"/>
                            <w:sz w:val="24"/>
                          </w:rPr>
                          <w:t>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lunresertib, camonsertib, Debio-0123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  <w:tr>
              <w:trPr>
                <w:trHeight w:hRule="exact" w:val="421"/>
              </w:trPr>
              <w:tc>
                <w:tcPr>
                  <w:tcW w:type="dxa" w:w="5416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SC0245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4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0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4" w:lineRule="exact" w:before="70" w:after="196"/>
        <w:ind w:left="716" w:right="1440" w:firstLine="0"/>
        <w:jc w:val="left"/>
      </w:pPr>
      <w:r>
        <w:rPr>
          <w:rFonts w:ascii="Type3 (21 0 R)" w:hAnsi="Type3 (21 0 R)" w:eastAsia="Type3 (21 0 R)"/>
          <w:b w:val="0"/>
          <w:i w:val="0"/>
          <w:color w:val="000000"/>
          <w:sz w:val="20"/>
        </w:rPr>
        <w:t>📝</w:t>
      </w:r>
      <w:r>
        <w:rPr>
          <w:rFonts w:ascii="Cambria" w:hAnsi="Cambria" w:eastAsia="Cambria"/>
          <w:b w:val="0"/>
          <w:i w:val="0"/>
          <w:color w:val="000000"/>
          <w:sz w:val="20"/>
        </w:rPr>
        <w:t>Note:</w:t>
      </w:r>
      <w:r>
        <w:rPr>
          <w:rFonts w:ascii="Segoe UI Symbol" w:hAnsi="Segoe UI Symbol" w:eastAsia="Segoe UI Symbol"/>
          <w:b w:val="0"/>
          <w:i w:val="0"/>
          <w:color w:val="00B05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 UI Symbol" w:hAnsi="Segoe UI Symbol" w:eastAsia="Segoe UI 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 UI Symbol" w:hAnsi="Segoe UI Symbol" w:eastAsia="Segoe UI Symbol"/>
          <w:b w:val="0"/>
          <w:i w:val="0"/>
          <w:color w:val="00B050"/>
          <w:sz w:val="20"/>
        </w:rPr>
        <w:t>✓</w:t>
      </w:r>
      <w:r>
        <w:rPr>
          <w:rFonts w:ascii="Segoe UI Symbol" w:hAnsi="Segoe UI Symbol" w:eastAsia="Segoe UI 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Type3 (23 0 R)" w:hAnsi="Type3 (23 0 R)" w:eastAsia="Type3 (23 0 R)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344"/>
        </w:trPr>
        <w:tc>
          <w:tcPr>
            <w:tcW w:type="dxa" w:w="106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9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Test Description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043" w:type="dxa"/>
            </w:tblPr>
            <w:tblGrid>
              <w:gridCol w:w="10694"/>
            </w:tblGrid>
            <w:tr>
              <w:trPr>
                <w:trHeight w:hRule="exact" w:val="2814"/>
              </w:trPr>
              <w:tc>
                <w:tcPr>
                  <w:tcW w:type="dxa" w:w="10710"/>
                  <w:tcBorders>
                    <w:start w:sz="6.400000000000006" w:val="single" w:color="#D9ECF2"/>
                    <w:top w:sz="6.400000000000091" w:val="single" w:color="#D9ECF2"/>
                    <w:end w:sz="5.600000000000364" w:val="single" w:color="#D9ECF2"/>
                    <w:bottom w:sz="5.600000000000364" w:val="single" w:color="#D9ECF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4" w:after="0"/>
                    <w:ind w:left="100" w:right="1008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Liquidseq Actionable Genomic Profiling Panel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is advancing precision oncology research through the analysis 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 relevant biomarkers in a single next-generation sequencing (NGS) test.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0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 Liquidseq Actionable Genomic Profiling assay analyses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 xml:space="preserve"> 34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unique genes (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28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DNA +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 xml:space="preserve"> 6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Fusions driver genes) for single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 and multiple gene biomarker insights, detects single gene biomarkers from all variant types including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 xml:space="preserve"> SNVs, indels,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CNVs, known and novel fusions, and splice variants.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 Analyze complex multi-gene biomarkers for mutational signatures,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 microsatellite instability (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MSI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 for immunotherapy research.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0" w:right="115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performance of the panel was verified using both commercially sourced reference controls and cell-free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(cfTNA)samples.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32"/>
        </w:trPr>
        <w:tc>
          <w:tcPr>
            <w:tcW w:type="dxa" w:w="106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9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Test Methodology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714" w:right="1152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Extraction &amp; Library Preparation: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Cell free Total Nucleic acid (cfTNA) extracted from the liquid biopsy sample is used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for targeted gene capture using a custom designed hybrid capture panel. In process quality controls were determined for </w:t>
      </w:r>
      <w:r>
        <w:rPr>
          <w:rFonts w:ascii="Cambria" w:hAnsi="Cambria" w:eastAsia="Cambria"/>
          <w:b w:val="0"/>
          <w:i w:val="0"/>
          <w:color w:val="000000"/>
          <w:sz w:val="20"/>
        </w:rPr>
        <w:t>prepared library.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5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2566"/>
        </w:trPr>
        <w:tc>
          <w:tcPr>
            <w:tcW w:type="dxa" w:w="10710"/>
            <w:tcBorders>
              <w:start w:sz="6.400000000000006" w:val="single" w:color="#D9ECF2"/>
              <w:end w:sz="5.600000000000364" w:val="single" w:color="#D9ECF2"/>
              <w:bottom w:sz="5.599999999999909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0" w:right="5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 The libraries were sequenced at mean depth: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on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Novaseq- next generation 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45" w:lineRule="auto" w:before="260" w:after="0"/>
              <w:ind w:left="9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Data 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Sequencing data analyzed using a customized and validated bioinformatics pipeline capable of 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Score is calculated. Reportable genomic alterations and fusions are prioritized, classified, and reported based 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0" w:right="432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exact" w:val="328"/>
        </w:trPr>
        <w:tc>
          <w:tcPr>
            <w:tcW w:type="dxa" w:w="106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Notes</w:t>
            </w:r>
          </w:p>
        </w:tc>
      </w:tr>
    </w:tbl>
    <w:p>
      <w:pPr>
        <w:autoSpaceDN w:val="0"/>
        <w:autoSpaceDE w:val="0"/>
        <w:widowControl/>
        <w:spacing w:line="245" w:lineRule="auto" w:before="52" w:after="0"/>
        <w:ind w:left="714" w:right="12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Treatment decisions should not be based solely on the results of this test. Findings must be interpreted in the context of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the patient’s complete clinical profile—including pathological, radiological, and family history—to guide diagnosis, </w:t>
      </w:r>
      <w:r>
        <w:rPr>
          <w:rFonts w:ascii="Cambria" w:hAnsi="Cambria" w:eastAsia="Cambria"/>
          <w:b w:val="0"/>
          <w:i w:val="0"/>
          <w:color w:val="000000"/>
          <w:sz w:val="20"/>
        </w:rPr>
        <w:t>prognosis, and therapeutic decisions.</w:t>
      </w:r>
    </w:p>
    <w:p>
      <w:pPr>
        <w:autoSpaceDN w:val="0"/>
        <w:autoSpaceDE w:val="0"/>
        <w:widowControl/>
        <w:spacing w:line="245" w:lineRule="auto" w:before="396" w:after="0"/>
        <w:ind w:left="714" w:right="12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Therapy-related information in this report is derived from multiple sources including FDA-approved drug data, NCCN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guidelines, peer-reviewed literature, standard clinical databases, and biomarker evidence strength. However, therapy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options listed may not be suitable or beneficial for all patients. This report aims to provide a summary of potentially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effective treatments, therapies that may pose increased risks, and those that may have limited benefit, based on genomic </w:t>
      </w:r>
      <w:r>
        <w:rPr>
          <w:rFonts w:ascii="Cambria" w:hAnsi="Cambria" w:eastAsia="Cambria"/>
          <w:b w:val="0"/>
          <w:i w:val="0"/>
          <w:color w:val="000000"/>
          <w:sz w:val="20"/>
        </w:rPr>
        <w:t>alterations identified. Prognostic and diagnostic biomarkers relevant to the disease context may also be reported.</w:t>
      </w:r>
    </w:p>
    <w:p>
      <w:pPr>
        <w:autoSpaceDN w:val="0"/>
        <w:autoSpaceDE w:val="0"/>
        <w:widowControl/>
        <w:spacing w:line="245" w:lineRule="auto" w:before="396" w:after="0"/>
        <w:ind w:left="714" w:right="12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SN Genelab Pvt Ltd does not guarantee completeness, accuracy, or eligibility for trial enrollment. Physicians must verify </w:t>
      </w:r>
      <w:r>
        <w:rPr>
          <w:rFonts w:ascii="Cambria" w:hAnsi="Cambria" w:eastAsia="Cambria"/>
          <w:b w:val="0"/>
          <w:i w:val="0"/>
          <w:color w:val="000000"/>
          <w:sz w:val="20"/>
        </w:rPr>
        <w:t>eligibility criteria for specific trials independently.</w:t>
      </w:r>
    </w:p>
    <w:p>
      <w:pPr>
        <w:autoSpaceDN w:val="0"/>
        <w:autoSpaceDE w:val="0"/>
        <w:widowControl/>
        <w:spacing w:line="245" w:lineRule="auto" w:before="396" w:after="0"/>
        <w:ind w:left="714" w:right="11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Identification of a genomic alteration does not guarantee therapeutic efficacy or predict ineffectiveness. Final decisions on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treatment should rest with the treating physician. The absence of reported therapeutic options does not imply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ineffectiveness or lack of safety of any medication selected independently.</w:t>
      </w:r>
    </w:p>
    <w:p>
      <w:pPr>
        <w:autoSpaceDN w:val="0"/>
        <w:autoSpaceDE w:val="0"/>
        <w:widowControl/>
        <w:spacing w:line="245" w:lineRule="auto" w:before="396" w:after="0"/>
        <w:ind w:left="714" w:right="14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All variant classifications and related clinical information are based on the latest evidence from peer-reviewed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publications, public clinical databases, and medical guidelines (e.g., NCCN, ASCO, AMP) available at the time of report </w:t>
      </w:r>
      <w:r>
        <w:rPr>
          <w:rFonts w:ascii="Cambria" w:hAnsi="Cambria" w:eastAsia="Cambria"/>
          <w:b w:val="0"/>
          <w:i w:val="0"/>
          <w:color w:val="000000"/>
          <w:sz w:val="20"/>
        </w:rPr>
        <w:t>generation. However, literature is continuously evolving, and classification may change with emerging evidence.</w:t>
      </w:r>
    </w:p>
    <w:p>
      <w:pPr>
        <w:autoSpaceDN w:val="0"/>
        <w:autoSpaceDE w:val="0"/>
        <w:widowControl/>
        <w:spacing w:line="245" w:lineRule="auto" w:before="396" w:after="0"/>
        <w:ind w:left="714" w:right="11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The assay is designed and validated for somatic variant detection, it does not differentiate between somatic and germline </w:t>
      </w:r>
      <w:r>
        <w:rPr>
          <w:rFonts w:ascii="Cambria" w:hAnsi="Cambria" w:eastAsia="Cambria"/>
          <w:b w:val="0"/>
          <w:i w:val="0"/>
          <w:color w:val="000000"/>
          <w:sz w:val="20"/>
        </w:rPr>
        <w:t>variants. If indicated, germline testing and genetic counselling are recommended.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5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3556"/>
        </w:trPr>
        <w:tc>
          <w:tcPr>
            <w:tcW w:type="dxa" w:w="10710"/>
            <w:tcBorders>
              <w:start w:sz="6.400000000000006" w:val="single" w:color="#D9ECF2"/>
              <w:end w:sz="5.600000000000364" w:val="single" w:color="#D9ECF2"/>
              <w:bottom w:sz="6.400000000000091" w:val="single" w:color="#D9EC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 cfDNA/ Previous or Ongoing therapy may fail QC thresholds at various stages such as cfDNA extraction,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library preparation, or bioinformatics, and may result in assay failure or compromised results, such as low gene coverage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with lower allele frequencies may be reported if they are of strong or potential clinical relevance, or if previously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 amplifications reported, Confirmation using orthogonal methods such as DDPCR is recommended when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40" w:lineRule="auto" w:before="8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430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2142"/>
              <w:gridCol w:w="2142"/>
              <w:gridCol w:w="2142"/>
              <w:gridCol w:w="2142"/>
              <w:gridCol w:w="2142"/>
            </w:tblGrid>
            <w:tr>
              <w:trPr>
                <w:trHeight w:hRule="exact" w:val="240"/>
              </w:trPr>
              <w:tc>
                <w:tcPr>
                  <w:tcW w:type="dxa" w:w="10682"/>
                  <w:gridSpan w:val="5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7.99999999999997" w:type="dxa"/>
                  </w:tblPr>
                  <w:tblGrid>
                    <w:gridCol w:w="10682"/>
                  </w:tblGrid>
                  <w:tr>
                    <w:trPr>
                      <w:trHeight w:hRule="exact" w:val="222"/>
                    </w:trPr>
                    <w:tc>
                      <w:tcPr>
                        <w:tcW w:type="dxa" w:w="1440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DNA Gene List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AKT1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ALK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APC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ATM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BRAF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BRCA1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BRCA2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CTNNB1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EGFR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ERBB2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ERBB3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ESR1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FOXL2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GNA11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GNAQ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HRAS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IDH1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IDH2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KIT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KRAS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NRAS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PDGFRA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PIK3CA</w:t>
                  </w:r>
                </w:p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POLE</w:t>
                  </w:r>
                </w:p>
              </w:tc>
            </w:tr>
            <w:tr>
              <w:trPr>
                <w:trHeight w:hRule="exact" w:val="231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1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248" w:val="left"/>
                <w:tab w:pos="4390" w:val="left"/>
              </w:tabs>
              <w:autoSpaceDE w:val="0"/>
              <w:widowControl/>
              <w:spacing w:line="240" w:lineRule="auto" w:before="0" w:after="234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RAF1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RET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2142"/>
              <w:gridCol w:w="2142"/>
              <w:gridCol w:w="2142"/>
              <w:gridCol w:w="2142"/>
              <w:gridCol w:w="2142"/>
            </w:tblGrid>
            <w:tr>
              <w:trPr>
                <w:trHeight w:hRule="exact" w:val="240"/>
              </w:trPr>
              <w:tc>
                <w:tcPr>
                  <w:tcW w:type="dxa" w:w="10686"/>
                  <w:gridSpan w:val="5"/>
                  <w:tcBorders/>
                  <w:shd w:fill="00808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0.0" w:type="dxa"/>
                  </w:tblPr>
                  <w:tblGrid>
                    <w:gridCol w:w="10686"/>
                  </w:tblGrid>
                  <w:tr>
                    <w:trPr>
                      <w:trHeight w:hRule="exact" w:val="224"/>
                    </w:trPr>
                    <w:tc>
                      <w:tcPr>
                        <w:tcW w:type="dxa" w:w="1440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RNA Gene List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ALK</w:t>
                  </w:r>
                </w:p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MET</w:t>
                  </w:r>
                </w:p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NTRK1</w:t>
                  </w:r>
                </w:p>
              </w:tc>
              <w:tc>
                <w:tcPr>
                  <w:tcW w:type="dxa" w:w="21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NTRK2</w:t>
                  </w:r>
                </w:p>
              </w:tc>
              <w:tc>
                <w:tcPr>
                  <w:tcW w:type="dxa" w:w="21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NTRK3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204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5355"/>
              <w:gridCol w:w="5355"/>
            </w:tblGrid>
            <w:tr>
              <w:trPr>
                <w:trHeight w:hRule="exact" w:val="238"/>
              </w:trPr>
              <w:tc>
                <w:tcPr>
                  <w:tcW w:type="dxa" w:w="4704"/>
                  <w:tcBorders>
                    <w:start w:sz="12.0" w:val="single" w:color="#1F497D"/>
                    <w:top w:sz="12.0" w:val="single" w:color="#1F497D"/>
                    <w:end w:sz="12.0" w:val="single" w:color="#1F497D"/>
                    <w:bottom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2.00000000000003" w:type="dxa"/>
                  </w:tblPr>
                  <w:tblGrid>
                    <w:gridCol w:w="2352"/>
                    <w:gridCol w:w="2352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524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MSI</w:t>
                        </w:r>
                      </w:p>
                    </w:tc>
                    <w:tc>
                      <w:tcPr>
                        <w:tcW w:type="dxa" w:w="29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0" w:after="0"/>
                          <w:ind w:left="0" w:right="1094" w:firstLine="0"/>
                          <w:jc w:val="right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19"/>
                          </w:rPr>
                          <w:t>MSI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998"/>
                  <w:tcBorders>
                    <w:start w:sz="12.0" w:val="single" w:color="#1F497D"/>
                    <w:top w:sz="12.0" w:val="single" w:color="#1F497D"/>
                    <w:end w:sz="12.0" w:val="single" w:color="#1F497D"/>
                    <w:bottom w:sz="6.399999999999636" w:val="single" w:color="#00808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7.99999999999955" w:type="dxa"/>
                  </w:tblPr>
                  <w:tblGrid>
                    <w:gridCol w:w="2999"/>
                    <w:gridCol w:w="2999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1846"/>
                        <w:tcBorders/>
                        <w:shd w:fill="1f497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20"/>
                          </w:rPr>
                          <w:t>% of Unstable Loci</w:t>
                        </w:r>
                      </w:p>
                    </w:tc>
                    <w:tc>
                      <w:tcPr>
                        <w:tcW w:type="dxa" w:w="29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0" w:after="0"/>
                          <w:ind w:left="206" w:right="0" w:firstLine="0"/>
                          <w:jc w:val="left"/>
                        </w:pPr>
                        <w:r>
                          <w:rPr>
                            <w:rFonts w:ascii="Cambria" w:hAnsi="Cambria" w:eastAsia="Cambria"/>
                            <w:b/>
                            <w:i w:val="0"/>
                            <w:color w:val="FFFFFF"/>
                            <w:sz w:val="19"/>
                          </w:rPr>
                          <w:t>% of Unstable Loci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49"/>
              </w:trPr>
              <w:tc>
                <w:tcPr>
                  <w:tcW w:type="dxa" w:w="4704"/>
                  <w:tcBorders>
                    <w:top w:sz="6.399999999999636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MSI - Stable</w:t>
                  </w:r>
                </w:p>
              </w:tc>
              <w:tc>
                <w:tcPr>
                  <w:tcW w:type="dxa" w:w="5998"/>
                  <w:tcBorders>
                    <w:top w:sz="6.399999999999636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0-19%</w:t>
                  </w:r>
                </w:p>
              </w:tc>
            </w:tr>
            <w:tr>
              <w:trPr>
                <w:trHeight w:hRule="exact" w:val="241"/>
              </w:trPr>
              <w:tc>
                <w:tcPr>
                  <w:tcW w:type="dxa" w:w="47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MSI - Low / Intermediate</w:t>
                  </w:r>
                </w:p>
              </w:tc>
              <w:tc>
                <w:tcPr>
                  <w:tcW w:type="dxa" w:w="599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20-30%</w:t>
                  </w:r>
                </w:p>
              </w:tc>
            </w:tr>
            <w:tr>
              <w:trPr>
                <w:trHeight w:hRule="exact" w:val="235"/>
              </w:trPr>
              <w:tc>
                <w:tcPr>
                  <w:tcW w:type="dxa" w:w="4704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98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4814" w:val="left"/>
              </w:tabs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MSI - High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  <w:tr>
        <w:trPr>
          <w:trHeight w:hRule="exact" w:val="1718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8" w:val="left"/>
                <w:tab w:pos="2048" w:val="left"/>
                <w:tab w:pos="5620" w:val="left"/>
              </w:tabs>
              <w:autoSpaceDE w:val="0"/>
              <w:widowControl/>
              <w:spacing w:line="286" w:lineRule="auto" w:before="72" w:after="0"/>
              <w:ind w:left="19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Tier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 xml:space="preserve">Tier </w:t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 xml:space="preserve">Interpretation </w:t>
            </w: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Interpretation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043" w:type="dxa"/>
            </w:tblPr>
            <w:tblGrid>
              <w:gridCol w:w="5355"/>
              <w:gridCol w:w="5355"/>
            </w:tblGrid>
            <w:tr>
              <w:trPr>
                <w:trHeight w:hRule="exact" w:val="944"/>
              </w:trPr>
              <w:tc>
                <w:tcPr>
                  <w:tcW w:type="dxa" w:w="1844"/>
                  <w:tcBorders>
                    <w:start w:sz="6.400000000000006" w:val="single" w:color="#008080"/>
                    <w:top w:sz="6.399999999999636" w:val="single" w:color="#008080"/>
                    <w:end w:sz="6.399999999999977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92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0"/>
                  <w:tcBorders>
                    <w:start w:sz="6.399999999999977" w:val="single" w:color="#008080"/>
                    <w:top w:sz="6.399999999999636" w:val="single" w:color="#008080"/>
                    <w:end w:sz="5.600000000000364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6" w:after="0"/>
                    <w:ind w:left="98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 of Strong Clinical Significance: Biomarkers that predict response or resistance to US 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approved therapies for a specific type of tumor or have been included in professional guidelines 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18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" w:after="0"/>
                    <w:ind w:left="10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06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2722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52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10"/>
            </w:tblGrid>
            <w:tr>
              <w:trPr>
                <w:trHeight w:hRule="exact" w:val="506"/>
              </w:trPr>
              <w:tc>
                <w:tcPr>
                  <w:tcW w:type="dxa" w:w="10710"/>
                  <w:tcBorders/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4" w:after="0"/>
                    <w:ind w:left="192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prognostic significance of certain diseases based on well-powered studies with expert consensus.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prognostic significance of certain diseases based on well-powered studies with expert consensus.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38"/>
      </w:tblGrid>
      <w:tr>
        <w:trPr>
          <w:trHeight w:hRule="exact" w:val="2946"/>
        </w:trPr>
        <w:tc>
          <w:tcPr>
            <w:tcW w:type="dxa" w:w="1071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5355"/>
              <w:gridCol w:w="5355"/>
            </w:tblGrid>
            <w:tr>
              <w:trPr>
                <w:trHeight w:hRule="exact" w:val="1184"/>
              </w:trPr>
              <w:tc>
                <w:tcPr>
                  <w:tcW w:type="dxa" w:w="1840"/>
                  <w:tcBorders>
                    <w:start w:sz="6.400000000000006" w:val="single" w:color="#008080"/>
                    <w:top w:sz="6.400000000000091" w:val="single" w:color="#008080"/>
                    <w:end w:sz="6.399999999999977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90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IIC</w:t>
                  </w:r>
                </w:p>
              </w:tc>
              <w:tc>
                <w:tcPr>
                  <w:tcW w:type="dxa" w:w="8850"/>
                  <w:tcBorders>
                    <w:start w:sz="6.399999999999977" w:val="single" w:color="#008080"/>
                    <w:top w:sz="6.400000000000091" w:val="single" w:color="#008080"/>
                    <w:end w:sz="5.600000000000364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0" w:after="0"/>
                    <w:ind w:left="100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Potential Clinical Significance: biomarkers that predict response or resistance to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therapies approved by FDA or professional societies for a different tumor type (i.e., off-label use of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drug), serve as inclusion criteria for clinical trials, or have diagnostic and/or prognostic significance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the results of multiple small studies.</w:t>
                  </w:r>
                </w:p>
              </w:tc>
            </w:tr>
            <w:tr>
              <w:trPr>
                <w:trHeight w:hRule="exact" w:val="941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IID</w:t>
                  </w:r>
                </w:p>
              </w:tc>
              <w:tc>
                <w:tcPr>
                  <w:tcW w:type="dxa" w:w="8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108" w:right="576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Potential Clinical Significance: Biomarkers that show plausible therapeutic significance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based on preclinical studies or may assist disease diagnosis and/or prognosis themselves or along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 other biomarkers based on small studies or multiple case reports with no consensus.</w:t>
                  </w:r>
                </w:p>
              </w:tc>
            </w:tr>
            <w:tr>
              <w:trPr>
                <w:trHeight w:hRule="exact" w:val="698"/>
              </w:trPr>
              <w:tc>
                <w:tcPr>
                  <w:tcW w:type="dxa" w:w="1840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98" w:right="0" w:firstLine="0"/>
                    <w:jc w:val="left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000000"/>
                      <w:sz w:val="20"/>
                    </w:rPr>
                    <w:t>Tier III</w:t>
                  </w:r>
                </w:p>
              </w:tc>
              <w:tc>
                <w:tcPr>
                  <w:tcW w:type="dxa" w:w="8850"/>
                  <w:tcBorders/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4" w:after="0"/>
                    <w:ind w:left="108" w:right="432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Unknown clinical significance (VUS): Not observed at a significant allele frequency in the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general or specific subpopulation or pancancer or tumor specific variant databases. No convincing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9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40" w:lineRule="auto" w:before="112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Muller et al. Mutant p53 in cancer: new functions and therapeutic opportunities. Cancer Cell. 2014 Mar 17;25(3):304-17.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2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Cambria" w:hAnsi="Cambria" w:eastAsia="Cambria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2" w:after="0"/>
        <w:ind w:left="716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10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1076" w:val="left"/>
        </w:tabs>
        <w:autoSpaceDE w:val="0"/>
        <w:widowControl/>
        <w:spacing w:line="259" w:lineRule="auto" w:before="126" w:after="0"/>
        <w:ind w:left="716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Genet. 2016 Jun;48(6):607-16. PMID: 27158780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2826" w:after="0"/>
        <w:ind w:left="716" w:right="1008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Cancer Genome Atlas Research Network. Integrated genomic characterization of oesophageal carcinoma. Nature. 2017 Jan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12;541(7636):169-175. doi: 10.1038/nature20805. Epub 2017 Jan 4. PMID: 28052061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296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Olivier et al. The IARC TP53 database: new online mutation analysis and recommendations to users. Hum. Mutat. 2002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Jun;19(6):607-14. PMID: 12007217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2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Cancer. 2011 Apr;2(4):466-74. PMID: 21779514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6" w:right="144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Petitjean et al. TP53 mutations in human cancers: functional selection and impact on cancer prognosis and outcomes.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Oncogene. 2007 Apr 2;26(15):2157-65. PMID: 17401424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26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Soussi et al. Recommendations for analyzing and reporting TP53 gene variants in the high-throughput sequencing era. Hum.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Mutat. 2014 Jun;35(6):766-78. PMID: 24729566</w:t>
      </w:r>
    </w:p>
    <w:p>
      <w:pPr>
        <w:autoSpaceDN w:val="0"/>
        <w:autoSpaceDE w:val="0"/>
        <w:widowControl/>
        <w:spacing w:line="264" w:lineRule="auto" w:before="112" w:after="0"/>
        <w:ind w:left="1074" w:right="1440" w:hanging="36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rPr>
          <w:rFonts w:ascii="Cambria" w:hAnsi="Cambria" w:eastAsia="Cambria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rPr>
          <w:rFonts w:ascii="Cambria" w:hAnsi="Cambria" w:eastAsia="Cambria"/>
          <w:b w:val="0"/>
          <w:i/>
          <w:color w:val="000000"/>
          <w:sz w:val="20"/>
        </w:rPr>
        <w:t>Mutation.html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https://ir.aprea.com//news-releases/news-release-details/aprea-therapeutics-receives-fda-fast-track-designation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26" w:after="56"/>
        <w:ind w:left="714" w:right="1008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rHeight w:hRule="exact" w:val="30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6" w:firstLine="0"/>
              <w:jc w:val="righ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107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10.3389/fonc.2015.00288. eCollection 2015. PMID: 26732534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Zhao et al. Molecularly targeted therapies for p53-mutant cancers. Cell. Mol. Life Sci. 2017 Nov;74(22):4171-4187. PMID: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28643165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2" w:after="0"/>
        <w:ind w:left="714" w:right="144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Louis et al. The 2021 WHO Classification of Tumors of the Central Nervous System: a summary. Neuro Oncol. 2021 Aug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2;23(8):1231-1251. PMID: 34185076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NCCN-Acute Myeloid Leukemia [Version 2.2025]</w:t>
      </w:r>
    </w:p>
    <w:p>
      <w:pPr>
        <w:autoSpaceDN w:val="0"/>
        <w:tabs>
          <w:tab w:pos="1074" w:val="left"/>
        </w:tabs>
        <w:autoSpaceDE w:val="0"/>
        <w:widowControl/>
        <w:spacing w:line="259" w:lineRule="auto" w:before="110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Döhner et al. Diagnosis and management of AML in adults: 2022 recommendations from an international expert panel on </w:t>
      </w:r>
      <w:r>
        <w:tab/>
      </w:r>
      <w:r>
        <w:rPr>
          <w:rFonts w:ascii="Cambria" w:hAnsi="Cambria" w:eastAsia="Cambria"/>
          <w:b w:val="0"/>
          <w:i/>
          <w:color w:val="000000"/>
          <w:sz w:val="20"/>
        </w:rPr>
        <w:t>behalf of the ELN. Blood. 2022 Sep 22;140(12):1345-1377. PMID: 35797463</w:t>
      </w:r>
    </w:p>
    <w:p>
      <w:pPr>
        <w:autoSpaceDN w:val="0"/>
        <w:autoSpaceDE w:val="0"/>
        <w:widowControl/>
        <w:spacing w:line="240" w:lineRule="auto" w:before="112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NCCN-Myelodysplastic Syndromes [Version 2.2025]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NCCN-Myeloproliferative Neoplasms [Version 1.2025]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NCCN-Chronic Lymphocytic Leukemia/Small Lymphocytic Lymphoma [Version 3.2025]</w:t>
      </w:r>
    </w:p>
    <w:p>
      <w:pPr>
        <w:autoSpaceDN w:val="0"/>
        <w:autoSpaceDE w:val="0"/>
        <w:widowControl/>
        <w:spacing w:line="240" w:lineRule="auto" w:before="112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NCCN-Acute Lymphoblastic Leukemia [Version 3.2024]</w:t>
      </w:r>
    </w:p>
    <w:p>
      <w:pPr>
        <w:autoSpaceDN w:val="0"/>
        <w:autoSpaceDE w:val="0"/>
        <w:widowControl/>
        <w:spacing w:line="240" w:lineRule="auto" w:before="12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NCCN Guidelines&amp;amp;reg; - NCCN-B-Cell Lymphomas [Version 2.2025]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8460" cy="64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26" w:after="0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Bernard et al. Implications of TP53 allelic state for genome stability, clinical presentation and outcomes in myelodysplastic</w:t>
      </w:r>
    </w:p>
    <w:p>
      <w:pPr>
        <w:autoSpaceDN w:val="0"/>
        <w:autoSpaceDE w:val="0"/>
        <w:widowControl/>
        <w:spacing w:line="240" w:lineRule="auto" w:before="36" w:after="0"/>
        <w:ind w:left="107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0" w:lineRule="auto" w:before="57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>------------------ End Of Report ------------------</w:t>
      </w:r>
    </w:p>
    <w:sectPr w:rsidR="00FC693F" w:rsidRPr="0006063C" w:rsidSect="00034616">
      <w:pgSz w:w="11918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