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mbria" w:hAnsi="Cambria"/>
          <w:b/>
          <w:color w:val="1F497D"/>
          <w:sz w:val="32"/>
        </w:rPr>
        <w:t>SMO10058</w:t>
      </w:r>
    </w:p>
    <w:p>
      <w:pPr>
        <w:spacing w:after="240"/>
      </w:pPr>
      <w:r>
        <w:rPr>
          <w:rFonts w:ascii="Cambria" w:hAnsi="Cambria"/>
          <w:color w:val="64748B"/>
          <w:sz w:val="18"/>
        </w:rPr>
        <w:t>Universal Dynamic Document Report</w:t>
      </w:r>
    </w:p>
    <w:p>
      <w:pPr>
        <w:jc w:val="center"/>
      </w:pPr>
      <w:r>
        <w:rPr>
          <w:rFonts w:ascii="Cambria" w:hAnsi="Cambria"/>
          <w:b/>
          <w:color w:val="94A3B8"/>
          <w:sz w:val="20"/>
        </w:rPr>
        <w:t>--- Page 1 ---</w:t>
      </w:r>
    </w:p>
    <w:p>
      <w:pPr>
        <w:spacing w:line="276" w:lineRule="auto"/>
      </w:pPr>
      <w:r>
        <w:rPr>
          <w:rFonts w:ascii="Cambria" w:hAnsi="Cambria"/>
          <w:b/>
          <w:i/>
          <w:sz w:val="20"/>
        </w:rPr>
        <w:t>Oncq</w:t>
      </w:r>
      <w:r>
        <w:rPr>
          <w:rFonts w:ascii="Cambria" w:hAnsi="Cambria"/>
          <w:b/>
          <w:i/>
          <w:sz w:val="20"/>
        </w:rPr>
        <w:t>BRCA1</w:t>
      </w:r>
      <w:r>
        <w:rPr>
          <w:rFonts w:ascii="Cambria" w:hAnsi="Cambria"/>
          <w:b/>
          <w:sz w:val="20"/>
        </w:rPr>
        <w:t>&amp;</w:t>
      </w:r>
      <w:r>
        <w:rPr>
          <w:rFonts w:ascii="Cambria" w:hAnsi="Cambria"/>
          <w:b/>
          <w:i/>
          <w:sz w:val="20"/>
        </w:rPr>
        <w:t>2</w:t>
      </w:r>
      <w:r>
        <w:rPr>
          <w:rFonts w:ascii="Cambria" w:hAnsi="Cambria"/>
          <w:b/>
          <w:sz w:val="20"/>
        </w:rPr>
        <w:t xml:space="preserve"> Germline</w:t>
      </w:r>
    </w:p>
    <w:p>
      <w:pPr>
        <w:spacing w:line="276" w:lineRule="auto"/>
      </w:pPr>
      <w:r>
        <w:rPr>
          <w:rFonts w:ascii="Cambria" w:hAnsi="Cambria"/>
          <w:sz w:val="20"/>
        </w:rPr>
        <w:t>Next Generation Sequencing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 xml:space="preserve">Clinical Indication: </w:t>
      </w:r>
      <w:r>
        <w:rPr>
          <w:rFonts w:ascii="Cambria" w:hAnsi="Cambria"/>
          <w:sz w:val="20"/>
        </w:rPr>
        <w:t>High Grade Serous Carcinoma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Specimen:</w:t>
      </w:r>
      <w:r>
        <w:rPr>
          <w:rFonts w:ascii="Cambria" w:hAnsi="Cambria"/>
          <w:sz w:val="20"/>
        </w:rPr>
        <w:t xml:space="preserve"> EDTA P. Blood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Results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NEGATIVE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 xml:space="preserve">No clinically relevant variant was detected in </w:t>
      </w:r>
      <w:r>
        <w:rPr>
          <w:rFonts w:ascii="Cambria" w:hAnsi="Cambria"/>
          <w:b/>
          <w:i/>
          <w:sz w:val="20"/>
        </w:rPr>
        <w:t>BRCA1</w:t>
      </w:r>
      <w:r>
        <w:rPr>
          <w:rFonts w:ascii="Cambria" w:hAnsi="Cambria"/>
          <w:b/>
          <w:sz w:val="20"/>
        </w:rPr>
        <w:t xml:space="preserve"> or </w:t>
      </w:r>
      <w:r>
        <w:rPr>
          <w:rFonts w:ascii="Cambria" w:hAnsi="Cambria"/>
          <w:b/>
          <w:i/>
          <w:sz w:val="20"/>
        </w:rPr>
        <w:t>BRCA2</w:t>
      </w:r>
      <w:r>
        <w:rPr>
          <w:rFonts w:ascii="Cambria" w:hAnsi="Cambria"/>
          <w:b/>
          <w:sz w:val="20"/>
        </w:rPr>
        <w:t xml:space="preserve"> gene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Variant Details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Gene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b/>
          <w:sz w:val="20"/>
        </w:rPr>
        <w:t>Chromosome locus/ Transcript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Variant coding/ Protein coding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Exon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b/>
          <w:sz w:val="20"/>
        </w:rPr>
        <w:t>Variant Interpretation</w:t>
      </w:r>
    </w:p>
    <w:p>
      <w:pPr>
        <w:spacing w:line="276" w:lineRule="auto"/>
      </w:pPr>
      <w:r>
        <w:rPr>
          <w:rFonts w:ascii="Cambria" w:hAnsi="Cambria"/>
          <w:sz w:val="20"/>
        </w:rPr>
        <w:t>None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Recommendation</w:t>
      </w:r>
    </w:p>
    <w:p>
      <w:pPr>
        <w:spacing w:line="276" w:lineRule="auto"/>
      </w:pPr>
      <w:r>
        <w:rPr>
          <w:rFonts w:ascii="Cambria" w:hAnsi="Cambria"/>
          <w:sz w:val="20"/>
        </w:rPr>
        <w:t>1. A negative test result does not exclude the possibility that this individual does not have a genetic cause for cancer,</w:t>
      </w:r>
    </w:p>
    <w:p>
      <w:pPr>
        <w:spacing w:line="276" w:lineRule="auto"/>
      </w:pPr>
      <w:r>
        <w:rPr>
          <w:rFonts w:ascii="Cambria" w:hAnsi="Cambria"/>
          <w:sz w:val="20"/>
        </w:rPr>
        <w:t>as it may be due to variation in a genomic region not covered by the test, therefore it is advisable to test for the</w:t>
      </w:r>
    </w:p>
    <w:p>
      <w:pPr>
        <w:spacing w:line="276" w:lineRule="auto"/>
      </w:pPr>
      <w:r>
        <w:rPr>
          <w:rFonts w:ascii="Cambria" w:hAnsi="Cambria"/>
          <w:sz w:val="20"/>
        </w:rPr>
        <w:t>other cancer-causing genes.</w:t>
      </w:r>
    </w:p>
    <w:p>
      <w:pPr>
        <w:spacing w:line="276" w:lineRule="auto"/>
      </w:pPr>
      <w:r>
        <w:rPr>
          <w:rFonts w:ascii="Cambria" w:hAnsi="Cambria"/>
          <w:sz w:val="20"/>
        </w:rPr>
        <w:t xml:space="preserve">2. For the complete risk assessment, Multi-Gene Testing as recommended by NCCN should be done. </w:t>
      </w:r>
    </w:p>
    <w:p>
      <w:pPr>
        <w:spacing w:line="276" w:lineRule="auto"/>
      </w:pPr>
      <w:r>
        <w:rPr>
          <w:rFonts w:ascii="Cambria" w:hAnsi="Cambria"/>
          <w:sz w:val="20"/>
        </w:rPr>
        <w:t>3. The structural variants (Large deletions/ duplications or complex rearrangements) are not covered in the given test.</w:t>
      </w:r>
    </w:p>
    <w:p>
      <w:pPr>
        <w:spacing w:line="276" w:lineRule="auto"/>
      </w:pPr>
      <w:r>
        <w:rPr>
          <w:rFonts w:ascii="Cambria" w:hAnsi="Cambria"/>
          <w:sz w:val="20"/>
        </w:rPr>
        <w:t xml:space="preserve">The same may be investigated through MLPA testing.  </w:t>
      </w:r>
    </w:p>
    <w:p>
      <w:pPr>
        <w:spacing w:line="276" w:lineRule="auto"/>
      </w:pPr>
      <w:r>
        <w:rPr>
          <w:rFonts w:ascii="Cambria" w:hAnsi="Cambria"/>
          <w:sz w:val="20"/>
        </w:rPr>
        <w:t>4. Genetic Counseling is recommended.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NGS Statistics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Coverage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Coverage Uniformity</w:t>
      </w:r>
    </w:p>
    <w:p>
      <w:pPr>
        <w:spacing w:line="276" w:lineRule="auto"/>
      </w:pPr>
      <w:r>
        <w:rPr>
          <w:rFonts w:ascii="Cambria" w:hAnsi="Cambria"/>
          <w:sz w:val="20"/>
        </w:rPr>
        <w:t>98.95%</w:t>
      </w:r>
    </w:p>
    <w:p>
      <w:pPr>
        <w:spacing w:line="276" w:lineRule="auto"/>
      </w:pPr>
      <w:r>
        <w:rPr>
          <w:rFonts w:ascii="Cambria" w:hAnsi="Cambria"/>
          <w:sz w:val="20"/>
        </w:rPr>
        <w:t>99.95%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Variant Classification as per ACMG guidelines: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Classification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of Variant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Remarks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Pathogenic</w:t>
      </w:r>
      <w:r>
        <w:rPr>
          <w:rFonts w:ascii="Cambria" w:hAnsi="Cambria"/>
          <w:sz w:val="20"/>
        </w:rPr>
        <w:t xml:space="preserve"> </w:t>
      </w:r>
      <w:r>
        <w:rPr>
          <w:rFonts w:ascii="Cambria" w:hAnsi="Cambria"/>
          <w:sz w:val="20"/>
        </w:rPr>
        <w:t>The variant has been shown to directly contribute to the development of disease. The subject is at</w:t>
      </w:r>
    </w:p>
    <w:p>
      <w:pPr>
        <w:spacing w:line="276" w:lineRule="auto"/>
      </w:pPr>
      <w:r>
        <w:rPr>
          <w:rFonts w:ascii="Cambria" w:hAnsi="Cambria"/>
          <w:sz w:val="20"/>
        </w:rPr>
        <w:t>significantly increased risk for developing Breast &amp; / or ovarian cancer as compared to general population.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Likely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Pathogenic</w:t>
      </w:r>
    </w:p>
    <w:p>
      <w:pPr>
        <w:spacing w:line="276" w:lineRule="auto"/>
      </w:pPr>
      <w:r>
        <w:rPr>
          <w:rFonts w:ascii="Cambria" w:hAnsi="Cambria"/>
          <w:sz w:val="20"/>
        </w:rPr>
        <w:t>There is a high likelihood (greater than 90% certainty) that this variant is disease‐causing. Addi onal</w:t>
      </w:r>
    </w:p>
    <w:p>
      <w:pPr>
        <w:spacing w:line="276" w:lineRule="auto"/>
      </w:pPr>
      <w:r>
        <w:rPr>
          <w:rFonts w:ascii="Cambria" w:hAnsi="Cambria"/>
          <w:sz w:val="20"/>
        </w:rPr>
        <w:t>evidence is expected to conﬁrm this asser on of pathogenicity; but there is a small chance that new</w:t>
      </w:r>
    </w:p>
    <w:p>
      <w:pPr>
        <w:spacing w:line="276" w:lineRule="auto"/>
      </w:pPr>
      <w:r>
        <w:rPr>
          <w:rFonts w:ascii="Cambria" w:hAnsi="Cambria"/>
          <w:sz w:val="20"/>
        </w:rPr>
        <w:t xml:space="preserve">evidence may demonstrate that this variant does not have clinical significance 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Likely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Benign</w:t>
      </w:r>
    </w:p>
    <w:p>
      <w:pPr>
        <w:spacing w:line="276" w:lineRule="auto"/>
      </w:pPr>
      <w:r>
        <w:rPr>
          <w:rFonts w:ascii="Cambria" w:hAnsi="Cambria"/>
          <w:sz w:val="20"/>
        </w:rPr>
        <w:t>This variant is not expected to have a manor eﬀect on disease; however, the scien ﬁc evidence is currently</w:t>
      </w:r>
    </w:p>
    <w:p>
      <w:pPr>
        <w:spacing w:line="276" w:lineRule="auto"/>
      </w:pPr>
      <w:r>
        <w:rPr>
          <w:rFonts w:ascii="Cambria" w:hAnsi="Cambria"/>
          <w:sz w:val="20"/>
        </w:rPr>
        <w:t>insuﬃcient to prove this conclusively. Addi onal evidence is expected to conﬁrm this asser on, but we</w:t>
      </w:r>
    </w:p>
    <w:p>
      <w:pPr>
        <w:spacing w:line="276" w:lineRule="auto"/>
      </w:pPr>
      <w:r>
        <w:rPr>
          <w:rFonts w:ascii="Cambria" w:hAnsi="Cambria"/>
          <w:sz w:val="20"/>
        </w:rPr>
        <w:t>cannot fully rule out the possibility that new evidence may demonstrate that this variant can contribute to</w:t>
      </w:r>
    </w:p>
    <w:p>
      <w:pPr>
        <w:spacing w:line="276" w:lineRule="auto"/>
      </w:pPr>
      <w:r>
        <w:rPr>
          <w:rFonts w:ascii="Cambria" w:hAnsi="Cambria"/>
          <w:sz w:val="20"/>
        </w:rPr>
        <w:t>disease.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Benign</w:t>
      </w:r>
    </w:p>
    <w:p>
      <w:pPr>
        <w:spacing w:line="276" w:lineRule="auto"/>
      </w:pPr>
      <w:r>
        <w:rPr>
          <w:rFonts w:ascii="Cambria" w:hAnsi="Cambria"/>
          <w:sz w:val="20"/>
        </w:rPr>
        <w:t>This variant does not contribute to cause disease.</w:t>
      </w:r>
    </w:p>
    <w:p>
      <w:pPr>
        <w:spacing w:line="276" w:lineRule="auto"/>
      </w:pPr>
      <w:r>
        <w:rPr>
          <w:rFonts w:ascii="Cambria" w:hAnsi="Cambria"/>
          <w:sz w:val="20"/>
        </w:rPr>
        <w:t>Name</w:t>
      </w:r>
    </w:p>
    <w:p>
      <w:pPr>
        <w:spacing w:line="276" w:lineRule="auto"/>
      </w:pPr>
      <w:r>
        <w:rPr>
          <w:rFonts w:ascii="Cambria" w:hAnsi="Cambria"/>
          <w:sz w:val="20"/>
        </w:rPr>
        <w:t>: Ms.KAMALAKSHY.K.R</w:t>
      </w:r>
    </w:p>
    <w:p>
      <w:pPr>
        <w:spacing w:line="276" w:lineRule="auto"/>
      </w:pPr>
      <w:r>
        <w:rPr>
          <w:rFonts w:ascii="Cambria" w:hAnsi="Cambria"/>
          <w:sz w:val="20"/>
        </w:rPr>
        <w:t>Centre Details</w:t>
      </w:r>
    </w:p>
    <w:p>
      <w:pPr>
        <w:spacing w:line="276" w:lineRule="auto"/>
      </w:pPr>
      <w:r>
        <w:rPr>
          <w:rFonts w:ascii="Cambria" w:hAnsi="Cambria"/>
          <w:sz w:val="20"/>
        </w:rPr>
        <w:t>:DIA CARE LABS</w:t>
      </w:r>
    </w:p>
    <w:p>
      <w:pPr>
        <w:spacing w:line="276" w:lineRule="auto"/>
      </w:pPr>
      <w:r>
        <w:rPr>
          <w:rFonts w:ascii="Cambria" w:hAnsi="Cambria"/>
          <w:sz w:val="20"/>
        </w:rPr>
        <w:t>Age</w:t>
      </w:r>
    </w:p>
    <w:p>
      <w:pPr>
        <w:spacing w:line="276" w:lineRule="auto"/>
      </w:pPr>
      <w:r>
        <w:rPr>
          <w:rFonts w:ascii="Cambria" w:hAnsi="Cambria"/>
          <w:sz w:val="20"/>
        </w:rPr>
        <w:t>: 64 Yrs          Sex: Female</w:t>
      </w:r>
    </w:p>
    <w:p>
      <w:pPr>
        <w:spacing w:line="276" w:lineRule="auto"/>
      </w:pPr>
      <w:r>
        <w:rPr>
          <w:rFonts w:ascii="Cambria" w:hAnsi="Cambria"/>
          <w:sz w:val="20"/>
        </w:rPr>
        <w:t>Accession.ID</w:t>
      </w:r>
    </w:p>
    <w:p>
      <w:pPr>
        <w:spacing w:line="276" w:lineRule="auto"/>
      </w:pPr>
      <w:r>
        <w:rPr>
          <w:rFonts w:ascii="Cambria" w:hAnsi="Cambria"/>
          <w:sz w:val="20"/>
        </w:rPr>
        <w:t>:OQG2607010046</w:t>
      </w:r>
    </w:p>
    <w:p>
      <w:pPr>
        <w:spacing w:line="276" w:lineRule="auto"/>
      </w:pPr>
      <w:r>
        <w:rPr>
          <w:rFonts w:ascii="Cambria" w:hAnsi="Cambria"/>
          <w:sz w:val="20"/>
        </w:rPr>
        <w:t>Collection Date</w:t>
      </w:r>
    </w:p>
    <w:p>
      <w:pPr>
        <w:spacing w:line="276" w:lineRule="auto"/>
      </w:pPr>
      <w:r>
        <w:rPr>
          <w:rFonts w:ascii="Cambria" w:hAnsi="Cambria"/>
          <w:sz w:val="20"/>
        </w:rPr>
        <w:t>: 29/Jun/2026 11:00AM</w:t>
      </w:r>
    </w:p>
    <w:p>
      <w:pPr>
        <w:spacing w:line="276" w:lineRule="auto"/>
      </w:pPr>
      <w:r>
        <w:rPr>
          <w:rFonts w:ascii="Cambria" w:hAnsi="Cambria"/>
          <w:sz w:val="20"/>
        </w:rPr>
        <w:t>Referred By</w:t>
      </w:r>
    </w:p>
    <w:p>
      <w:pPr>
        <w:spacing w:line="276" w:lineRule="auto"/>
      </w:pPr>
      <w:r>
        <w:rPr>
          <w:rFonts w:ascii="Cambria" w:hAnsi="Cambria"/>
          <w:sz w:val="20"/>
        </w:rPr>
        <w:t>:DR MITHUN CHACKO JOHN</w:t>
      </w:r>
    </w:p>
    <w:p>
      <w:pPr>
        <w:spacing w:line="276" w:lineRule="auto"/>
      </w:pPr>
      <w:r>
        <w:rPr>
          <w:rFonts w:ascii="Cambria" w:hAnsi="Cambria"/>
          <w:sz w:val="20"/>
        </w:rPr>
        <w:t>Received Date</w:t>
      </w:r>
    </w:p>
    <w:p>
      <w:pPr>
        <w:spacing w:line="276" w:lineRule="auto"/>
      </w:pPr>
      <w:r>
        <w:rPr>
          <w:rFonts w:ascii="Cambria" w:hAnsi="Cambria"/>
          <w:sz w:val="20"/>
        </w:rPr>
        <w:t>: 01/Jul/2026 08:28AM</w:t>
      </w:r>
    </w:p>
    <w:p>
      <w:pPr>
        <w:spacing w:line="276" w:lineRule="auto"/>
      </w:pPr>
      <w:r>
        <w:rPr>
          <w:rFonts w:ascii="Cambria" w:hAnsi="Cambria"/>
          <w:sz w:val="20"/>
        </w:rPr>
        <w:t>Report Date</w:t>
      </w:r>
    </w:p>
    <w:p>
      <w:pPr>
        <w:spacing w:line="276" w:lineRule="auto"/>
      </w:pPr>
      <w:r>
        <w:rPr>
          <w:rFonts w:ascii="Cambria" w:hAnsi="Cambria"/>
          <w:sz w:val="20"/>
        </w:rPr>
        <w:t>:11/Jul/2026 02:11PM</w:t>
      </w:r>
    </w:p>
    <w:p>
      <w:pPr>
        <w:spacing w:line="276" w:lineRule="auto"/>
      </w:pPr>
      <w:r>
        <w:rPr>
          <w:rFonts w:ascii="Cambria" w:hAnsi="Cambria"/>
          <w:sz w:val="20"/>
        </w:rPr>
        <w:t>Registration Date</w:t>
      </w:r>
    </w:p>
    <w:p>
      <w:pPr>
        <w:spacing w:line="276" w:lineRule="auto"/>
      </w:pPr>
      <w:r>
        <w:rPr>
          <w:rFonts w:ascii="Cambria" w:hAnsi="Cambria"/>
          <w:sz w:val="20"/>
        </w:rPr>
        <w:t>: 01/Jul/2026 08:28AM</w:t>
      </w:r>
    </w:p>
    <w:p>
      <w:pPr>
        <w:spacing w:line="276" w:lineRule="auto"/>
      </w:pPr>
      <w:r>
        <w:rPr>
          <w:rFonts w:ascii="Cambria" w:hAnsi="Cambria"/>
          <w:sz w:val="20"/>
        </w:rPr>
        <w:t>Ref.No/TRF.No</w:t>
      </w:r>
    </w:p>
    <w:p>
      <w:pPr>
        <w:spacing w:line="276" w:lineRule="auto"/>
      </w:pPr>
      <w:r>
        <w:rPr>
          <w:rFonts w:ascii="Cambria" w:hAnsi="Cambria"/>
          <w:sz w:val="20"/>
        </w:rPr>
        <w:t>: /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DEPARTMENT OF MOLECULAR DIAGNOSTICS-II</w:t>
      </w:r>
    </w:p>
    <w:p>
      <w:pPr>
        <w:spacing w:line="276" w:lineRule="auto"/>
      </w:pPr>
      <w:r>
        <w:rPr>
          <w:rFonts w:ascii="Cambria" w:hAnsi="Cambria"/>
          <w:sz w:val="20"/>
        </w:rPr>
        <w:t>Verify this report by scanning the QR code on top. In case of any discrepancy please report to 01246650000</w:t>
      </w:r>
    </w:p>
    <w:p>
      <w:pPr>
        <w:spacing w:line="276" w:lineRule="auto"/>
      </w:pPr>
      <w:r>
        <w:rPr>
          <w:rFonts w:ascii="Cambria" w:hAnsi="Cambria"/>
          <w:sz w:val="20"/>
        </w:rPr>
        <w:t>The sample is processed through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b/>
          <w:sz w:val="20"/>
        </w:rPr>
        <w:t>Oncquest Laboratories Ltd.;  A-17 Infocity, Sector-34, Gurugram</w:t>
      </w:r>
    </w:p>
    <w:p>
      <w:pPr>
        <w:spacing w:line="276" w:lineRule="auto"/>
      </w:pPr>
      <w:r>
        <w:rPr>
          <w:rFonts w:ascii="Cambria" w:hAnsi="Cambria"/>
          <w:sz w:val="20"/>
        </w:rPr>
        <w:t>Page 1 of 3</w:t>
      </w:r>
    </w:p>
    <w:p>
      <w:pPr>
        <w:jc w:val="center"/>
      </w:pPr>
      <w:r>
        <w:rPr>
          <w:rFonts w:ascii="Cambria" w:hAnsi="Cambria"/>
          <w:b/>
          <w:color w:val="94A3B8"/>
          <w:sz w:val="20"/>
        </w:rPr>
        <w:t>--- Page 2 ---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Variant of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Unknown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Significance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(VUS)</w:t>
      </w:r>
    </w:p>
    <w:p>
      <w:pPr>
        <w:spacing w:line="276" w:lineRule="auto"/>
      </w:pPr>
      <w:r>
        <w:rPr>
          <w:rFonts w:ascii="Cambria" w:hAnsi="Cambria"/>
          <w:sz w:val="20"/>
        </w:rPr>
        <w:t>There is not enough information at this time to support a more definitive classification of this variant.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General Information</w:t>
      </w:r>
      <w:r>
        <w:rPr>
          <w:rFonts w:ascii="Cambria" w:hAnsi="Cambria"/>
          <w:sz w:val="20"/>
        </w:rPr>
        <w:t xml:space="preserve">: </w:t>
      </w:r>
      <w:r>
        <w:rPr>
          <w:rFonts w:ascii="Cambria" w:hAnsi="Cambria"/>
          <w:sz w:val="20"/>
        </w:rPr>
        <w:t xml:space="preserve">Risk of developing HBOC with </w:t>
      </w:r>
      <w:r>
        <w:rPr>
          <w:rFonts w:ascii="Cambria" w:hAnsi="Cambria"/>
          <w:i/>
          <w:sz w:val="20"/>
        </w:rPr>
        <w:t>BRCA1</w:t>
      </w:r>
      <w:r>
        <w:rPr>
          <w:rFonts w:ascii="Cambria" w:hAnsi="Cambria"/>
          <w:sz w:val="20"/>
        </w:rPr>
        <w:t xml:space="preserve"> and </w:t>
      </w:r>
      <w:r>
        <w:rPr>
          <w:rFonts w:ascii="Cambria" w:hAnsi="Cambria"/>
          <w:i/>
          <w:sz w:val="20"/>
        </w:rPr>
        <w:t>BRCA 2</w:t>
      </w:r>
      <w:r>
        <w:rPr>
          <w:rFonts w:ascii="Cambria" w:hAnsi="Cambria"/>
          <w:sz w:val="20"/>
        </w:rPr>
        <w:t xml:space="preserve"> mutation: Specific inherited mutations in </w:t>
      </w:r>
      <w:r>
        <w:rPr>
          <w:rFonts w:ascii="Cambria" w:hAnsi="Cambria"/>
          <w:i/>
          <w:sz w:val="20"/>
        </w:rPr>
        <w:t>BRCA1</w:t>
      </w:r>
    </w:p>
    <w:p>
      <w:pPr>
        <w:spacing w:line="276" w:lineRule="auto"/>
      </w:pPr>
      <w:r>
        <w:rPr>
          <w:rFonts w:ascii="Cambria" w:hAnsi="Cambria"/>
          <w:sz w:val="20"/>
        </w:rPr>
        <w:t xml:space="preserve">and </w:t>
      </w:r>
      <w:r>
        <w:rPr>
          <w:rFonts w:ascii="Cambria" w:hAnsi="Cambria"/>
          <w:i/>
          <w:sz w:val="20"/>
        </w:rPr>
        <w:t xml:space="preserve">BRCA2 </w:t>
      </w:r>
      <w:r>
        <w:rPr>
          <w:rFonts w:ascii="Cambria" w:hAnsi="Cambria"/>
          <w:sz w:val="20"/>
        </w:rPr>
        <w:t xml:space="preserve">genes increases the risk of HBOC (1, 5)The lifetime risk of Breast cancer with the pathogenic variant of </w:t>
      </w:r>
      <w:r>
        <w:rPr>
          <w:rFonts w:ascii="Cambria" w:hAnsi="Cambria"/>
          <w:i/>
          <w:sz w:val="20"/>
        </w:rPr>
        <w:t>BRCA1</w:t>
      </w:r>
    </w:p>
    <w:p>
      <w:pPr>
        <w:spacing w:line="276" w:lineRule="auto"/>
      </w:pPr>
      <w:r>
        <w:rPr>
          <w:rFonts w:ascii="Cambria" w:hAnsi="Cambria"/>
          <w:sz w:val="20"/>
        </w:rPr>
        <w:t xml:space="preserve">and </w:t>
      </w:r>
      <w:r>
        <w:rPr>
          <w:rFonts w:ascii="Cambria" w:hAnsi="Cambria"/>
          <w:i/>
          <w:sz w:val="20"/>
        </w:rPr>
        <w:t>BRC</w:t>
      </w:r>
      <w:r>
        <w:rPr>
          <w:rFonts w:ascii="Cambria" w:hAnsi="Cambria"/>
          <w:sz w:val="20"/>
        </w:rPr>
        <w:t xml:space="preserve">A 2 is 46% to 87%. Also, </w:t>
      </w:r>
      <w:r>
        <w:rPr>
          <w:rFonts w:ascii="Cambria" w:hAnsi="Cambria"/>
          <w:i/>
          <w:sz w:val="20"/>
        </w:rPr>
        <w:t>BRCA</w:t>
      </w:r>
      <w:r>
        <w:rPr>
          <w:rFonts w:ascii="Cambria" w:hAnsi="Cambria"/>
          <w:sz w:val="20"/>
        </w:rPr>
        <w:t xml:space="preserve"> germline pathogenic variants confer an excessive risk for ovarian cancer ranging</w:t>
      </w:r>
    </w:p>
    <w:p>
      <w:pPr>
        <w:spacing w:line="276" w:lineRule="auto"/>
      </w:pPr>
      <w:r>
        <w:rPr>
          <w:rFonts w:ascii="Cambria" w:hAnsi="Cambria"/>
          <w:sz w:val="20"/>
        </w:rPr>
        <w:t xml:space="preserve">from 16.5% to 63%. The lifetime risk of prostate cancer with germline pathogenic variants in </w:t>
      </w:r>
      <w:r>
        <w:rPr>
          <w:rFonts w:ascii="Cambria" w:hAnsi="Cambria"/>
          <w:i/>
          <w:sz w:val="20"/>
        </w:rPr>
        <w:t xml:space="preserve">BRCA </w:t>
      </w:r>
      <w:r>
        <w:rPr>
          <w:rFonts w:ascii="Cambria" w:hAnsi="Cambria"/>
          <w:sz w:val="20"/>
        </w:rPr>
        <w:t>genes ranges from 20-</w:t>
      </w:r>
    </w:p>
    <w:p>
      <w:pPr>
        <w:spacing w:line="276" w:lineRule="auto"/>
      </w:pPr>
      <w:r>
        <w:rPr>
          <w:rFonts w:ascii="Cambria" w:hAnsi="Cambria"/>
          <w:sz w:val="20"/>
        </w:rPr>
        <w:t>30%.</w:t>
      </w:r>
    </w:p>
    <w:p>
      <w:pPr>
        <w:spacing w:line="276" w:lineRule="auto"/>
      </w:pPr>
      <w:r>
        <w:rPr>
          <w:rFonts w:ascii="Cambria" w:hAnsi="Cambria"/>
          <w:sz w:val="20"/>
        </w:rPr>
        <w:t xml:space="preserve">Elevated Risk of other Cancers with </w:t>
      </w:r>
      <w:r>
        <w:rPr>
          <w:rFonts w:ascii="Cambria" w:hAnsi="Cambria"/>
          <w:i/>
          <w:sz w:val="20"/>
        </w:rPr>
        <w:t>BRCA</w:t>
      </w:r>
      <w:r>
        <w:rPr>
          <w:rFonts w:ascii="Cambria" w:hAnsi="Cambria"/>
          <w:sz w:val="20"/>
        </w:rPr>
        <w:t xml:space="preserve"> Mutations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 xml:space="preserve">Methodology: </w:t>
      </w:r>
      <w:r>
        <w:rPr>
          <w:rFonts w:ascii="Cambria" w:hAnsi="Cambria"/>
          <w:sz w:val="20"/>
        </w:rPr>
        <w:t xml:space="preserve">This panel tests for variations in the entire coding and certain intronic regions of </w:t>
      </w:r>
      <w:r>
        <w:rPr>
          <w:rFonts w:ascii="Cambria" w:hAnsi="Cambria"/>
          <w:b/>
          <w:i/>
          <w:sz w:val="20"/>
        </w:rPr>
        <w:t>BRCA1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sz w:val="20"/>
        </w:rPr>
        <w:t xml:space="preserve">and </w:t>
      </w:r>
      <w:r>
        <w:rPr>
          <w:rFonts w:ascii="Cambria" w:hAnsi="Cambria"/>
          <w:b/>
          <w:i/>
          <w:sz w:val="20"/>
        </w:rPr>
        <w:t>BRCA2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sz w:val="20"/>
        </w:rPr>
        <w:t>genes</w:t>
      </w:r>
    </w:p>
    <w:p>
      <w:pPr>
        <w:spacing w:line="276" w:lineRule="auto"/>
      </w:pPr>
      <w:r>
        <w:rPr>
          <w:rFonts w:ascii="Cambria" w:hAnsi="Cambria"/>
          <w:sz w:val="20"/>
        </w:rPr>
        <w:t xml:space="preserve">using </w:t>
      </w:r>
      <w:r>
        <w:rPr>
          <w:rFonts w:ascii="Cambria" w:hAnsi="Cambria"/>
          <w:b/>
          <w:sz w:val="20"/>
        </w:rPr>
        <w:t>Next Generation sequencing</w:t>
      </w:r>
      <w:r>
        <w:rPr>
          <w:rFonts w:ascii="Cambria" w:hAnsi="Cambria"/>
          <w:sz w:val="20"/>
        </w:rPr>
        <w:t xml:space="preserve">. This assay is used for identifying the </w:t>
      </w:r>
      <w:r>
        <w:rPr>
          <w:rFonts w:ascii="Cambria" w:hAnsi="Cambria"/>
          <w:b/>
          <w:sz w:val="20"/>
        </w:rPr>
        <w:t>SNVs</w:t>
      </w:r>
      <w:r>
        <w:rPr>
          <w:rFonts w:ascii="Cambria" w:hAnsi="Cambria"/>
          <w:sz w:val="20"/>
        </w:rPr>
        <w:t xml:space="preserve"> and </w:t>
      </w:r>
      <w:r>
        <w:rPr>
          <w:rFonts w:ascii="Cambria" w:hAnsi="Cambria"/>
          <w:b/>
          <w:sz w:val="20"/>
        </w:rPr>
        <w:t>InDels</w:t>
      </w:r>
      <w:r>
        <w:rPr>
          <w:rFonts w:ascii="Cambria" w:hAnsi="Cambria"/>
          <w:sz w:val="20"/>
        </w:rPr>
        <w:t xml:space="preserve"> in the exons of </w:t>
      </w:r>
      <w:r>
        <w:rPr>
          <w:rFonts w:ascii="Cambria" w:hAnsi="Cambria"/>
          <w:i/>
          <w:sz w:val="20"/>
        </w:rPr>
        <w:t>BRCA1</w:t>
      </w:r>
      <w:r>
        <w:rPr>
          <w:rFonts w:ascii="Cambria" w:hAnsi="Cambria"/>
          <w:sz w:val="20"/>
        </w:rPr>
        <w:t xml:space="preserve"> and</w:t>
      </w:r>
    </w:p>
    <w:p>
      <w:pPr>
        <w:spacing w:line="276" w:lineRule="auto"/>
      </w:pPr>
      <w:r>
        <w:rPr>
          <w:rFonts w:ascii="Cambria" w:hAnsi="Cambria"/>
          <w:i/>
          <w:sz w:val="20"/>
        </w:rPr>
        <w:t>BRCA2</w:t>
      </w:r>
      <w:r>
        <w:rPr>
          <w:rFonts w:ascii="Cambria" w:hAnsi="Cambria"/>
          <w:sz w:val="20"/>
        </w:rPr>
        <w:t xml:space="preserve"> genes. Average coverage of the targeted region obtained  was around 500X.Genomic DNA was isolated from blood</w:t>
      </w:r>
    </w:p>
    <w:p>
      <w:pPr>
        <w:spacing w:line="276" w:lineRule="auto"/>
      </w:pPr>
      <w:r>
        <w:rPr>
          <w:rFonts w:ascii="Cambria" w:hAnsi="Cambria"/>
          <w:sz w:val="20"/>
        </w:rPr>
        <w:t>sample using commercial kit according to manufacturer's instructions and the target regions of interest were amplified</w:t>
      </w:r>
    </w:p>
    <w:p>
      <w:pPr>
        <w:spacing w:line="276" w:lineRule="auto"/>
      </w:pPr>
      <w:r>
        <w:rPr>
          <w:rFonts w:ascii="Cambria" w:hAnsi="Cambria"/>
          <w:sz w:val="20"/>
        </w:rPr>
        <w:t>using the Ampliseq™ BRCA Panel. Library preparation was performed using the Ion AmpliSeq™ Library Kit Plus. The</w:t>
      </w:r>
    </w:p>
    <w:p>
      <w:pPr>
        <w:spacing w:line="276" w:lineRule="auto"/>
      </w:pPr>
      <w:r>
        <w:rPr>
          <w:rFonts w:ascii="Cambria" w:hAnsi="Cambria"/>
          <w:sz w:val="20"/>
        </w:rPr>
        <w:t>sequencing was performed on the GeneStudio S5plus. The FASTQ reads were aligned against the hg19 in the Torrent suite</w:t>
      </w:r>
    </w:p>
    <w:p>
      <w:pPr>
        <w:spacing w:line="276" w:lineRule="auto"/>
      </w:pPr>
      <w:r>
        <w:rPr>
          <w:rFonts w:ascii="Cambria" w:hAnsi="Cambria"/>
          <w:sz w:val="20"/>
        </w:rPr>
        <w:t>software (v5.18.2). Variant calling was done using Ion Reporter (v5.20.2.0). The variants were annotated using Custom</w:t>
      </w:r>
    </w:p>
    <w:p>
      <w:pPr>
        <w:spacing w:line="276" w:lineRule="auto"/>
      </w:pPr>
      <w:r>
        <w:rPr>
          <w:rFonts w:ascii="Cambria" w:hAnsi="Cambria"/>
          <w:sz w:val="20"/>
        </w:rPr>
        <w:t>Germline BRCA Assay Annotations v5.20 and ACMG guidelines was followed for variant classification.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Coverage of Genes included in this Assay:</w:t>
      </w:r>
    </w:p>
    <w:p>
      <w:pPr>
        <w:spacing w:line="276" w:lineRule="auto"/>
      </w:pPr>
      <w:r>
        <w:rPr>
          <w:rFonts w:ascii="Cambria" w:hAnsi="Cambria"/>
          <w:sz w:val="20"/>
        </w:rPr>
        <w:t xml:space="preserve"> </w:t>
      </w:r>
    </w:p>
    <w:p>
      <w:pPr>
        <w:spacing w:line="276" w:lineRule="auto"/>
      </w:pPr>
      <w:r>
        <w:rPr>
          <w:rFonts w:ascii="Cambria" w:hAnsi="Cambria"/>
          <w:sz w:val="20"/>
        </w:rPr>
        <w:t>Name</w:t>
      </w:r>
    </w:p>
    <w:p>
      <w:pPr>
        <w:spacing w:line="276" w:lineRule="auto"/>
      </w:pPr>
      <w:r>
        <w:rPr>
          <w:rFonts w:ascii="Cambria" w:hAnsi="Cambria"/>
          <w:sz w:val="20"/>
        </w:rPr>
        <w:t>: Ms.KAMALAKSHY.K.R</w:t>
      </w:r>
    </w:p>
    <w:p>
      <w:pPr>
        <w:spacing w:line="276" w:lineRule="auto"/>
      </w:pPr>
      <w:r>
        <w:rPr>
          <w:rFonts w:ascii="Cambria" w:hAnsi="Cambria"/>
          <w:sz w:val="20"/>
        </w:rPr>
        <w:t>Centre Details</w:t>
      </w:r>
    </w:p>
    <w:p>
      <w:pPr>
        <w:spacing w:line="276" w:lineRule="auto"/>
      </w:pPr>
      <w:r>
        <w:rPr>
          <w:rFonts w:ascii="Cambria" w:hAnsi="Cambria"/>
          <w:sz w:val="20"/>
        </w:rPr>
        <w:t>:DIA CARE LABS</w:t>
      </w:r>
    </w:p>
    <w:p>
      <w:pPr>
        <w:spacing w:line="276" w:lineRule="auto"/>
      </w:pPr>
      <w:r>
        <w:rPr>
          <w:rFonts w:ascii="Cambria" w:hAnsi="Cambria"/>
          <w:sz w:val="20"/>
        </w:rPr>
        <w:t>Age</w:t>
      </w:r>
    </w:p>
    <w:p>
      <w:pPr>
        <w:spacing w:line="276" w:lineRule="auto"/>
      </w:pPr>
      <w:r>
        <w:rPr>
          <w:rFonts w:ascii="Cambria" w:hAnsi="Cambria"/>
          <w:sz w:val="20"/>
        </w:rPr>
        <w:t>: 64 Yrs          Sex: Female</w:t>
      </w:r>
    </w:p>
    <w:p>
      <w:pPr>
        <w:spacing w:line="276" w:lineRule="auto"/>
      </w:pPr>
      <w:r>
        <w:rPr>
          <w:rFonts w:ascii="Cambria" w:hAnsi="Cambria"/>
          <w:sz w:val="20"/>
        </w:rPr>
        <w:t>Accession.ID</w:t>
      </w:r>
    </w:p>
    <w:p>
      <w:pPr>
        <w:spacing w:line="276" w:lineRule="auto"/>
      </w:pPr>
      <w:r>
        <w:rPr>
          <w:rFonts w:ascii="Cambria" w:hAnsi="Cambria"/>
          <w:sz w:val="20"/>
        </w:rPr>
        <w:t>:OQG2607010046</w:t>
      </w:r>
    </w:p>
    <w:p>
      <w:pPr>
        <w:spacing w:line="276" w:lineRule="auto"/>
      </w:pPr>
      <w:r>
        <w:rPr>
          <w:rFonts w:ascii="Cambria" w:hAnsi="Cambria"/>
          <w:sz w:val="20"/>
        </w:rPr>
        <w:t>Collection Date</w:t>
      </w:r>
    </w:p>
    <w:p>
      <w:pPr>
        <w:spacing w:line="276" w:lineRule="auto"/>
      </w:pPr>
      <w:r>
        <w:rPr>
          <w:rFonts w:ascii="Cambria" w:hAnsi="Cambria"/>
          <w:sz w:val="20"/>
        </w:rPr>
        <w:t>: 29/Jun/2026 11:00AM</w:t>
      </w:r>
    </w:p>
    <w:p>
      <w:pPr>
        <w:spacing w:line="276" w:lineRule="auto"/>
      </w:pPr>
      <w:r>
        <w:rPr>
          <w:rFonts w:ascii="Cambria" w:hAnsi="Cambria"/>
          <w:sz w:val="20"/>
        </w:rPr>
        <w:t>Referred By</w:t>
      </w:r>
    </w:p>
    <w:p>
      <w:pPr>
        <w:spacing w:line="276" w:lineRule="auto"/>
      </w:pPr>
      <w:r>
        <w:rPr>
          <w:rFonts w:ascii="Cambria" w:hAnsi="Cambria"/>
          <w:sz w:val="20"/>
        </w:rPr>
        <w:t>:DR MITHUN CHACKO JOHN</w:t>
      </w:r>
    </w:p>
    <w:p>
      <w:pPr>
        <w:spacing w:line="276" w:lineRule="auto"/>
      </w:pPr>
      <w:r>
        <w:rPr>
          <w:rFonts w:ascii="Cambria" w:hAnsi="Cambria"/>
          <w:sz w:val="20"/>
        </w:rPr>
        <w:t>Received Date</w:t>
      </w:r>
    </w:p>
    <w:p>
      <w:pPr>
        <w:spacing w:line="276" w:lineRule="auto"/>
      </w:pPr>
      <w:r>
        <w:rPr>
          <w:rFonts w:ascii="Cambria" w:hAnsi="Cambria"/>
          <w:sz w:val="20"/>
        </w:rPr>
        <w:t>: 01/Jul/2026 08:28AM</w:t>
      </w:r>
    </w:p>
    <w:p>
      <w:pPr>
        <w:spacing w:line="276" w:lineRule="auto"/>
      </w:pPr>
      <w:r>
        <w:rPr>
          <w:rFonts w:ascii="Cambria" w:hAnsi="Cambria"/>
          <w:sz w:val="20"/>
        </w:rPr>
        <w:t>Report Date</w:t>
      </w:r>
    </w:p>
    <w:p>
      <w:pPr>
        <w:spacing w:line="276" w:lineRule="auto"/>
      </w:pPr>
      <w:r>
        <w:rPr>
          <w:rFonts w:ascii="Cambria" w:hAnsi="Cambria"/>
          <w:sz w:val="20"/>
        </w:rPr>
        <w:t>:11/Jul/2026 02:11PM</w:t>
      </w:r>
    </w:p>
    <w:p>
      <w:pPr>
        <w:spacing w:line="276" w:lineRule="auto"/>
      </w:pPr>
      <w:r>
        <w:rPr>
          <w:rFonts w:ascii="Cambria" w:hAnsi="Cambria"/>
          <w:sz w:val="20"/>
        </w:rPr>
        <w:t>Registration Date</w:t>
      </w:r>
    </w:p>
    <w:p>
      <w:pPr>
        <w:spacing w:line="276" w:lineRule="auto"/>
      </w:pPr>
      <w:r>
        <w:rPr>
          <w:rFonts w:ascii="Cambria" w:hAnsi="Cambria"/>
          <w:sz w:val="20"/>
        </w:rPr>
        <w:t>: 01/Jul/2026 08:28AM</w:t>
      </w:r>
    </w:p>
    <w:p>
      <w:pPr>
        <w:spacing w:line="276" w:lineRule="auto"/>
      </w:pPr>
      <w:r>
        <w:rPr>
          <w:rFonts w:ascii="Cambria" w:hAnsi="Cambria"/>
          <w:sz w:val="20"/>
        </w:rPr>
        <w:t>Ref.No/TRF.No</w:t>
      </w:r>
    </w:p>
    <w:p>
      <w:pPr>
        <w:spacing w:line="276" w:lineRule="auto"/>
      </w:pPr>
      <w:r>
        <w:rPr>
          <w:rFonts w:ascii="Cambria" w:hAnsi="Cambria"/>
          <w:sz w:val="20"/>
        </w:rPr>
        <w:t>: /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DEPARTMENT OF MOLECULAR DIAGNOSTICS-II</w:t>
      </w:r>
    </w:p>
    <w:p>
      <w:pPr>
        <w:spacing w:line="276" w:lineRule="auto"/>
      </w:pPr>
      <w:r>
        <w:rPr>
          <w:rFonts w:ascii="Cambria" w:hAnsi="Cambria"/>
          <w:sz w:val="20"/>
        </w:rPr>
        <w:t>Verify this report by scanning the QR code on top. In case of any discrepancy please report to 01246650000</w:t>
      </w:r>
    </w:p>
    <w:p>
      <w:pPr>
        <w:spacing w:line="276" w:lineRule="auto"/>
      </w:pPr>
      <w:r>
        <w:rPr>
          <w:rFonts w:ascii="Cambria" w:hAnsi="Cambria"/>
          <w:sz w:val="20"/>
        </w:rPr>
        <w:t>The sample is processed through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b/>
          <w:sz w:val="20"/>
        </w:rPr>
        <w:t>Oncquest Laboratories Ltd.;  A-17 Infocity, Sector-34, Gurugram</w:t>
      </w:r>
    </w:p>
    <w:p>
      <w:pPr>
        <w:spacing w:line="276" w:lineRule="auto"/>
      </w:pPr>
      <w:r>
        <w:rPr>
          <w:rFonts w:ascii="Cambria" w:hAnsi="Cambria"/>
          <w:sz w:val="20"/>
        </w:rPr>
        <w:t>Page 2 of 3</w:t>
      </w:r>
    </w:p>
    <w:p>
      <w:pPr>
        <w:jc w:val="center"/>
      </w:pPr>
      <w:r>
        <w:rPr>
          <w:rFonts w:ascii="Cambria" w:hAnsi="Cambria"/>
          <w:b/>
          <w:color w:val="94A3B8"/>
          <w:sz w:val="20"/>
        </w:rPr>
        <w:t>--- Page 3 ---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Type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Name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Covered (%)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CDS only</w:t>
      </w:r>
      <w:r>
        <w:rPr>
          <w:rFonts w:ascii="Cambria" w:hAnsi="Cambria"/>
          <w:b/>
          <w:i/>
          <w:sz w:val="20"/>
        </w:rPr>
        <w:t xml:space="preserve"> BRCA1</w:t>
      </w:r>
      <w:r>
        <w:rPr>
          <w:rFonts w:ascii="Cambria" w:hAnsi="Cambria"/>
          <w:b/>
          <w:sz w:val="20"/>
        </w:rPr>
        <w:t xml:space="preserve"> 100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CDS only</w:t>
      </w:r>
      <w:r>
        <w:rPr>
          <w:rFonts w:ascii="Cambria" w:hAnsi="Cambria"/>
          <w:b/>
          <w:i/>
          <w:sz w:val="20"/>
        </w:rPr>
        <w:t xml:space="preserve"> BRCA2</w:t>
      </w:r>
      <w:r>
        <w:rPr>
          <w:rFonts w:ascii="Cambria" w:hAnsi="Cambria"/>
          <w:b/>
          <w:sz w:val="20"/>
        </w:rPr>
        <w:t xml:space="preserve"> 99.7</w:t>
      </w:r>
    </w:p>
    <w:p>
      <w:pPr>
        <w:spacing w:line="276" w:lineRule="auto"/>
      </w:pPr>
      <w:r>
        <w:rPr>
          <w:rFonts w:ascii="Cambria" w:hAnsi="Cambria"/>
          <w:sz w:val="20"/>
        </w:rPr>
        <w:t xml:space="preserve"> 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 xml:space="preserve">Database versions used: </w:t>
      </w:r>
      <w:r>
        <w:rPr>
          <w:rFonts w:ascii="Cambria" w:hAnsi="Cambria"/>
          <w:sz w:val="20"/>
        </w:rPr>
        <w:t>5000Exomes (Source Version:20161108), Canonical RefSeq Transcripts(Source Version:v201)</w:t>
      </w:r>
    </w:p>
    <w:p>
      <w:pPr>
        <w:spacing w:line="276" w:lineRule="auto"/>
      </w:pPr>
      <w:r>
        <w:rPr>
          <w:rFonts w:ascii="Cambria" w:hAnsi="Cambria"/>
          <w:sz w:val="20"/>
        </w:rPr>
        <w:t>ClinVar(Source Version:20220709), Cosmic(Version 94) dbSNP(Source Version:155), DGV(Source Version:20200225</w:t>
      </w:r>
    </w:p>
    <w:p>
      <w:pPr>
        <w:spacing w:line="276" w:lineRule="auto"/>
      </w:pPr>
      <w:r>
        <w:rPr>
          <w:rFonts w:ascii="Cambria" w:hAnsi="Cambria"/>
          <w:sz w:val="20"/>
        </w:rPr>
        <w:t>DrugBank(Source Version:20210727), ExAC(Source Version:1), Gene Ontology(Source Version:20210830), Name</w:t>
      </w:r>
    </w:p>
    <w:p>
      <w:pPr>
        <w:spacing w:line="276" w:lineRule="auto"/>
      </w:pPr>
      <w:r>
        <w:rPr>
          <w:rFonts w:ascii="Cambria" w:hAnsi="Cambria"/>
          <w:sz w:val="20"/>
        </w:rPr>
        <w:t>Variants(Source Version:1), Pfam(Source Version:34), PhyloP Scores(Source Version:20160919), RefSeq Gene Func ona</w:t>
      </w:r>
    </w:p>
    <w:p>
      <w:pPr>
        <w:spacing w:line="276" w:lineRule="auto"/>
      </w:pPr>
      <w:r>
        <w:rPr>
          <w:rFonts w:ascii="Cambria" w:hAnsi="Cambria"/>
          <w:sz w:val="20"/>
        </w:rPr>
        <w:t>Canonical Transcripts Scores(Source Version:14), RefSeq GeneModel(Source Version:201)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Limitation and Disclaimer</w:t>
      </w:r>
    </w:p>
    <w:p>
      <w:pPr>
        <w:spacing w:line="276" w:lineRule="auto"/>
      </w:pPr>
      <w:r>
        <w:rPr>
          <w:rFonts w:ascii="Cambria" w:hAnsi="Cambria"/>
          <w:sz w:val="20"/>
        </w:rPr>
        <w:t>Clinical decision regarding care and treatment of customers should not be solely based on this Test. Treatment decisions</w:t>
      </w:r>
    </w:p>
    <w:p>
      <w:pPr>
        <w:spacing w:line="276" w:lineRule="auto"/>
      </w:pPr>
      <w:r>
        <w:rPr>
          <w:rFonts w:ascii="Cambria" w:hAnsi="Cambria"/>
          <w:sz w:val="20"/>
        </w:rPr>
        <w:t>are the responsibility of the Clinician/ Hospital. All inves ga ons have their limita on which is imposed by the limits of</w:t>
      </w:r>
    </w:p>
    <w:p>
      <w:pPr>
        <w:spacing w:line="276" w:lineRule="auto"/>
      </w:pPr>
      <w:r>
        <w:rPr>
          <w:rFonts w:ascii="Cambria" w:hAnsi="Cambria"/>
          <w:sz w:val="20"/>
        </w:rPr>
        <w:t>sensi vity and speciﬁcity of individual assay procedures as well as the quality of the specimen received at Oncquest</w:t>
      </w:r>
    </w:p>
    <w:p>
      <w:pPr>
        <w:spacing w:line="276" w:lineRule="auto"/>
      </w:pPr>
      <w:r>
        <w:rPr>
          <w:rFonts w:ascii="Cambria" w:hAnsi="Cambria"/>
          <w:sz w:val="20"/>
        </w:rPr>
        <w:t xml:space="preserve">Laboratories Ltd. Muta ons in the other regions of the </w:t>
      </w:r>
      <w:r>
        <w:rPr>
          <w:rFonts w:ascii="Cambria" w:hAnsi="Cambria"/>
          <w:i/>
          <w:sz w:val="20"/>
        </w:rPr>
        <w:t>BRCA1/BRCA2</w:t>
      </w:r>
      <w:r>
        <w:rPr>
          <w:rFonts w:ascii="Cambria" w:hAnsi="Cambria"/>
          <w:sz w:val="20"/>
        </w:rPr>
        <w:t xml:space="preserve"> gene like deep intronic regions are not covered.</w:t>
      </w:r>
    </w:p>
    <w:p>
      <w:pPr>
        <w:spacing w:line="276" w:lineRule="auto"/>
      </w:pPr>
      <w:r>
        <w:rPr>
          <w:rFonts w:ascii="Cambria" w:hAnsi="Cambria"/>
          <w:sz w:val="20"/>
        </w:rPr>
        <w:t>Large inser ons, dele ons, duplica ons, inversions, repeat expansions and complex rearrangements cannot be</w:t>
      </w:r>
    </w:p>
    <w:p>
      <w:pPr>
        <w:spacing w:line="276" w:lineRule="auto"/>
      </w:pPr>
      <w:r>
        <w:rPr>
          <w:rFonts w:ascii="Cambria" w:hAnsi="Cambria"/>
          <w:sz w:val="20"/>
        </w:rPr>
        <w:t>characterized accurately by NGS as it uses shortread sequencing data. Such structural variants have a much higher false-</w:t>
      </w:r>
    </w:p>
    <w:p>
      <w:pPr>
        <w:spacing w:line="276" w:lineRule="auto"/>
      </w:pPr>
      <w:r>
        <w:rPr>
          <w:rFonts w:ascii="Cambria" w:hAnsi="Cambria"/>
          <w:sz w:val="20"/>
        </w:rPr>
        <w:t>posi ve and false‐nega ve rate than seen for SNVs (single nucleo de variant). In case of germline mosaicism, there is a</w:t>
      </w:r>
    </w:p>
    <w:p>
      <w:pPr>
        <w:spacing w:line="276" w:lineRule="auto"/>
      </w:pPr>
      <w:r>
        <w:rPr>
          <w:rFonts w:ascii="Cambria" w:hAnsi="Cambria"/>
          <w:sz w:val="20"/>
        </w:rPr>
        <w:t>risk of the disease recurrence in the family. However, due to technical limitation of this test, germline mosaicism cannot be</w:t>
      </w:r>
    </w:p>
    <w:p>
      <w:pPr>
        <w:spacing w:line="276" w:lineRule="auto"/>
      </w:pPr>
      <w:r>
        <w:rPr>
          <w:rFonts w:ascii="Cambria" w:hAnsi="Cambria"/>
          <w:sz w:val="20"/>
        </w:rPr>
        <w:t>determined by this test. Addi onally, it is possible that a par cular gene c abnormality may not be recognized as the</w:t>
      </w:r>
    </w:p>
    <w:p>
      <w:pPr>
        <w:spacing w:line="276" w:lineRule="auto"/>
      </w:pPr>
      <w:r>
        <w:rPr>
          <w:rFonts w:ascii="Cambria" w:hAnsi="Cambria"/>
          <w:sz w:val="20"/>
        </w:rPr>
        <w:t>underlying cause of the gene c disorder due to incomplete scien ﬁc knowledge about the func on of all genes in the</w:t>
      </w:r>
    </w:p>
    <w:p>
      <w:pPr>
        <w:spacing w:line="276" w:lineRule="auto"/>
      </w:pPr>
      <w:r>
        <w:rPr>
          <w:rFonts w:ascii="Cambria" w:hAnsi="Cambria"/>
          <w:sz w:val="20"/>
        </w:rPr>
        <w:t>human genome and the impact of variants on those genes. Not all varia ons detected may be listed in the report. Inclusion</w:t>
      </w:r>
    </w:p>
    <w:p>
      <w:pPr>
        <w:spacing w:line="276" w:lineRule="auto"/>
      </w:pPr>
      <w:r>
        <w:rPr>
          <w:rFonts w:ascii="Cambria" w:hAnsi="Cambria"/>
          <w:sz w:val="20"/>
        </w:rPr>
        <w:t>of variations is dependent upon our assessment of their significance.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References</w:t>
      </w:r>
    </w:p>
    <w:p>
      <w:pPr>
        <w:spacing w:line="276" w:lineRule="auto"/>
      </w:pPr>
      <w:r>
        <w:rPr>
          <w:rFonts w:ascii="Cambria" w:hAnsi="Cambria"/>
          <w:sz w:val="20"/>
        </w:rPr>
        <w:t>1. Richards S et al. 2015. Standards and guidelines for the interpretation of sequence variants: a joint consensus</w:t>
      </w:r>
    </w:p>
    <w:p>
      <w:pPr>
        <w:spacing w:line="276" w:lineRule="auto"/>
      </w:pPr>
      <w:r>
        <w:rPr>
          <w:rFonts w:ascii="Cambria" w:hAnsi="Cambria"/>
          <w:sz w:val="20"/>
        </w:rPr>
        <w:t>recommendation of the American College of Medical Genetics and Genomics and the Association for Molecular</w:t>
      </w:r>
    </w:p>
    <w:p>
      <w:pPr>
        <w:spacing w:line="276" w:lineRule="auto"/>
      </w:pPr>
      <w:r>
        <w:rPr>
          <w:rFonts w:ascii="Cambria" w:hAnsi="Cambria"/>
          <w:sz w:val="20"/>
        </w:rPr>
        <w:t>Pathology. Genet Med 17 (5):405-424 [PMID:25741868]</w:t>
      </w:r>
    </w:p>
    <w:p>
      <w:pPr>
        <w:spacing w:line="276" w:lineRule="auto"/>
      </w:pPr>
      <w:r>
        <w:rPr>
          <w:rFonts w:ascii="Cambria" w:hAnsi="Cambria"/>
          <w:i/>
          <w:sz w:val="20"/>
        </w:rPr>
        <w:t>Note: The performance of this test has been evaluated at Oncquest Laboratories Ltd.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*** End Of Report ***</w:t>
      </w:r>
    </w:p>
    <w:p>
      <w:pPr>
        <w:spacing w:line="276" w:lineRule="auto"/>
      </w:pPr>
      <w:r>
        <w:rPr>
          <w:rFonts w:ascii="Cambria" w:hAnsi="Cambria"/>
          <w:sz w:val="20"/>
        </w:rPr>
        <w:t>Disclaimer: All Results released pertain to the specimen submitted to the lab</w:t>
      </w:r>
    </w:p>
    <w:p>
      <w:pPr>
        <w:spacing w:line="276" w:lineRule="auto"/>
      </w:pPr>
      <w:r>
        <w:rPr>
          <w:rFonts w:ascii="Cambria" w:hAnsi="Cambria"/>
          <w:sz w:val="20"/>
        </w:rPr>
        <w:t>1. Test results are dependent on the quality of the sample received by the lab</w:t>
      </w:r>
    </w:p>
    <w:p>
      <w:pPr>
        <w:spacing w:line="276" w:lineRule="auto"/>
      </w:pPr>
      <w:r>
        <w:rPr>
          <w:rFonts w:ascii="Cambria" w:hAnsi="Cambria"/>
          <w:sz w:val="20"/>
        </w:rPr>
        <w:t>2. Tests are performed as per schedule given in the test listing and in any unforeseen circumstances, report delivery may be delayed</w:t>
      </w:r>
    </w:p>
    <w:p>
      <w:pPr>
        <w:spacing w:line="276" w:lineRule="auto"/>
      </w:pPr>
      <w:r>
        <w:rPr>
          <w:rFonts w:ascii="Cambria" w:hAnsi="Cambria"/>
          <w:sz w:val="20"/>
        </w:rPr>
        <w:t>3. Test results may show interlaboratory variations</w:t>
      </w:r>
    </w:p>
    <w:p>
      <w:pPr>
        <w:spacing w:line="276" w:lineRule="auto"/>
      </w:pPr>
      <w:r>
        <w:rPr>
          <w:rFonts w:ascii="Cambria" w:hAnsi="Cambria"/>
          <w:sz w:val="20"/>
        </w:rPr>
        <w:t>4. All dispute and claims are subjected to local jurisdiction only. Clinical correlation advised.</w:t>
      </w:r>
    </w:p>
    <w:p>
      <w:pPr>
        <w:spacing w:line="276" w:lineRule="auto"/>
      </w:pPr>
      <w:r>
        <w:rPr>
          <w:rFonts w:ascii="Cambria" w:hAnsi="Cambria"/>
          <w:sz w:val="20"/>
        </w:rPr>
        <w:t>5. Test results are not valid for medico legal purposes</w:t>
      </w:r>
    </w:p>
    <w:p>
      <w:pPr>
        <w:spacing w:line="276" w:lineRule="auto"/>
      </w:pPr>
      <w:r>
        <w:rPr>
          <w:rFonts w:ascii="Cambria" w:hAnsi="Cambria"/>
          <w:sz w:val="20"/>
        </w:rPr>
        <w:t>6. For all queries, feedbacks, suggestions, and complaints, please contact customer care support +0124 665 0000</w:t>
      </w:r>
    </w:p>
    <w:p>
      <w:pPr>
        <w:spacing w:line="276" w:lineRule="auto"/>
      </w:pPr>
      <w:r>
        <w:rPr>
          <w:rFonts w:ascii="Cambria" w:hAnsi="Cambria"/>
          <w:sz w:val="20"/>
        </w:rPr>
        <w:t>Name</w:t>
      </w:r>
    </w:p>
    <w:p>
      <w:pPr>
        <w:spacing w:line="276" w:lineRule="auto"/>
      </w:pPr>
      <w:r>
        <w:rPr>
          <w:rFonts w:ascii="Cambria" w:hAnsi="Cambria"/>
          <w:sz w:val="20"/>
        </w:rPr>
        <w:t>: Ms.KAMALAKSHY.K.R</w:t>
      </w:r>
    </w:p>
    <w:p>
      <w:pPr>
        <w:spacing w:line="276" w:lineRule="auto"/>
      </w:pPr>
      <w:r>
        <w:rPr>
          <w:rFonts w:ascii="Cambria" w:hAnsi="Cambria"/>
          <w:sz w:val="20"/>
        </w:rPr>
        <w:t>Centre Details</w:t>
      </w:r>
    </w:p>
    <w:p>
      <w:pPr>
        <w:spacing w:line="276" w:lineRule="auto"/>
      </w:pPr>
      <w:r>
        <w:rPr>
          <w:rFonts w:ascii="Cambria" w:hAnsi="Cambria"/>
          <w:sz w:val="20"/>
        </w:rPr>
        <w:t>:DIA CARE LABS</w:t>
      </w:r>
    </w:p>
    <w:p>
      <w:pPr>
        <w:spacing w:line="276" w:lineRule="auto"/>
      </w:pPr>
      <w:r>
        <w:rPr>
          <w:rFonts w:ascii="Cambria" w:hAnsi="Cambria"/>
          <w:sz w:val="20"/>
        </w:rPr>
        <w:t>Age</w:t>
      </w:r>
    </w:p>
    <w:p>
      <w:pPr>
        <w:spacing w:line="276" w:lineRule="auto"/>
      </w:pPr>
      <w:r>
        <w:rPr>
          <w:rFonts w:ascii="Cambria" w:hAnsi="Cambria"/>
          <w:sz w:val="20"/>
        </w:rPr>
        <w:t>: 64 Yrs          Sex: Female</w:t>
      </w:r>
    </w:p>
    <w:p>
      <w:pPr>
        <w:spacing w:line="276" w:lineRule="auto"/>
      </w:pPr>
      <w:r>
        <w:rPr>
          <w:rFonts w:ascii="Cambria" w:hAnsi="Cambria"/>
          <w:sz w:val="20"/>
        </w:rPr>
        <w:t>Accession.ID</w:t>
      </w:r>
    </w:p>
    <w:p>
      <w:pPr>
        <w:spacing w:line="276" w:lineRule="auto"/>
      </w:pPr>
      <w:r>
        <w:rPr>
          <w:rFonts w:ascii="Cambria" w:hAnsi="Cambria"/>
          <w:sz w:val="20"/>
        </w:rPr>
        <w:t>:OQG2607010046</w:t>
      </w:r>
    </w:p>
    <w:p>
      <w:pPr>
        <w:spacing w:line="276" w:lineRule="auto"/>
      </w:pPr>
      <w:r>
        <w:rPr>
          <w:rFonts w:ascii="Cambria" w:hAnsi="Cambria"/>
          <w:sz w:val="20"/>
        </w:rPr>
        <w:t>Collection Date</w:t>
      </w:r>
    </w:p>
    <w:p>
      <w:pPr>
        <w:spacing w:line="276" w:lineRule="auto"/>
      </w:pPr>
      <w:r>
        <w:rPr>
          <w:rFonts w:ascii="Cambria" w:hAnsi="Cambria"/>
          <w:sz w:val="20"/>
        </w:rPr>
        <w:t>: 29/Jun/2026 11:00AM</w:t>
      </w:r>
    </w:p>
    <w:p>
      <w:pPr>
        <w:spacing w:line="276" w:lineRule="auto"/>
      </w:pPr>
      <w:r>
        <w:rPr>
          <w:rFonts w:ascii="Cambria" w:hAnsi="Cambria"/>
          <w:sz w:val="20"/>
        </w:rPr>
        <w:t>Referred By</w:t>
      </w:r>
    </w:p>
    <w:p>
      <w:pPr>
        <w:spacing w:line="276" w:lineRule="auto"/>
      </w:pPr>
      <w:r>
        <w:rPr>
          <w:rFonts w:ascii="Cambria" w:hAnsi="Cambria"/>
          <w:sz w:val="20"/>
        </w:rPr>
        <w:t>:DR MITHUN CHACKO JOHN</w:t>
      </w:r>
    </w:p>
    <w:p>
      <w:pPr>
        <w:spacing w:line="276" w:lineRule="auto"/>
      </w:pPr>
      <w:r>
        <w:rPr>
          <w:rFonts w:ascii="Cambria" w:hAnsi="Cambria"/>
          <w:sz w:val="20"/>
        </w:rPr>
        <w:t>Received Date</w:t>
      </w:r>
    </w:p>
    <w:p>
      <w:pPr>
        <w:spacing w:line="276" w:lineRule="auto"/>
      </w:pPr>
      <w:r>
        <w:rPr>
          <w:rFonts w:ascii="Cambria" w:hAnsi="Cambria"/>
          <w:sz w:val="20"/>
        </w:rPr>
        <w:t>: 01/Jul/2026 08:28AM</w:t>
      </w:r>
    </w:p>
    <w:p>
      <w:pPr>
        <w:spacing w:line="276" w:lineRule="auto"/>
      </w:pPr>
      <w:r>
        <w:rPr>
          <w:rFonts w:ascii="Cambria" w:hAnsi="Cambria"/>
          <w:sz w:val="20"/>
        </w:rPr>
        <w:t>Report Date</w:t>
      </w:r>
    </w:p>
    <w:p>
      <w:pPr>
        <w:spacing w:line="276" w:lineRule="auto"/>
      </w:pPr>
      <w:r>
        <w:rPr>
          <w:rFonts w:ascii="Cambria" w:hAnsi="Cambria"/>
          <w:sz w:val="20"/>
        </w:rPr>
        <w:t>:11/Jul/2026 02:11PM</w:t>
      </w:r>
    </w:p>
    <w:p>
      <w:pPr>
        <w:spacing w:line="276" w:lineRule="auto"/>
      </w:pPr>
      <w:r>
        <w:rPr>
          <w:rFonts w:ascii="Cambria" w:hAnsi="Cambria"/>
          <w:sz w:val="20"/>
        </w:rPr>
        <w:t>Registration Date</w:t>
      </w:r>
    </w:p>
    <w:p>
      <w:pPr>
        <w:spacing w:line="276" w:lineRule="auto"/>
      </w:pPr>
      <w:r>
        <w:rPr>
          <w:rFonts w:ascii="Cambria" w:hAnsi="Cambria"/>
          <w:sz w:val="20"/>
        </w:rPr>
        <w:t>: 01/Jul/2026 08:28AM</w:t>
      </w:r>
    </w:p>
    <w:p>
      <w:pPr>
        <w:spacing w:line="276" w:lineRule="auto"/>
      </w:pPr>
      <w:r>
        <w:rPr>
          <w:rFonts w:ascii="Cambria" w:hAnsi="Cambria"/>
          <w:sz w:val="20"/>
        </w:rPr>
        <w:t>Ref.No/TRF.No</w:t>
      </w:r>
    </w:p>
    <w:p>
      <w:pPr>
        <w:spacing w:line="276" w:lineRule="auto"/>
      </w:pPr>
      <w:r>
        <w:rPr>
          <w:rFonts w:ascii="Cambria" w:hAnsi="Cambria"/>
          <w:sz w:val="20"/>
        </w:rPr>
        <w:t>: /</w:t>
      </w:r>
    </w:p>
    <w:p>
      <w:pPr>
        <w:spacing w:line="276" w:lineRule="auto"/>
      </w:pPr>
      <w:r>
        <w:rPr>
          <w:rFonts w:ascii="Cambria" w:hAnsi="Cambria"/>
          <w:b/>
          <w:sz w:val="20"/>
        </w:rPr>
        <w:t>DEPARTMENT OF MOLECULAR DIAGNOSTICS-II</w:t>
      </w:r>
    </w:p>
    <w:p>
      <w:pPr>
        <w:spacing w:line="276" w:lineRule="auto"/>
      </w:pPr>
      <w:r>
        <w:rPr>
          <w:rFonts w:ascii="Cambria" w:hAnsi="Cambria"/>
          <w:sz w:val="20"/>
        </w:rPr>
        <w:t>Verify this report by scanning the QR code on top. In case of any discrepancy please report to 01246650000</w:t>
      </w:r>
    </w:p>
    <w:p>
      <w:pPr>
        <w:spacing w:line="276" w:lineRule="auto"/>
      </w:pPr>
      <w:r>
        <w:rPr>
          <w:rFonts w:ascii="Cambria" w:hAnsi="Cambria"/>
          <w:sz w:val="20"/>
        </w:rPr>
        <w:t>The sample is processed through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b/>
          <w:sz w:val="20"/>
        </w:rPr>
        <w:t>Oncquest Laboratories Ltd.;  A-17 Infocity, Sector-34, Gurugram</w:t>
      </w:r>
    </w:p>
    <w:p>
      <w:pPr>
        <w:spacing w:line="276" w:lineRule="auto"/>
      </w:pPr>
      <w:r>
        <w:rPr>
          <w:rFonts w:ascii="Cambria" w:hAnsi="Cambria"/>
          <w:sz w:val="20"/>
        </w:rPr>
        <w:t>Page 3 of 3</w:t>
      </w:r>
    </w:p>
    <w:p>
      <w:pPr>
        <w:jc w:val="center"/>
      </w:pPr>
      <w:r>
        <w:rPr>
          <w:rFonts w:ascii="Cambria" w:hAnsi="Cambria"/>
          <w:i/>
          <w:color w:val="94A3B8"/>
          <w:sz w:val="19"/>
        </w:rPr>
        <w:br/>
        <w:t>------------------ End Of Report ------------------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</w:tr>
      <w:tr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Prepared / Verified By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Reviewing Officer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Authorized Signatory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