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60"/>
        <w:shd w:val="clear" w:color="auto" w:fill="404040"/>
      </w:pPr>
      <w:r>
        <w:rPr>
          <w:rFonts w:ascii="Cambria" w:hAnsi="Cambria"/>
          <w:b/>
          <w:color w:val="FFFFFF"/>
          <w:sz w:val="26"/>
        </w:rPr>
        <w:t>SMO10723</w:t>
      </w:r>
    </w:p>
    <w:p>
      <w:pPr>
        <w:keepNext/>
        <w:spacing w:before="120" w:after="60"/>
        <w:shd w:val="clear" w:color="auto" w:fill="1f497d"/>
      </w:pPr>
      <w:r>
        <w:rPr>
          <w:rFonts w:ascii="Cambria" w:hAnsi="Cambria"/>
          <w:b/>
          <w:color w:val="FFFFFF"/>
          <w:sz w:val="22"/>
        </w:rPr>
        <w:t>DETAILS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4320"/>
        <w:gridCol w:w="4320"/>
      </w:tblGrid>
      <w:tr>
        <w:trPr>
          <w:cantSplit w:val="true"/>
        </w:trP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b/>
                <w:color w:val="1F497D"/>
                <w:sz w:val="20"/>
              </w:rPr>
              <w:t>Gain-of-Function Tier I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A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b/>
                <w:color w:val="1F497D"/>
                <w:sz w:val="20"/>
              </w:rPr>
              <w:t>TABLE 2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NON DRUGGABLE / DRUGGABLE ALTERATIONS WITH POTENTIAL CLINICAL AND THERAPEUTIC SIGNIFICANCE IN OTHER TUMOR TYPES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b/>
                <w:color w:val="1F497D"/>
                <w:sz w:val="20"/>
              </w:rPr>
              <w:t>TABLE 3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VARIANTS OF UNKNOWN SIGNIFICANCE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b/>
                <w:color w:val="1F497D"/>
                <w:sz w:val="20"/>
              </w:rPr>
              <w:t>Sample Cancer Type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Colon Cancer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b/>
                <w:color w:val="1F497D"/>
                <w:sz w:val="20"/>
              </w:rPr>
              <w:t>Allele Frequency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16.72%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b/>
                <w:color w:val="1F497D"/>
                <w:sz w:val="20"/>
              </w:rPr>
              <w:t>Ras oncogenes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split personalities. Nat. Rev. Mol. Cell Biol. 2008 Jul;9(7)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b/>
                <w:color w:val="1F497D"/>
                <w:sz w:val="20"/>
              </w:rPr>
              <w:t>PMID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2199829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b/>
                <w:color w:val="1F497D"/>
                <w:sz w:val="20"/>
              </w:rPr>
              <w:t>doi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10.1186/s12943-018-0789-x. PMID</w:t>
            </w:r>
          </w:p>
        </w:tc>
      </w:tr>
      <w:tr>
        <w:trPr>
          <w:cantSplit w:val="true"/>
        </w:trPr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b/>
                <w:color w:val="1F497D"/>
                <w:sz w:val="20"/>
              </w:rPr>
              <w:t>The cBio cancer genomics portal</w:t>
            </w:r>
          </w:p>
        </w:tc>
        <w:tc>
          <w:tcPr>
            <w:tcW w:type="dxa" w:w="43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an open platform for exploring multidimensional cancer genomics data. Cancer Discov. 2012 May;2(5)</w:t>
            </w:r>
          </w:p>
        </w:tc>
      </w:tr>
    </w:tbl>
    <w:p>
      <w:pPr>
        <w:spacing w:after="40"/>
      </w:pPr>
    </w:p>
    <w:p>
      <w:pPr>
        <w:keepNext/>
        <w:spacing w:before="120" w:after="60"/>
        <w:shd w:val="clear" w:color="auto" w:fill="1f497d"/>
      </w:pPr>
      <w:r>
        <w:rPr>
          <w:rFonts w:ascii="Cambria" w:hAnsi="Cambria"/>
          <w:b/>
          <w:color w:val="FFFFFF"/>
          <w:sz w:val="22"/>
        </w:rPr>
        <w:t>patient tumor type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KRAS c.35G&gt;T p.Gly12Val/ Exon 2 1537x/ 16.72% Gain-of-Function Tier I:A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TABLE 2: NON DRUGGABLE / DRUGGABLE ALTERATIONS WITH POTENTIAL CLINICAL AND THERAPEUTIC SIGNIFICANCE IN OTHER TUMOR TYPES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1f497d"/>
          <w:left w:val="single" w:sz="4" w:space="0" w:color="1f497d"/>
          <w:bottom w:val="single" w:sz="4" w:space="0" w:color="1f497d"/>
          <w:right w:val="single" w:sz="4" w:space="0" w:color="1f497d"/>
          <w:insideH w:val="single" w:sz="4" w:space="0" w:color="1f497d"/>
          <w:insideV w:val="single" w:sz="4" w:space="0" w:color="1f497d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  <w:cantSplit w:val="true"/>
        </w:trPr>
        <w:tc>
          <w:tcPr>
            <w:tcW w:type="dxa" w:w="1440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Gene</w:t>
            </w:r>
          </w:p>
        </w:tc>
        <w:tc>
          <w:tcPr>
            <w:tcW w:type="dxa" w:w="1440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CDS variant details</w:t>
            </w:r>
          </w:p>
        </w:tc>
        <w:tc>
          <w:tcPr>
            <w:tcW w:type="dxa" w:w="1440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Amino acid change/ Exon No.</w:t>
            </w:r>
          </w:p>
        </w:tc>
        <w:tc>
          <w:tcPr>
            <w:tcW w:type="dxa" w:w="1440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Overall depth/ Mutant Allele Percentage</w:t>
            </w:r>
          </w:p>
        </w:tc>
        <w:tc>
          <w:tcPr>
            <w:tcW w:type="dxa" w:w="1440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Function of the gene in cancer</w:t>
            </w:r>
          </w:p>
        </w:tc>
        <w:tc>
          <w:tcPr>
            <w:tcW w:type="dxa" w:w="1440"/>
            <w:shd w:val="clear" w:color="auto" w:fill="1f497d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>
              <w:rPr>
                <w:rFonts w:ascii="Cambria" w:hAnsi="Cambria"/>
                <w:b/>
                <w:color w:val="FFFFFF"/>
                <w:sz w:val="19"/>
              </w:rPr>
              <w:t>Variant Classification and its relevance in other tumor type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  <w:t>None</w:t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</w:r>
          </w:p>
        </w:tc>
        <w:tc>
          <w:tcPr>
            <w:tcW w:type="dxa" w:w="144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rFonts w:ascii="Cambria" w:hAnsi="Cambria"/>
                <w:color w:val="000000"/>
                <w:sz w:val="20"/>
              </w:rPr>
            </w:r>
          </w:p>
        </w:tc>
      </w:tr>
    </w:tbl>
    <w:p>
      <w:pPr>
        <w:spacing w:after="40"/>
      </w:pPr>
    </w:p>
    <w:p>
      <w:pPr>
        <w:keepNext/>
        <w:spacing w:before="120" w:after="60"/>
        <w:shd w:val="clear" w:color="auto" w:fill="1f497d"/>
      </w:pPr>
      <w:r>
        <w:rPr>
          <w:rFonts w:ascii="Cambria" w:hAnsi="Cambria"/>
          <w:b/>
          <w:color w:val="FFFFFF"/>
          <w:sz w:val="22"/>
        </w:rPr>
        <w:t>details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Amino acid change/ Exon No.</w:t>
      </w:r>
    </w:p>
    <w:p>
      <w:pPr>
        <w:keepNext/>
        <w:spacing w:before="120" w:after="60"/>
        <w:shd w:val="clear" w:color="auto" w:fill="1f497d"/>
      </w:pPr>
      <w:r>
        <w:rPr>
          <w:rFonts w:ascii="Cambria" w:hAnsi="Cambria"/>
          <w:b/>
          <w:color w:val="FFFFFF"/>
          <w:sz w:val="22"/>
        </w:rPr>
        <w:t>Gene Finding Gene Finding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BRAF None detected NTRK2 None detected ERBB2 None detected NTRK3 None detected KRAS KRAS G12V PIK3CA None detected NRAS None detected RET None detected NTRK1 None detected</w:t>
      </w:r>
    </w:p>
    <w:p>
      <w:pPr>
        <w:keepNext/>
        <w:spacing w:before="120" w:after="60"/>
        <w:shd w:val="clear" w:color="auto" w:fill="1f497d"/>
      </w:pPr>
      <w:r>
        <w:rPr>
          <w:rFonts w:ascii="Cambria" w:hAnsi="Cambria"/>
          <w:b/>
          <w:color w:val="FFFFFF"/>
          <w:sz w:val="22"/>
        </w:rPr>
        <w:t>KRAS G12V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Allele Frequency: 16.72%</w:t>
      </w:r>
    </w:p>
    <w:p>
      <w:pPr>
        <w:keepNext/>
        <w:spacing w:before="120" w:after="60"/>
        <w:shd w:val="clear" w:color="auto" w:fill="1f497d"/>
      </w:pPr>
      <w:r>
        <w:rPr>
          <w:rFonts w:ascii="Cambria" w:hAnsi="Cambria"/>
          <w:b/>
          <w:color w:val="FFFFFF"/>
          <w:sz w:val="22"/>
        </w:rPr>
        <w:t>bevacizumab + chemotherapy avutometinib + defactinib 1 14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* Public data sources included in relevant therapies: NCCN, ESMO, FDA 1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 Alerts informed by public data sources:  Contraindicated,  Resistance,  Breakthrough,  Fast Track</w:t>
      </w:r>
    </w:p>
    <w:p>
      <w:pPr>
        <w:keepNext/>
        <w:spacing w:before="120" w:after="60"/>
        <w:shd w:val="clear" w:color="auto" w:fill="1f497d"/>
      </w:pPr>
      <w:r>
        <w:rPr>
          <w:rFonts w:ascii="Cambria" w:hAnsi="Cambria"/>
          <w:b/>
          <w:color w:val="FFFFFF"/>
          <w:sz w:val="22"/>
        </w:rPr>
        <w:t>KRAS proto-oncogene, GTPase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Background: The KRAS proto-oncogene encodes a GTPase that functions in signal transduction and is a member of the RAS superfamily which also includes NRAS and HRAS 1 . RAS proteins mediate the transmission of growth signals from the cell surface to the nucleus via the PI3K/AKT/MTOR and RAS/RAF/MEK/ERK pathways, which regulate cell division, differentiation, and survival 2,3,4 . Germline mutations in KRAS lead to several genetic disorders known as RASopathies, including Noonan syndrome, which results in heart and congenital defects, growth inhibition, and facial dysmorphic features 5 . Somatic mutations in KRAS are commonly altered in several cancers including non-small cell lung cancer, pancreatic cancer, and multiple myeloma 5 .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Alterations and prevalence: The majority of KRAS mutations consist of point mutations occurring at G12, G13, and Q61 6,7,8 . Mutations at A59, K117, and A146 have also been observed but are less frequent 9,10 . Somatic mutations in KRAS are observed in 66% of pancreatic adenocarcinoma, 41% of colorectal adenocarcinoma, 30% of lung adenocarcinoma, 19% of uterine corpus endometrial carcinoma, 12% of uterine carcinosarcoma, 9% of stomach adenocarcinoma, 8% of testicular germ cell tumors, 6% of cholangiocarcinoma, 5% of cervical squamous cell carcinoma, acute myeloid leukemia, and diffuse large B-cell lymphoma, 4% of bladder urothelial carcinoma, and 2% of skin cutaneous melanoma and kidney renal papillary cell carcinoma 6,9 . KRAS is amplified in 9% of ovarian serous cystadenocarcinoma and testicular germ cell tumors, 8% of stomach adenocarcinoma , 7% of esophageal adenocarcinoma and uterine carcinosarcoma, 6% of lung adenocarcinoma, 4% of pancreatic adenocarcinoma and bladder urothelial carcinoma, 3% of lung squamous cell carcinoma, and 2% of sarcoma, mesothelioma, brain lower grade glioma, and uterine corpus endometrial carcinoma 6,9 . Alterations in KRAS are also observed in pediatric cancers 9 . Somatic mutations in KRAS are observed in 10% of B-lymphoblastic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Potential relevance: The FDA has approved the small molecule inhibitors, sotorasib 11 (2021) and adagrasib 12 (2022), for the treatment of adult patients with KRAS G12C-mutated locally advanced or metastatic non-small cell lung cancer (NSCLC). Sotorasib and adagrasib are also useful in certain circumstances for KRAS G12C-mutated pancreatic adenocarcinoma 13 . The FDA has approved adagrasib 12 in combination with cetuximab (2024), and sotorasib 11 in combination with panitumumab 14 (2025) for KRAS G12C-mutated colorectal cancer (CRC) after prior fluoropyrimidine-, oxaliplatin-, and irinotecan-based chemotherapy. The EGFR antagonists, cetuximab 15 and panitumumab 14 , are contraindicated for treatment of colorectal cancer patients with KRAS mutations in exon 2 (codons 12 and 13), exon 3 (codons 59 and 61), and exon 4 (codons 117 and 146) 10 . The FDA has approved the combination of kinase inhibitors, avutometinib and defactinib 16 (2025), for the treatment of adult patients with KRAS-mutated recurrent low-grade serous ovarian cancer (LGSOC) after prior systemic therapy. The FDA has granted breakthrough therapy designation (2022) to the KRAS G12C inhibitor, GDC-6036 17 , for KRAS G12C-mutated NSCLC. The KRAS-G12C/NRAS-G12C dual inhibitor, elironrasib 18 , and the KRAS G12C inhibitor, D3S-001 19 , were both granted breakthrough therapy designation (2025) for KRAS G12C-mutated locally advanced or metastatic NSCLC in adults previously treated with chemotherapy and immunotherapy, excluding KRAS G12C inhibitors. The KRAS- G12C inhibitor, olomorasib 20 , was granted breakthrough designation (2025) in combination with pembrolizumab 21 for unresectable advanced or metastatic NSCLC with a KRAS G12C mutation and PD-L1 expression ≥ 50%. The RAF/MEK clamp, avutometinib 22 was also granted fast track designation (2024) in combination with sotorasib for KRAS G12C-mutated metastatic NSCLC in patients who have received at least one prior systemic therapy and have not been previously treated with a KRAS G12C inhibitor. The KRAS G12C inhibitor, BBO-8520 23 , was granted fast track designation in 2025 for previously treated KRAS G12C-mutated patients with metastatic NSCLC. The RAS(ON) G12D-selective inhibitor, zoldonrasib 24 , was granted breakthrough designation (2026) for patients with KRAS G12D-mutated locally advanced or metastatic NSCLC who have been previously treated with anti-PD-1/PD-L1 therapy and platinum-based chemotherapy. The RAS inhibitor, daraxonrasib 25 , was granted breakthrough designation (2025) for previously treated metastatic pancreatic ductal adenocarcinoma (PDAC) with KRAS G12 mutations. The KRAS G12D (ON/OFF) inhibitor, GFH-375 26 , was also granted fast track designation (2025) for first-line and previously treated KRAS G12D-mutated locally advanced or metastatic PDAC. The pan-KRAS inhibitor, BBO-11818 27 , was also granted fast track designation (2026) for adult patients with advanced KRAS- mutant PDAC. The KRAS G12C inhibitor, D3S-001 28 , was granted fast track designation in 2024 for KRAS G12C-mutated patients with advanced unresectable or metastatic CRC. The PLK1 inhibitor, onvansertib 29 , was granted fast track designation (2020) in combination with bevacizumab and FOLFIRI for second-line treatment of patients with KRAS-mutated metastatic CRC. The immuno-oncolytic virus, pelareorep 30 , was also granted fast track designation (2026) in combination with bevacizumab and FOLFIRI for second-line treatment of patients with KRAS-mutated microsatellite-stable metastatic CRC. Additionally, KRAS mutations are associated with poor prognosis in NSCLC 31 . Mutations in the RAS pathway, including KRAS, are ancillary diagnostic markers in pediatric gene fusion-negative rhabdomyosarcoma (RMS) 32 .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NCT07004244 Safety and Efficacy of KRAS Vaccine in the Treatment of KRAS-mutant Malignancies I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NCT07435038 A Phase I/II Clinical Study Evaluating the Safety, Tolerability, Pharmacokinetics, and Efficacy of BPI-572270 Capsules in Patients with RAS-mutant Advanced Solid Tumors.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I/II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NCT06895031 A Multi-center, Open-label, Phase I/II Clinical Study to Evaluate the Safety, Tolerability, Pharmacokinetics, and Antitumor Activity of JYP0015 in Advanced Solid Tumors With RAS Mutation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NCT05369312 Phase I Study of BPI-442096 in Advanced Solid Tumor Patients I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NCT06962254 Treatment of Solid Tumors Harboring KRAS Mutation With Imatinib and Trametinib I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NCT05004441 Fruquintinib Combined With mFOLFOX6/FOLFIRI in First-line Treatment for Metastatic Colorectal Cancer:HCCSC C02 Trial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II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3. Karnoub et al. Ras oncogenes: split personalities. Nat. Rev. Mol. Cell Biol. 2008 Jul;9(7):517-31. PMID: 18568040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4. Scott et al. Therapeutic Approaches to RAS Mutation. Cancer J. 2016 May-Jun;22(3):165-74. doi: 10.1097/ PPO.0000000000000187. PMID: 27341593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5. Johnson et al. Classification of KRAS-Activating Mutations and the Implications for Therapeutic Intervention. Cancer Discov. 2022 Apr 1;12(4):913-923. PMID: 35373279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6. Weinstein et al. The Cancer Genome Atlas Pan-Cancer analysis project. Nat. Genet. 2013 Oct;45(10):1113-20. PMID: 24071849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7. Román et al. KRAS oncogene in non-small cell lung cancer: clinical perspectives on the treatment of an old target. Mol Cancer. 2018 Feb 19;17(1):33. doi: 10.1186/s12943-018-0789-x. PMID: 29455666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8. Dinu et al. Prognostic significance of KRAS gene mutations in colorectal cancer--preliminary study. J Med Life. 2014 Oct- Dec;7(4):581-7. PMID: 25713627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9. Cerami et al. The cBio cancer genomics portal: an open platform for exploring multidimensional cancer genomics data. Cancer Discov. 2012 May;2(5):401-4. PMID: 22588877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10. Allegra et al. Extended RAS Gene Mutation Testing in Metastatic Colorectal Carcinoma to Predict Response to Anti-Epidermal Growth Factor Receptor Monoclonal Antibody Therapy: American Society of Clinical Oncology Provisional Clinical Opinion Update 2015. J. Clin. Oncol. 2016 Jan 10;34(2):179-85. PMID: 26438111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11. https://www.accessdata.fda.gov/drugsatfda docs/label/2025/214665Orig1s009correctedlbl.pdf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12. https://www.accessdata.fda.gov/drugsatfda docs/label/2026/216340s009lbl.pdf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13. NCCN Guidelines® - NCCN-Pancreatic Adenocarcinoma [Version 2.2026]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14. https://www.accessdata.fda.gov/drugsatfda docs/label/2025/125147s213lbl.pdf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15. https://www.accessdata.fda.gov/drugsatfda docs/label/2021/125084s279lbl.pdf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16. https://www.accessdata.fda.gov/drugsatfda docs/label/2025/219616s000lbl.pdf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17. https://assets.cwp.roche.com/f/126832/x/5738a7538b/irp230202.pdf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18. https://ir.revmed.com/node/11881/pdf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19. https://www.prnewswire.com/news-releases/d3-bio-inc-announces-fda-breakthrough-therapy-designation-and-orphan-drug- designation-for-d3s-001-for-the-treatment-of-patients-with-kras-g12c-mutated-cancers-302540808.html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20. https://www.prnewswire.com/news-releases/lillys-olomorasib-receives-us-fdas-breakthrough-therapy-designation-for-the- treatment-of-certain-newly-diagnosed-metastatic-kras-g12c-mutant-lung-cancers-302545643.html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21. https://www.accessdata.fda.gov/drugsatfda docs/label/2026/125514s190lbl.pdf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22. https://investor.verastem.com/news-releases/news-release-details/verastem-oncology-granted-fast-track-designation- combination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23. https://www.businesswire.com/news/home/20250109170439/en/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24. https://ir.revmed.com/news-releases/news-release-details/revolution-medicines-announces-fda-breakthrough-therapy-1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25. https://ir.revmed.com/news-releases/news-release-details/revolution-medicines-announces-fda-breakthrough-therapy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26. https://investor.verastem.com/news-releases/news-release-details/verastem-oncology-granted-fast-track-designation-vs-7375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27. https://www.targetedonc.com/view/fda-grants-fast-track-designation-to-bbo-11818-in-kras-mutant-pdac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28. https://www.d3bio.com/press-releases/d3-bios-d3s-001-receives-u-s-fda-fast-track-designation-for-the-treatment-of-colorectal- cancer-with-kras-g12c-mutation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29. https://cardiffoncology.com/wp-content/uploads/2021/07/Cardiff Oncology Investor Presentation- July 2021.pdf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30. https://oncolyticsbiotech.com/press releases/oncolytics-biotech-receives-fda-fast-track-designation-for-pelareorep-in-2l-kras- mutant-mss-metastatic-colorectal-cancer/</w:t>
      </w:r>
    </w:p>
    <w:p>
      <w:pPr>
        <w:spacing w:after="60" w:line="276" w:lineRule="auto"/>
      </w:pPr>
      <w:r>
        <w:rPr>
          <w:rFonts w:ascii="Cambria" w:hAnsi="Cambria"/>
          <w:color w:val="000000"/>
          <w:sz w:val="20"/>
        </w:rPr>
        <w:t>31. Slebos et al. K-ras oncogene activation as a prognostic marker in adenocarcinoma of the lung. N. Engl. J. Med. 1990 Aug 30;323(9):561-5. PMID: 2199829</w:t>
      </w:r>
    </w:p>
    <w:p>
      <w:pPr>
        <w:jc w:val="center"/>
      </w:pPr>
      <w:r>
        <w:rPr>
          <w:rFonts w:ascii="Calibri" w:hAnsi="Calibri"/>
          <w:color w:val="000000"/>
          <w:sz w:val="20"/>
        </w:rPr>
        <w:t>------------------ End Of Report 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