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  <w:r/>
      <w:r/>
    </w:p>
    <w:p>
      <w:r/>
      <w:r>
        <w:rPr>
          <w:b/>
          <w:color w:val="FFFFFF"/>
          <w:highlight w:val="lightGray"/>
        </w:rPr>
        <w:t xml:space="preserve">Gene </w:t>
      </w:r>
      <w:r>
        <w:rPr>
          <w:b/>
          <w:color w:val="FFFFFF"/>
          <w:highlight w:val="lightGray"/>
          <w:vertAlign w:val="superscript"/>
        </w:rPr>
        <w:t>CDS variant</w:t>
      </w:r>
      <w:r/>
    </w:p>
    <w:p>
      <w:r/>
      <w:r>
        <w:rPr>
          <w:b/>
          <w:color w:val="FFFFFF"/>
          <w:highlight w:val="lightGray"/>
        </w:rPr>
        <w:t>details</w:t>
      </w:r>
      <w:r/>
    </w:p>
    <w:p>
      <w:r/>
      <w:r>
        <w:rPr>
          <w:b/>
          <w:color w:val="FFFFFF"/>
          <w:highlight w:val="lightGray"/>
        </w:rPr>
        <w:t>change/ Exon No.</w:t>
      </w:r>
      <w:r/>
    </w:p>
    <w:p>
      <w:r/>
      <w:r>
        <w:rPr>
          <w:b/>
          <w:color w:val="FFFFFF"/>
          <w:highlight w:val="lightGray"/>
        </w:rPr>
        <w:t>Allele Percentage</w:t>
      </w:r>
      <w:r/>
    </w:p>
    <w:p>
      <w:r/>
      <w:r>
        <w:rPr>
          <w:b/>
          <w:color w:val="FFFFFF"/>
          <w:highlight w:val="lightGray"/>
        </w:rPr>
        <w:t>gene in cancer</w:t>
      </w:r>
      <w:r/>
    </w:p>
    <w:p>
      <w:r/>
      <w:r>
        <w:rPr>
          <w:b/>
          <w:color w:val="FFFFFF"/>
          <w:highlight w:val="lightGray"/>
        </w:rPr>
        <w:t>patient tumor type</w:t>
      </w:r>
      <w:r/>
    </w:p>
    <w:p>
      <w:r/>
      <w:r>
        <w:rPr>
          <w:b/>
          <w:i/>
          <w:color w:val="000000"/>
        </w:rPr>
        <w:t>KRAS</w:t>
      </w:r>
      <w:r/>
    </w:p>
    <w:p>
      <w:r/>
      <w:r>
        <w:rPr>
          <w:color w:val="000000"/>
        </w:rPr>
        <w:t>c.35G&gt;T</w:t>
      </w:r>
      <w:r/>
    </w:p>
    <w:p>
      <w:r/>
      <w:r>
        <w:rPr>
          <w:color w:val="000000"/>
        </w:rPr>
        <w:t>p.Gly12Val/ Exon 2</w:t>
      </w:r>
      <w:r/>
    </w:p>
    <w:p>
      <w:r/>
      <w:r>
        <w:rPr>
          <w:color w:val="000000"/>
        </w:rPr>
        <w:t>1537x/ 16.72%</w:t>
      </w:r>
      <w:r/>
    </w:p>
    <w:p>
      <w:r/>
      <w:r>
        <w:rPr>
          <w:color w:val="000000"/>
        </w:rPr>
        <w:t>Gain-of-Function</w:t>
      </w:r>
      <w:r/>
    </w:p>
    <w:p>
      <w:r/>
      <w:r>
        <w:rPr>
          <w:b/>
          <w:color w:val="C0392B"/>
        </w:rPr>
        <w:t>Tier I:A</w:t>
      </w:r>
      <w:r/>
    </w:p>
    <w:p>
      <w:r/>
      <w:r>
        <w:rPr>
          <w:b/>
          <w:color w:val="124B82"/>
        </w:rPr>
        <w:t>TABLE 2: NON DRUGGABLE / DRUGGABLE ALTERATIONS WITH POTENTIAL CLINICAL AND THERAPEUTIC SIGNIFICANCE IN OTHER</w:t>
      </w:r>
      <w:r/>
    </w:p>
    <w:p>
      <w:r/>
      <w:r>
        <w:rPr>
          <w:b/>
          <w:color w:val="124B82"/>
        </w:rPr>
        <w:t>TUMOR TYPES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>
        <w:rPr>
          <w:b/>
          <w:color w:val="124B82"/>
        </w:rPr>
        <w:t>TABLE 3: VARIANTS OF UNKNOWN SIGNIFICANCE</w:t>
      </w:r>
      <w:r/>
    </w:p>
    <w:p>
      <w:r/>
      <w:r>
        <w:rPr>
          <w:b/>
          <w:color w:val="FFFFFF"/>
          <w:highlight w:val="lightGray"/>
        </w:rPr>
        <w:t xml:space="preserve">Gene </w:t>
      </w:r>
      <w:r>
        <w:rPr>
          <w:b/>
          <w:color w:val="FFFFFF"/>
          <w:highlight w:val="lightGray"/>
          <w:vertAlign w:val="superscript"/>
        </w:rPr>
        <w:t>CDS variant</w:t>
      </w:r>
      <w:r/>
    </w:p>
    <w:p>
      <w:r/>
      <w:r>
        <w:rPr>
          <w:b/>
          <w:color w:val="FFFFFF"/>
          <w:highlight w:val="lightGray"/>
        </w:rPr>
        <w:t>details</w:t>
      </w:r>
      <w:r/>
    </w:p>
    <w:p>
      <w:r/>
      <w:r>
        <w:rPr>
          <w:b/>
          <w:color w:val="FFFFFF"/>
          <w:highlight w:val="lightGray"/>
        </w:rPr>
        <w:t>Amino acid change/</w:t>
      </w:r>
      <w:r/>
    </w:p>
    <w:p>
      <w:r/>
      <w:r>
        <w:rPr>
          <w:b/>
          <w:color w:val="FFFFFF"/>
          <w:highlight w:val="lightGray"/>
        </w:rPr>
        <w:t>Exon No.</w:t>
      </w:r>
      <w:r/>
    </w:p>
    <w:p>
      <w:r/>
      <w:r>
        <w:rPr>
          <w:b/>
          <w:color w:val="FFFFFF"/>
          <w:highlight w:val="lightGray"/>
        </w:rPr>
        <w:t>Overall depth/ Mutant Allele</w:t>
      </w:r>
      <w:r/>
    </w:p>
    <w:p>
      <w:r/>
      <w:r>
        <w:rPr>
          <w:b/>
          <w:color w:val="FFFFFF"/>
          <w:highlight w:val="lightGray"/>
        </w:rPr>
        <w:t>Percentage</w:t>
      </w:r>
      <w:r/>
    </w:p>
    <w:p>
      <w:r/>
      <w:r>
        <w:rPr>
          <w:b/>
          <w:color w:val="FFFFFF"/>
          <w:highlight w:val="lightGray"/>
        </w:rPr>
        <w:t>Function of the gene in patient tumor/ Other</w:t>
      </w:r>
      <w:r/>
    </w:p>
    <w:p>
      <w:r/>
      <w:r>
        <w:rPr>
          <w:b/>
          <w:color w:val="FFFFFF"/>
          <w:highlight w:val="lightGray"/>
        </w:rPr>
        <w:t>tumor type</w:t>
      </w:r>
      <w:r/>
      <w:r/>
      <w:r>
        <w:t>Gene</w:t>
      </w:r>
      <w:r/>
      <w:r>
        <w:t>CDS variant details</w:t>
      </w:r>
      <w:r/>
      <w:r>
        <w:t>Amino acid change/ Exon No.</w:t>
      </w:r>
      <w:r/>
      <w:r>
        <w:t>Overall depth/ Mutant Allele Percentage</w:t>
      </w:r>
      <w:r/>
      <w:r>
        <w:t>Function of the gene in cancer</w:t>
      </w:r>
      <w:r/>
      <w:r>
        <w:t>Variant Classification and its relevance in other tumor type</w:t>
      </w:r>
      <w:r/>
      <w:r/>
      <w:r/>
      <w:r/>
      <w:r/>
      <w:r/>
      <w:r/>
      <w:r/>
    </w:p>
    <w:p>
      <w:r/>
      <w:r>
        <w:rPr>
          <w:color w:val="000000"/>
        </w:rPr>
        <w:t>not all variants have been identified or interpreted, and this report is limited only to variants with evidence for causing or</w:t>
      </w:r>
      <w:r/>
    </w:p>
    <w:p>
      <w:r/>
      <w:r>
        <w:rPr>
          <w:color w:val="000000"/>
        </w:rPr>
        <w:t>contributing to disease/clinical details.</w:t>
      </w:r>
      <w:r/>
    </w:p>
    <w:p>
      <w:r/>
      <w:r>
        <w:rPr>
          <w:color w:val="000000"/>
        </w:rPr>
        <w:t>This assay is not meant to interrogate most promoter regions, deep intronic regions, or other regulatory elements.</w:t>
      </w:r>
      <w:r/>
    </w:p>
    <w:p>
      <w:r/>
      <w:r>
        <w:rPr>
          <w:color w:val="000000"/>
        </w:rPr>
        <w:t>Data from this test is based on currently available scientific information. The classification of variants of unknown significance can</w:t>
      </w:r>
      <w:r/>
    </w:p>
    <w:p>
      <w:r/>
      <w:r>
        <w:rPr>
          <w:color w:val="000000"/>
        </w:rPr>
        <w:t>change over time.This data can be re-assessed for the presence of any variants that may be newly linked to be associated with</w:t>
      </w:r>
      <w:r/>
    </w:p>
    <w:p>
      <w:r/>
      <w:r>
        <w:rPr>
          <w:color w:val="000000"/>
        </w:rPr>
        <w:t>cancer. The physician can request reanalysis of the data.</w:t>
      </w:r>
      <w:r/>
    </w:p>
    <w:p>
      <w:r/>
      <w:r>
        <w:rPr>
          <w:color w:val="000000"/>
        </w:rPr>
        <w:t>Certain genes may not be covered completely, and few mutations could be missed.</w:t>
      </w:r>
      <w:r/>
    </w:p>
    <w:p>
      <w:r/>
      <w:r>
        <w:rPr>
          <w:color w:val="000000"/>
        </w:rPr>
        <w:t>This NGS test used does not allow definitive differentiation between germline and somatic variants.</w:t>
      </w:r>
      <w:r/>
    </w:p>
    <w:p>
      <w:r/>
      <w:r>
        <w:rPr>
          <w:color w:val="000000"/>
        </w:rPr>
        <w:t>TREATMENT DECISIONS BASED ON THESE MUTATIONS MAY BE TAKEN IN CORRELATION WITH OTHER CLINICAL</w:t>
      </w:r>
      <w:r/>
    </w:p>
    <w:p>
      <w:r/>
      <w:r>
        <w:rPr>
          <w:color w:val="000000"/>
        </w:rPr>
        <w:t>AND PATHOLOGICAL INFORMATION</w:t>
      </w:r>
      <w:r/>
    </w:p>
    <w:p>
      <w:r/>
      <w:r>
        <w:rPr>
          <w:color w:val="000000"/>
        </w:rPr>
        <w:t>All investigations have their limitation which is imposed by the limits of sensitivity and specificity of individual assay procedures as well</w:t>
      </w:r>
      <w:r/>
    </w:p>
    <w:p>
      <w:r/>
      <w:r>
        <w:rPr>
          <w:color w:val="000000"/>
        </w:rPr>
        <w:t>as the quality of the specimen received at laboratory.</w:t>
      </w:r>
      <w:r/>
    </w:p>
    <w:p>
      <w:r/>
      <w:r>
        <w:rPr>
          <w:color w:val="000000"/>
        </w:rPr>
        <w:t>Inclusion of variations is dependent upon our assessment of their significance. The quality of sequencing and coverage varies between</w:t>
      </w:r>
      <w:r/>
    </w:p>
    <w:p>
      <w:r/>
      <w:r>
        <w:rPr>
          <w:color w:val="000000"/>
        </w:rPr>
        <w:t>regions. Many factors such as homopolymers, GC-rich regions etc. influence the quality of sequencing and coverage. This may result in an</w:t>
      </w:r>
      <w:r/>
    </w:p>
    <w:p>
      <w:r/>
      <w:r>
        <w:rPr>
          <w:color w:val="000000"/>
        </w:rPr>
        <w:t xml:space="preserve">occasional error in sequence reads or lack of detection of a particular genetic lesion. </w:t>
      </w:r>
      <w:r/>
      <w:r/>
      <w:r/>
      <w:r/>
      <w:r/>
      <w:r/>
      <w:r/>
      <w:r/>
      <w:r/>
    </w:p>
    <w:p>
      <w:r/>
      <w:r>
        <w:rPr>
          <w:b/>
          <w:color w:val="124B82"/>
        </w:rPr>
        <w:t>Sample Cancer Type:</w:t>
      </w:r>
      <w:r>
        <w:rPr>
          <w:color w:val="124B82"/>
        </w:rPr>
        <w:t xml:space="preserve"> Colon Cancer</w:t>
      </w:r>
      <w:r/>
    </w:p>
    <w:p>
      <w:r/>
      <w:r>
        <w:rPr>
          <w:color w:val="333333"/>
        </w:rPr>
        <w:t xml:space="preserve"> </w:t>
      </w:r>
      <w:r/>
    </w:p>
    <w:p>
      <w:r/>
      <w:r>
        <w:rPr>
          <w:b/>
          <w:color w:val="333333"/>
        </w:rPr>
        <w:t>Gene</w:t>
      </w:r>
      <w:r/>
    </w:p>
    <w:p>
      <w:r/>
      <w:r>
        <w:rPr>
          <w:b/>
          <w:color w:val="333333"/>
        </w:rPr>
        <w:t>Finding</w:t>
      </w:r>
      <w:r/>
    </w:p>
    <w:p>
      <w:r/>
      <w:r>
        <w:rPr>
          <w:b/>
          <w:color w:val="333333"/>
        </w:rPr>
        <w:t>Gene</w:t>
      </w:r>
      <w:r/>
    </w:p>
    <w:p>
      <w:r/>
      <w:r>
        <w:rPr>
          <w:b/>
          <w:color w:val="333333"/>
        </w:rPr>
        <w:t>Finding</w:t>
      </w:r>
      <w:r/>
    </w:p>
    <w:p>
      <w:r/>
      <w:r>
        <w:rPr>
          <w:color w:val="333333"/>
        </w:rPr>
        <w:t>BRAF</w:t>
      </w:r>
      <w:r/>
    </w:p>
    <w:p>
      <w:r/>
      <w:r>
        <w:rPr>
          <w:color w:val="333333"/>
        </w:rPr>
        <w:t>None detected</w:t>
      </w:r>
      <w:r/>
    </w:p>
    <w:p>
      <w:r/>
      <w:r>
        <w:rPr>
          <w:color w:val="333333"/>
        </w:rPr>
        <w:t>NTRK2</w:t>
      </w:r>
      <w:r/>
    </w:p>
    <w:p>
      <w:r/>
      <w:r>
        <w:rPr>
          <w:color w:val="333333"/>
        </w:rPr>
        <w:t>None detected</w:t>
      </w:r>
      <w:r/>
    </w:p>
    <w:p>
      <w:r/>
      <w:r>
        <w:rPr>
          <w:color w:val="333333"/>
        </w:rPr>
        <w:t>ERBB2</w:t>
      </w:r>
      <w:r/>
    </w:p>
    <w:p>
      <w:r/>
      <w:r>
        <w:rPr>
          <w:color w:val="333333"/>
        </w:rPr>
        <w:t>None detected</w:t>
      </w:r>
      <w:r/>
    </w:p>
    <w:p>
      <w:r/>
      <w:r>
        <w:rPr>
          <w:color w:val="333333"/>
        </w:rPr>
        <w:t>NTRK3</w:t>
      </w:r>
      <w:r/>
    </w:p>
    <w:p>
      <w:r/>
      <w:r>
        <w:rPr>
          <w:color w:val="333333"/>
        </w:rPr>
        <w:t>None detected</w:t>
      </w:r>
      <w:r/>
    </w:p>
    <w:p>
      <w:r/>
      <w:r>
        <w:rPr>
          <w:color w:val="333333"/>
        </w:rPr>
        <w:t>KRAS</w:t>
      </w:r>
      <w:r/>
    </w:p>
    <w:p>
      <w:r/>
      <w:r>
        <w:rPr>
          <w:b/>
          <w:i/>
          <w:color w:val="333333"/>
        </w:rPr>
        <w:t>KRAS G12V</w:t>
      </w:r>
      <w:r/>
    </w:p>
    <w:p>
      <w:r/>
      <w:r>
        <w:rPr>
          <w:color w:val="333333"/>
        </w:rPr>
        <w:t>PIK3CA</w:t>
      </w:r>
      <w:r/>
    </w:p>
    <w:p>
      <w:r/>
      <w:r>
        <w:rPr>
          <w:color w:val="333333"/>
        </w:rPr>
        <w:t>None detected</w:t>
      </w:r>
      <w:r/>
    </w:p>
    <w:p>
      <w:r/>
      <w:r>
        <w:rPr>
          <w:color w:val="333333"/>
        </w:rPr>
        <w:t>NRAS</w:t>
      </w:r>
      <w:r/>
    </w:p>
    <w:p>
      <w:r/>
      <w:r>
        <w:rPr>
          <w:color w:val="333333"/>
        </w:rPr>
        <w:t>None detected</w:t>
      </w:r>
      <w:r/>
    </w:p>
    <w:p>
      <w:r/>
      <w:r>
        <w:rPr>
          <w:color w:val="333333"/>
        </w:rPr>
        <w:t>RET</w:t>
      </w:r>
      <w:r/>
    </w:p>
    <w:p>
      <w:r/>
      <w:r>
        <w:rPr>
          <w:color w:val="333333"/>
        </w:rPr>
        <w:t>None detected</w:t>
      </w:r>
      <w:r/>
    </w:p>
    <w:p>
      <w:r/>
      <w:r>
        <w:rPr>
          <w:color w:val="333333"/>
        </w:rPr>
        <w:t>NTRK1</w:t>
      </w:r>
      <w:r/>
    </w:p>
    <w:p>
      <w:r/>
      <w:r>
        <w:rPr>
          <w:color w:val="333333"/>
        </w:rPr>
        <w:t>None detected</w:t>
      </w:r>
      <w:r/>
    </w:p>
    <w:p>
      <w:r/>
      <w:r>
        <w:rPr>
          <w:b/>
          <w:color w:val="124B82"/>
        </w:rPr>
        <w:t>Relevant Colon Cancer Findings</w:t>
      </w:r>
      <w:r/>
    </w:p>
    <w:p>
      <w:r/>
      <w:r>
        <w:rPr>
          <w:color w:val="333333"/>
        </w:rPr>
        <w:t xml:space="preserve"> </w:t>
      </w:r>
      <w:r/>
    </w:p>
    <w:p>
      <w:r/>
      <w:r>
        <w:rPr>
          <w:b/>
          <w:color w:val="124B82"/>
        </w:rPr>
        <w:t>Relevant Biomarkers</w:t>
      </w:r>
      <w:r/>
    </w:p>
    <w:p>
      <w:r/>
      <w:r>
        <w:rPr>
          <w:color w:val="333333"/>
        </w:rPr>
        <w:t xml:space="preserve"> </w:t>
      </w:r>
      <w:r/>
    </w:p>
    <w:p>
      <w:r/>
      <w:r>
        <w:rPr>
          <w:b/>
          <w:color w:val="333333"/>
        </w:rPr>
        <w:t>Genomic Alteration</w:t>
      </w:r>
      <w:r/>
    </w:p>
    <w:p>
      <w:r/>
      <w:r>
        <w:rPr>
          <w:b/>
          <w:color w:val="333333"/>
        </w:rPr>
        <w:t>Relevant Therapies</w:t>
      </w:r>
      <w:r/>
    </w:p>
    <w:p>
      <w:r/>
      <w:r>
        <w:rPr>
          <w:b/>
          <w:color w:val="333333"/>
        </w:rPr>
        <w:t>(In this cancer type)</w:t>
      </w:r>
      <w:r/>
    </w:p>
    <w:p>
      <w:r/>
      <w:r>
        <w:rPr>
          <w:b/>
          <w:color w:val="333333"/>
        </w:rPr>
        <w:t>Relevant Therapies</w:t>
      </w:r>
      <w:r/>
    </w:p>
    <w:p>
      <w:r/>
      <w:r>
        <w:rPr>
          <w:b/>
          <w:color w:val="333333"/>
        </w:rPr>
        <w:t>(In other cancer type)</w:t>
      </w:r>
      <w:r/>
    </w:p>
    <w:p>
      <w:r/>
      <w:r>
        <w:rPr>
          <w:b/>
          <w:color w:val="333333"/>
        </w:rPr>
        <w:t>Clinical Trials</w:t>
      </w:r>
      <w:r/>
    </w:p>
    <w:p>
      <w:r/>
      <w:r>
        <w:rPr>
          <w:color w:val="333333"/>
        </w:rPr>
        <w:t xml:space="preserve"> </w:t>
      </w:r>
      <w:r/>
    </w:p>
    <w:p>
      <w:r/>
      <w:r>
        <w:rPr>
          <w:i/>
          <w:color w:val="333333"/>
        </w:rPr>
        <w:t>KRAS G12V</w:t>
      </w:r>
      <w:r/>
    </w:p>
    <w:p>
      <w:r/>
      <w:r>
        <w:rPr>
          <w:color w:val="333333"/>
        </w:rPr>
        <w:t>Allele Frequency: 16.72%</w:t>
      </w:r>
      <w:r/>
    </w:p>
    <w:p>
      <w:r/>
      <w:r>
        <w:rPr>
          <w:color w:val="333333"/>
        </w:rPr>
        <w:t>bevacizumab + chemotherapy</w:t>
      </w:r>
      <w:r/>
    </w:p>
    <w:p>
      <w:r/>
      <w:r>
        <w:rPr>
          <w:b/>
          <w:color w:val="333333"/>
        </w:rPr>
        <w:t>avutometinib + defactinib</w:t>
      </w:r>
      <w:r>
        <w:rPr>
          <w:color w:val="333333"/>
          <w:vertAlign w:val="superscript"/>
        </w:rPr>
        <w:t xml:space="preserve"> 1</w:t>
      </w:r>
      <w:r/>
    </w:p>
    <w:p>
      <w:r/>
      <w:r>
        <w:rPr>
          <w:color w:val="333333"/>
        </w:rPr>
        <w:t>14</w:t>
      </w:r>
      <w:r/>
    </w:p>
    <w:p>
      <w:r/>
      <w:r>
        <w:rPr>
          <w:color w:val="333333"/>
        </w:rPr>
        <w:t xml:space="preserve"> </w:t>
      </w:r>
      <w:r/>
    </w:p>
    <w:p>
      <w:r/>
      <w:r>
        <w:rPr>
          <w:b/>
          <w:color w:val="333333"/>
        </w:rPr>
        <w:t>* Public data sources included in relevant therapies:</w:t>
      </w:r>
      <w:r>
        <w:rPr>
          <w:color w:val="333333"/>
        </w:rPr>
        <w:t xml:space="preserve"> NCCN, ESMO, </w:t>
      </w:r>
      <w:r>
        <w:rPr>
          <w:b/>
          <w:color w:val="333333"/>
        </w:rPr>
        <w:t>FDA</w:t>
      </w:r>
      <w:r>
        <w:rPr>
          <w:color w:val="333333"/>
          <w:vertAlign w:val="superscript"/>
        </w:rPr>
        <w:t>1</w:t>
      </w:r>
      <w:r/>
    </w:p>
    <w:p>
      <w:r/>
      <w:r>
        <w:rPr>
          <w:color w:val="FF0000"/>
        </w:rPr>
        <w:t></w:t>
      </w:r>
      <w:r>
        <w:rPr>
          <w:color w:val="333333"/>
        </w:rPr>
        <w:t xml:space="preserve"> </w:t>
      </w:r>
      <w:r>
        <w:rPr>
          <w:b/>
          <w:color w:val="333333"/>
        </w:rPr>
        <w:t>Alerts informed by public data sources:</w:t>
      </w:r>
      <w:r>
        <w:rPr>
          <w:color w:val="333333"/>
        </w:rPr>
        <w:t xml:space="preserve"> </w:t>
      </w:r>
      <w:r>
        <w:rPr>
          <w:color w:val="FF0000"/>
        </w:rPr>
        <w:t></w:t>
      </w:r>
      <w:r>
        <w:rPr>
          <w:color w:val="333333"/>
        </w:rPr>
        <w:t xml:space="preserve"> Contraindicated, </w:t>
      </w:r>
      <w:r>
        <w:rPr>
          <w:color w:val="ED7700"/>
        </w:rPr>
        <w:t></w:t>
      </w:r>
      <w:r>
        <w:rPr>
          <w:color w:val="333333"/>
        </w:rPr>
        <w:t xml:space="preserve"> Resistance, </w:t>
      </w:r>
      <w:r>
        <w:rPr>
          <w:color w:val="555759"/>
        </w:rPr>
        <w:t></w:t>
      </w:r>
      <w:r>
        <w:rPr>
          <w:color w:val="333333"/>
        </w:rPr>
        <w:t xml:space="preserve"> Breakthrough, </w:t>
      </w:r>
      <w:r>
        <w:rPr>
          <w:color w:val="555759"/>
        </w:rPr>
        <w:t></w:t>
      </w:r>
      <w:r>
        <w:rPr>
          <w:color w:val="333333"/>
        </w:rPr>
        <w:t xml:space="preserve"> Fast Track</w:t>
      </w:r>
      <w:r/>
    </w:p>
    <w:p>
      <w:r/>
      <w:r>
        <w:rPr>
          <w:i/>
          <w:color w:val="333333"/>
        </w:rPr>
        <w:t>KRAS G12V</w:t>
      </w:r>
      <w:r/>
    </w:p>
    <w:p>
      <w:r/>
      <w:r>
        <w:rPr>
          <w:color w:val="FF0000"/>
        </w:rPr>
        <w:t></w:t>
      </w:r>
      <w:r>
        <w:rPr>
          <w:b/>
          <w:color w:val="333333"/>
        </w:rPr>
        <w:t>cetuximab</w:t>
      </w:r>
      <w:r>
        <w:rPr>
          <w:color w:val="333333"/>
          <w:vertAlign w:val="superscript"/>
        </w:rPr>
        <w:t xml:space="preserve"> 1</w:t>
      </w:r>
      <w:r>
        <w:rPr>
          <w:color w:val="333333"/>
        </w:rPr>
        <w:t xml:space="preserve">, </w:t>
      </w:r>
      <w:r>
        <w:rPr>
          <w:b/>
          <w:color w:val="333333"/>
        </w:rPr>
        <w:t>panitumumab</w:t>
      </w:r>
      <w:r>
        <w:rPr>
          <w:color w:val="333333"/>
          <w:vertAlign w:val="superscript"/>
        </w:rPr>
        <w:t xml:space="preserve"> 1</w:t>
      </w:r>
      <w:r/>
    </w:p>
    <w:p>
      <w:r/>
      <w:r>
        <w:rPr>
          <w:b/>
          <w:color w:val="333333"/>
        </w:rPr>
        <w:t>Public data sources included in alerts:</w:t>
      </w:r>
      <w:r>
        <w:rPr>
          <w:color w:val="333333"/>
        </w:rPr>
        <w:t xml:space="preserve"> NCCN, ESMO, </w:t>
      </w:r>
      <w:r>
        <w:rPr>
          <w:b/>
          <w:color w:val="333333"/>
        </w:rPr>
        <w:t>FDA</w:t>
      </w:r>
      <w:r>
        <w:rPr>
          <w:color w:val="333333"/>
          <w:vertAlign w:val="superscript"/>
        </w:rPr>
        <w:t>1</w:t>
      </w:r>
      <w:r/>
    </w:p>
    <w:p>
      <w:r/>
      <w:r>
        <w:rPr>
          <w:color w:val="333333"/>
        </w:rPr>
        <w:t xml:space="preserve"> </w:t>
      </w:r>
      <w:r/>
    </w:p>
    <w:p>
      <w:r/>
      <w:r>
        <w:rPr>
          <w:b/>
          <w:color w:val="333333"/>
        </w:rPr>
        <w:t>KRAS G12V</w:t>
      </w:r>
      <w:r/>
    </w:p>
    <w:p>
      <w:r/>
      <w:r>
        <w:rPr>
          <w:i/>
          <w:color w:val="333333"/>
        </w:rPr>
        <w:t>KRAS proto-oncogene, GTPase</w:t>
      </w:r>
      <w:r/>
    </w:p>
    <w:p>
      <w:r/>
      <w:r>
        <w:rPr>
          <w:color w:val="333333"/>
        </w:rPr>
        <w:t>Background: The KRAS proto-oncogene encodes a GTPase that functions in signal transduction and is a member of the RAS</w:t>
      </w:r>
      <w:r/>
    </w:p>
    <w:p>
      <w:r/>
      <w:r>
        <w:rPr>
          <w:color w:val="333333"/>
        </w:rPr>
        <w:t>superfamily which also includes NRAS and HRAS</w:t>
      </w:r>
      <w:r>
        <w:rPr>
          <w:color w:val="333333"/>
          <w:vertAlign w:val="superscript"/>
        </w:rPr>
        <w:t>1</w:t>
      </w:r>
      <w:r>
        <w:rPr>
          <w:color w:val="333333"/>
        </w:rPr>
        <w:t>. RAS proteins mediate the transmission of growth signals from the cell surface to</w:t>
      </w:r>
      <w:r/>
    </w:p>
    <w:p>
      <w:r/>
      <w:r>
        <w:rPr>
          <w:color w:val="333333"/>
        </w:rPr>
        <w:t>the nucleus via the PI3K/AKT/MTOR and RAS/RAF/MEK/ERK pathways, which regulate cell division, differentiation, and survival</w:t>
      </w:r>
      <w:r>
        <w:rPr>
          <w:color w:val="333333"/>
          <w:vertAlign w:val="superscript"/>
        </w:rPr>
        <w:t>2,3,4</w:t>
      </w:r>
      <w:r>
        <w:rPr>
          <w:color w:val="333333"/>
        </w:rPr>
        <w:t>.</w:t>
      </w:r>
      <w:r/>
    </w:p>
    <w:p>
      <w:r/>
      <w:r>
        <w:rPr>
          <w:color w:val="333333"/>
        </w:rPr>
        <w:t>Germline mutations in KRAS lead to several genetic disorders known as RASopathies, including Noonan syndrome, which results in</w:t>
      </w:r>
      <w:r/>
    </w:p>
    <w:p>
      <w:r/>
      <w:r>
        <w:rPr>
          <w:color w:val="333333"/>
        </w:rPr>
        <w:t>heart and congenital defects, growth inhibition, and facial dysmorphic features</w:t>
      </w:r>
      <w:r>
        <w:rPr>
          <w:color w:val="333333"/>
          <w:vertAlign w:val="superscript"/>
        </w:rPr>
        <w:t>5</w:t>
      </w:r>
      <w:r>
        <w:rPr>
          <w:color w:val="333333"/>
        </w:rPr>
        <w:t>. Somatic mutations in KRAS are commonly altered in</w:t>
      </w:r>
      <w:r/>
    </w:p>
    <w:p>
      <w:r/>
      <w:r>
        <w:rPr>
          <w:color w:val="333333"/>
        </w:rPr>
        <w:t>several cancers including non-small cell lung cancer, pancreatic cancer, and multiple myeloma</w:t>
      </w:r>
      <w:r>
        <w:rPr>
          <w:color w:val="333333"/>
          <w:vertAlign w:val="superscript"/>
        </w:rPr>
        <w:t>5</w:t>
      </w:r>
      <w:r>
        <w:rPr>
          <w:color w:val="333333"/>
        </w:rPr>
        <w:t>.</w:t>
      </w:r>
      <w:r/>
    </w:p>
    <w:p>
      <w:r/>
      <w:r>
        <w:rPr>
          <w:color w:val="333333"/>
        </w:rPr>
        <w:t>Alterations and prevalence: The majority of KRAS mutations consist of point mutations occurring at G12, G13, and Q61</w:t>
      </w:r>
      <w:r>
        <w:rPr>
          <w:color w:val="333333"/>
          <w:vertAlign w:val="superscript"/>
        </w:rPr>
        <w:t>6,7,8</w:t>
      </w:r>
      <w:r>
        <w:rPr>
          <w:color w:val="333333"/>
        </w:rPr>
        <w:t>. Mutations at</w:t>
      </w:r>
      <w:r/>
    </w:p>
    <w:p>
      <w:r/>
      <w:r>
        <w:rPr>
          <w:color w:val="333333"/>
        </w:rPr>
        <w:t>A59, K117, and A146 have also been observed but are less frequent</w:t>
      </w:r>
      <w:r>
        <w:rPr>
          <w:color w:val="333333"/>
          <w:vertAlign w:val="superscript"/>
        </w:rPr>
        <w:t>9,10</w:t>
      </w:r>
      <w:r>
        <w:rPr>
          <w:color w:val="333333"/>
        </w:rPr>
        <w:t>. Somatic mutations in KRAS are observed in 66% of pancreatic</w:t>
      </w:r>
      <w:r/>
    </w:p>
    <w:p>
      <w:r/>
      <w:r>
        <w:rPr>
          <w:color w:val="333333"/>
        </w:rPr>
        <w:t>adenocarcinoma, 41% of colorectal adenocarcinoma, 30% of lung adenocarcinoma, 19% of uterine corpus endometrial carcinoma,</w:t>
      </w:r>
      <w:r/>
    </w:p>
    <w:p>
      <w:r/>
      <w:r>
        <w:rPr>
          <w:color w:val="333333"/>
        </w:rPr>
        <w:t>12% of uterine carcinosarcoma, 9% of stomach adenocarcinoma, 8% of testicular germ cell tumors, 6% of cholangiocarcinoma,</w:t>
      </w:r>
      <w:r/>
    </w:p>
    <w:p>
      <w:r/>
      <w:r>
        <w:rPr>
          <w:color w:val="333333"/>
        </w:rPr>
        <w:t>5% of cervical squamous cell carcinoma, acute myeloid leukemia, and diffuse large B-cell lymphoma, 4% of bladder urothelial</w:t>
      </w:r>
      <w:r/>
    </w:p>
    <w:p>
      <w:r/>
      <w:r>
        <w:rPr>
          <w:color w:val="333333"/>
        </w:rPr>
        <w:t>carcinoma, and 2% of skin cutaneous melanoma and kidney renal papillary cell carcinoma</w:t>
      </w:r>
      <w:r>
        <w:rPr>
          <w:color w:val="333333"/>
          <w:vertAlign w:val="superscript"/>
        </w:rPr>
        <w:t>6,9</w:t>
      </w:r>
      <w:r>
        <w:rPr>
          <w:color w:val="333333"/>
        </w:rPr>
        <w:t>. KRAS is amplified in 9% of ovarian serous</w:t>
      </w:r>
      <w:r/>
    </w:p>
    <w:p>
      <w:r/>
      <w:r>
        <w:rPr>
          <w:color w:val="333333"/>
        </w:rPr>
        <w:t>cystadenocarcinoma and testicular germ cell tumors, 8% of stomach adenocarcinoma , 7% of esophageal adenocarcinoma and</w:t>
      </w:r>
      <w:r/>
    </w:p>
    <w:p>
      <w:r/>
      <w:r>
        <w:rPr>
          <w:color w:val="333333"/>
        </w:rPr>
        <w:t>uterine carcinosarcoma, 6% of lung adenocarcinoma, 4% of pancreatic adenocarcinoma and bladder urothelial carcinoma, 3% of lung</w:t>
      </w:r>
      <w:r/>
    </w:p>
    <w:p>
      <w:r/>
      <w:r>
        <w:rPr>
          <w:color w:val="333333"/>
        </w:rPr>
        <w:t>squamous cell carcinoma, and 2% of sarcoma, mesothelioma, brain lower grade glioma, and uterine corpus endometrial carcinoma</w:t>
      </w:r>
      <w:r>
        <w:rPr>
          <w:color w:val="333333"/>
          <w:vertAlign w:val="superscript"/>
        </w:rPr>
        <w:t>6,9</w:t>
      </w:r>
      <w:r>
        <w:rPr>
          <w:color w:val="333333"/>
        </w:rPr>
        <w:t>.</w:t>
      </w:r>
      <w:r/>
    </w:p>
    <w:p>
      <w:r/>
      <w:r>
        <w:rPr>
          <w:color w:val="333333"/>
        </w:rPr>
        <w:t>Alterations in KRAS are also observed in pediatric cancers</w:t>
      </w:r>
      <w:r>
        <w:rPr>
          <w:color w:val="333333"/>
          <w:vertAlign w:val="superscript"/>
        </w:rPr>
        <w:t>9</w:t>
      </w:r>
      <w:r>
        <w:rPr>
          <w:color w:val="333333"/>
        </w:rPr>
        <w:t>. Somatic mutations in KRAS are observed in 10% of B-lymphoblastic</w:t>
      </w:r>
      <w:r/>
    </w:p>
    <w:p>
      <w:r/>
      <w:r>
        <w:rPr>
          <w:b/>
          <w:color w:val="124B82"/>
        </w:rPr>
        <w:t>Biomarker Descriptions</w:t>
      </w:r>
      <w:r/>
    </w:p>
    <w:p>
      <w:r/>
      <w:r>
        <w:rPr>
          <w:color w:val="333333"/>
        </w:rPr>
        <w:t xml:space="preserve"> </w:t>
      </w:r>
      <w:r/>
    </w:p>
    <w:p>
      <w:r/>
      <w:r>
        <w:rPr>
          <w:color w:val="333333"/>
        </w:rPr>
        <w:t xml:space="preserve"> </w:t>
      </w:r>
      <w:r/>
      <w:r/>
      <w:r/>
      <w:r/>
      <w:r/>
      <w:r/>
      <w:r/>
      <w:r/>
    </w:p>
    <w:p>
      <w:r/>
      <w:r>
        <w:rPr>
          <w:color w:val="333333"/>
        </w:rPr>
        <w:t>leukemia/lymphoma (24 in 252 cases), 8% of leukemia (29 in 354 cases), and in less than 1% of embryonal tumors (2 in 332 cases),</w:t>
      </w:r>
      <w:r/>
    </w:p>
    <w:p>
      <w:r/>
      <w:r>
        <w:rPr>
          <w:color w:val="333333"/>
        </w:rPr>
        <w:t>glioma (1 in 297 cases), Wilms tumor (1 in 710 cases), and peripheral nervous system cancers (1 in 1158 cases)</w:t>
      </w:r>
      <w:r>
        <w:rPr>
          <w:color w:val="333333"/>
          <w:vertAlign w:val="superscript"/>
        </w:rPr>
        <w:t>9</w:t>
      </w:r>
      <w:r>
        <w:rPr>
          <w:color w:val="333333"/>
        </w:rPr>
        <w:t>. KRAS is amplified in</w:t>
      </w:r>
      <w:r/>
    </w:p>
    <w:p>
      <w:r/>
      <w:r>
        <w:rPr>
          <w:color w:val="333333"/>
        </w:rPr>
        <w:t>less than 1% of B-lymphoblastic leukemia/lymphoma (1 in 731 cases)</w:t>
      </w:r>
      <w:r>
        <w:rPr>
          <w:color w:val="333333"/>
          <w:vertAlign w:val="superscript"/>
        </w:rPr>
        <w:t>9</w:t>
      </w:r>
      <w:r>
        <w:rPr>
          <w:color w:val="333333"/>
        </w:rPr>
        <w:t>. Structural alterations in KRAS are observed in less than 1% of</w:t>
      </w:r>
      <w:r/>
    </w:p>
    <w:p>
      <w:r/>
      <w:r>
        <w:rPr>
          <w:color w:val="333333"/>
        </w:rPr>
        <w:t>acute lymphoblastic leukemia (1 in 85 cases)</w:t>
      </w:r>
      <w:r>
        <w:rPr>
          <w:color w:val="333333"/>
          <w:vertAlign w:val="superscript"/>
        </w:rPr>
        <w:t>9</w:t>
      </w:r>
      <w:r>
        <w:rPr>
          <w:color w:val="333333"/>
        </w:rPr>
        <w:t>.</w:t>
      </w:r>
      <w:r/>
    </w:p>
    <w:p>
      <w:r/>
      <w:r>
        <w:rPr>
          <w:color w:val="333333"/>
        </w:rPr>
        <w:t>Potential relevance: The FDA has approved the small molecule inhibitors, sotorasib</w:t>
      </w:r>
      <w:r>
        <w:rPr>
          <w:color w:val="333333"/>
          <w:vertAlign w:val="superscript"/>
        </w:rPr>
        <w:t>11</w:t>
      </w:r>
      <w:r>
        <w:rPr>
          <w:color w:val="333333"/>
        </w:rPr>
        <w:t xml:space="preserve"> (2021) and adagrasib</w:t>
      </w:r>
      <w:r>
        <w:rPr>
          <w:color w:val="333333"/>
          <w:vertAlign w:val="superscript"/>
        </w:rPr>
        <w:t>12</w:t>
      </w:r>
      <w:r>
        <w:rPr>
          <w:color w:val="333333"/>
        </w:rPr>
        <w:t xml:space="preserve"> (2022), for the treatment</w:t>
      </w:r>
      <w:r/>
    </w:p>
    <w:p>
      <w:r/>
      <w:r>
        <w:rPr>
          <w:color w:val="333333"/>
        </w:rPr>
        <w:t>of adult patients with KRAS G12C-mutated locally advanced or metastatic non-small cell lung cancer (NSCLC). Sotorasib and adagrasib</w:t>
      </w:r>
      <w:r/>
    </w:p>
    <w:p>
      <w:r/>
      <w:r>
        <w:rPr>
          <w:color w:val="333333"/>
        </w:rPr>
        <w:t>are also useful in certain circumstances for KRAS G12C-mutated pancreatic adenocarcinoma</w:t>
      </w:r>
      <w:r>
        <w:rPr>
          <w:color w:val="333333"/>
          <w:vertAlign w:val="superscript"/>
        </w:rPr>
        <w:t>13</w:t>
      </w:r>
      <w:r>
        <w:rPr>
          <w:color w:val="333333"/>
        </w:rPr>
        <w:t>. The FDA has approved adagrasib</w:t>
      </w:r>
      <w:r>
        <w:rPr>
          <w:color w:val="333333"/>
          <w:vertAlign w:val="superscript"/>
        </w:rPr>
        <w:t>12</w:t>
      </w:r>
      <w:r>
        <w:rPr>
          <w:color w:val="333333"/>
        </w:rPr>
        <w:t xml:space="preserve"> in</w:t>
      </w:r>
      <w:r/>
    </w:p>
    <w:p>
      <w:r/>
      <w:r>
        <w:rPr>
          <w:color w:val="333333"/>
        </w:rPr>
        <w:t>combination with cetuximab (2024), and sotorasib</w:t>
      </w:r>
      <w:r>
        <w:rPr>
          <w:color w:val="333333"/>
          <w:vertAlign w:val="superscript"/>
        </w:rPr>
        <w:t>11</w:t>
      </w:r>
      <w:r>
        <w:rPr>
          <w:color w:val="333333"/>
        </w:rPr>
        <w:t xml:space="preserve"> in combination with panitumumab</w:t>
      </w:r>
      <w:r>
        <w:rPr>
          <w:color w:val="333333"/>
          <w:vertAlign w:val="superscript"/>
        </w:rPr>
        <w:t>14</w:t>
      </w:r>
      <w:r>
        <w:rPr>
          <w:color w:val="333333"/>
        </w:rPr>
        <w:t xml:space="preserve"> (2025) for KRAS G12C-mutated colorectal</w:t>
      </w:r>
      <w:r/>
    </w:p>
    <w:p>
      <w:r/>
      <w:r>
        <w:rPr>
          <w:color w:val="333333"/>
        </w:rPr>
        <w:t>cancer (CRC) after prior fluoropyrimidine-, oxaliplatin-, and irinotecan-based chemotherapy. The EGFR antagonists, cetuximab</w:t>
      </w:r>
      <w:r>
        <w:rPr>
          <w:color w:val="333333"/>
          <w:vertAlign w:val="superscript"/>
        </w:rPr>
        <w:t>15</w:t>
      </w:r>
      <w:r/>
    </w:p>
    <w:p>
      <w:r/>
      <w:r>
        <w:rPr>
          <w:color w:val="333333"/>
        </w:rPr>
        <w:t>and panitumumab</w:t>
      </w:r>
      <w:r>
        <w:rPr>
          <w:color w:val="333333"/>
          <w:vertAlign w:val="superscript"/>
        </w:rPr>
        <w:t>14</w:t>
      </w:r>
      <w:r>
        <w:rPr>
          <w:color w:val="333333"/>
        </w:rPr>
        <w:t>, are contraindicated for treatment of colorectal cancer patients with KRAS mutations in exon 2 (codons 12 and</w:t>
      </w:r>
      <w:r/>
    </w:p>
    <w:p>
      <w:r/>
      <w:r>
        <w:rPr>
          <w:color w:val="333333"/>
        </w:rPr>
        <w:t>13), exon 3 (codons 59 and 61), and exon 4 (codons 117 and 146)</w:t>
      </w:r>
      <w:r>
        <w:rPr>
          <w:color w:val="333333"/>
          <w:vertAlign w:val="superscript"/>
        </w:rPr>
        <w:t>10</w:t>
      </w:r>
      <w:r>
        <w:rPr>
          <w:color w:val="333333"/>
        </w:rPr>
        <w:t>. The FDA has approved the combination of kinase inhibitors,</w:t>
      </w:r>
      <w:r/>
    </w:p>
    <w:p>
      <w:r/>
      <w:r>
        <w:rPr>
          <w:color w:val="333333"/>
        </w:rPr>
        <w:t>avutometinib and defactinib</w:t>
      </w:r>
      <w:r>
        <w:rPr>
          <w:color w:val="333333"/>
          <w:vertAlign w:val="superscript"/>
        </w:rPr>
        <w:t>16</w:t>
      </w:r>
      <w:r>
        <w:rPr>
          <w:color w:val="333333"/>
        </w:rPr>
        <w:t xml:space="preserve"> (2025), for the treatment of adult patients with KRAS-mutated recurrent low-grade serous ovarian</w:t>
      </w:r>
      <w:r/>
    </w:p>
    <w:p>
      <w:r/>
      <w:r>
        <w:rPr>
          <w:color w:val="333333"/>
        </w:rPr>
        <w:t>cancer (LGSOC) after prior systemic therapy. The FDA has granted breakthrough therapy designation (2022) to the KRAS G12C</w:t>
      </w:r>
      <w:r/>
    </w:p>
    <w:p>
      <w:r/>
      <w:r>
        <w:rPr>
          <w:color w:val="333333"/>
        </w:rPr>
        <w:t>inhibitor, GDC-6036</w:t>
      </w:r>
      <w:r>
        <w:rPr>
          <w:color w:val="333333"/>
          <w:vertAlign w:val="superscript"/>
        </w:rPr>
        <w:t>17</w:t>
      </w:r>
      <w:r>
        <w:rPr>
          <w:color w:val="333333"/>
        </w:rPr>
        <w:t>, for KRAS G12C-mutated NSCLC. The KRAS-G12C/NRAS-G12C dual inhibitor, elironrasib</w:t>
      </w:r>
      <w:r>
        <w:rPr>
          <w:color w:val="333333"/>
          <w:vertAlign w:val="superscript"/>
        </w:rPr>
        <w:t>18</w:t>
      </w:r>
      <w:r>
        <w:rPr>
          <w:color w:val="333333"/>
        </w:rPr>
        <w:t>, and the KRAS</w:t>
      </w:r>
      <w:r/>
    </w:p>
    <w:p>
      <w:r/>
      <w:r>
        <w:rPr>
          <w:color w:val="333333"/>
        </w:rPr>
        <w:t>G12C inhibitor, D3S-001</w:t>
      </w:r>
      <w:r>
        <w:rPr>
          <w:color w:val="333333"/>
          <w:vertAlign w:val="superscript"/>
        </w:rPr>
        <w:t>19</w:t>
      </w:r>
      <w:r>
        <w:rPr>
          <w:color w:val="333333"/>
        </w:rPr>
        <w:t>, were both granted breakthrough therapy designation (2025) for KRAS G12C-mutated locally advanced or</w:t>
      </w:r>
      <w:r/>
    </w:p>
    <w:p>
      <w:r/>
      <w:r>
        <w:rPr>
          <w:color w:val="333333"/>
        </w:rPr>
        <w:t>metastatic NSCLC in adults previously treated with chemotherapy and immunotherapy, excluding KRAS G12C inhibitors. The KRAS-</w:t>
      </w:r>
      <w:r/>
    </w:p>
    <w:p>
      <w:r/>
      <w:r>
        <w:rPr>
          <w:color w:val="333333"/>
        </w:rPr>
        <w:t>G12C inhibitor, olomorasib</w:t>
      </w:r>
      <w:r>
        <w:rPr>
          <w:color w:val="333333"/>
          <w:vertAlign w:val="superscript"/>
        </w:rPr>
        <w:t>20</w:t>
      </w:r>
      <w:r>
        <w:rPr>
          <w:color w:val="333333"/>
        </w:rPr>
        <w:t>, was granted breakthrough designation (2025) in combination with pembrolizumab</w:t>
      </w:r>
      <w:r>
        <w:rPr>
          <w:color w:val="333333"/>
          <w:vertAlign w:val="superscript"/>
        </w:rPr>
        <w:t>21</w:t>
      </w:r>
      <w:r>
        <w:rPr>
          <w:color w:val="333333"/>
        </w:rPr>
        <w:t xml:space="preserve"> for unresectable</w:t>
      </w:r>
      <w:r/>
    </w:p>
    <w:p>
      <w:r/>
      <w:r>
        <w:rPr>
          <w:color w:val="333333"/>
        </w:rPr>
        <w:t>advanced or metastatic NSCLC with a KRAS G12C mutation and PD-L1 expression ≥ 50%. The RAF/MEK clamp, avutometinib</w:t>
      </w:r>
      <w:r>
        <w:rPr>
          <w:color w:val="333333"/>
          <w:vertAlign w:val="superscript"/>
        </w:rPr>
        <w:t>22</w:t>
      </w:r>
      <w:r>
        <w:rPr>
          <w:color w:val="333333"/>
        </w:rPr>
        <w:t xml:space="preserve"> was</w:t>
      </w:r>
      <w:r/>
    </w:p>
    <w:p>
      <w:r/>
      <w:r>
        <w:rPr>
          <w:color w:val="333333"/>
        </w:rPr>
        <w:t>also granted fast track designation (2024) in combination with sotorasib for KRAS G12C-mutated metastatic NSCLC in patients</w:t>
      </w:r>
      <w:r/>
    </w:p>
    <w:p>
      <w:r/>
      <w:r>
        <w:rPr>
          <w:color w:val="333333"/>
        </w:rPr>
        <w:t>who have received at least one prior systemic therapy and have not been previously treated with a KRAS G12C inhibitor. The KRAS</w:t>
      </w:r>
      <w:r/>
    </w:p>
    <w:p>
      <w:r/>
      <w:r>
        <w:rPr>
          <w:color w:val="333333"/>
        </w:rPr>
        <w:t>G12C inhibitor, BBO-8520</w:t>
      </w:r>
      <w:r>
        <w:rPr>
          <w:color w:val="333333"/>
          <w:vertAlign w:val="superscript"/>
        </w:rPr>
        <w:t>23</w:t>
      </w:r>
      <w:r>
        <w:rPr>
          <w:color w:val="333333"/>
        </w:rPr>
        <w:t>, was granted fast track designation in 2025 for previously treated KRAS G12C-mutated patients with</w:t>
      </w:r>
      <w:r/>
    </w:p>
    <w:p>
      <w:r/>
      <w:r>
        <w:rPr>
          <w:color w:val="333333"/>
        </w:rPr>
        <w:t>metastatic NSCLC. The RAS(ON) G12D-selective inhibitor, zoldonrasib</w:t>
      </w:r>
      <w:r>
        <w:rPr>
          <w:color w:val="333333"/>
          <w:vertAlign w:val="superscript"/>
        </w:rPr>
        <w:t>24</w:t>
      </w:r>
      <w:r>
        <w:rPr>
          <w:color w:val="333333"/>
        </w:rPr>
        <w:t>, was granted breakthrough designation (2026) for patients</w:t>
      </w:r>
      <w:r/>
    </w:p>
    <w:p>
      <w:r/>
      <w:r>
        <w:rPr>
          <w:color w:val="333333"/>
        </w:rPr>
        <w:t>with KRAS G12D-mutated locally advanced or metastatic NSCLC who have been previously treated with anti-PD-1/PD-L1 therapy and</w:t>
      </w:r>
      <w:r/>
    </w:p>
    <w:p>
      <w:r/>
      <w:r>
        <w:rPr>
          <w:color w:val="333333"/>
        </w:rPr>
        <w:t>platinum-based chemotherapy. The RAS inhibitor, daraxonrasib</w:t>
      </w:r>
      <w:r>
        <w:rPr>
          <w:color w:val="333333"/>
          <w:vertAlign w:val="superscript"/>
        </w:rPr>
        <w:t>25</w:t>
      </w:r>
      <w:r>
        <w:rPr>
          <w:color w:val="333333"/>
        </w:rPr>
        <w:t>, was granted breakthrough designation (2025) for previously treated</w:t>
      </w:r>
      <w:r/>
    </w:p>
    <w:p>
      <w:r/>
      <w:r>
        <w:rPr>
          <w:color w:val="333333"/>
        </w:rPr>
        <w:t>metastatic pancreatic ductal adenocarcinoma (PDAC) with KRAS G12 mutations. The KRAS G12D (ON/OFF) inhibitor, GFH-375</w:t>
      </w:r>
      <w:r>
        <w:rPr>
          <w:color w:val="333333"/>
          <w:vertAlign w:val="superscript"/>
        </w:rPr>
        <w:t>26</w:t>
      </w:r>
      <w:r>
        <w:rPr>
          <w:color w:val="333333"/>
        </w:rPr>
        <w:t>, was</w:t>
      </w:r>
      <w:r/>
    </w:p>
    <w:p>
      <w:r/>
      <w:r>
        <w:rPr>
          <w:color w:val="333333"/>
        </w:rPr>
        <w:t>also granted fast track designation (2025) for first-line and previously treated KRAS G12D-mutated locally advanced or metastatic</w:t>
      </w:r>
      <w:r/>
    </w:p>
    <w:p>
      <w:r/>
      <w:r>
        <w:rPr>
          <w:color w:val="333333"/>
        </w:rPr>
        <w:t>PDAC. The pan-KRAS inhibitor, BBO-11818</w:t>
      </w:r>
      <w:r>
        <w:rPr>
          <w:color w:val="333333"/>
          <w:vertAlign w:val="superscript"/>
        </w:rPr>
        <w:t>27</w:t>
      </w:r>
      <w:r>
        <w:rPr>
          <w:color w:val="333333"/>
        </w:rPr>
        <w:t>, was also granted fast track designation (2026) for adult patients with advanced KRAS-</w:t>
      </w:r>
      <w:r/>
    </w:p>
    <w:p>
      <w:r/>
      <w:r>
        <w:rPr>
          <w:color w:val="333333"/>
        </w:rPr>
        <w:t>mutant PDAC. The KRAS G12C inhibitor, D3S-001</w:t>
      </w:r>
      <w:r>
        <w:rPr>
          <w:color w:val="333333"/>
          <w:vertAlign w:val="superscript"/>
        </w:rPr>
        <w:t>28</w:t>
      </w:r>
      <w:r>
        <w:rPr>
          <w:color w:val="333333"/>
        </w:rPr>
        <w:t>, was granted fast track designation in 2024 for KRAS G12C-mutated patients with</w:t>
      </w:r>
      <w:r/>
    </w:p>
    <w:p>
      <w:r/>
      <w:r>
        <w:rPr>
          <w:color w:val="333333"/>
        </w:rPr>
        <w:t>advanced unresectable or metastatic CRC. The PLK1 inhibitor, onvansertib</w:t>
      </w:r>
      <w:r>
        <w:rPr>
          <w:color w:val="333333"/>
          <w:vertAlign w:val="superscript"/>
        </w:rPr>
        <w:t>29</w:t>
      </w:r>
      <w:r>
        <w:rPr>
          <w:color w:val="333333"/>
        </w:rPr>
        <w:t>, was granted fast track designation (2020) in combination</w:t>
      </w:r>
      <w:r/>
    </w:p>
    <w:p>
      <w:r/>
      <w:r>
        <w:rPr>
          <w:color w:val="333333"/>
        </w:rPr>
        <w:t>with bevacizumab and FOLFIRI for second-line treatment of patients with KRAS-mutated metastatic CRC. The immuno-oncolytic</w:t>
      </w:r>
      <w:r/>
    </w:p>
    <w:p>
      <w:r/>
      <w:r>
        <w:rPr>
          <w:color w:val="333333"/>
        </w:rPr>
        <w:t>virus, pelareorep</w:t>
      </w:r>
      <w:r>
        <w:rPr>
          <w:color w:val="333333"/>
          <w:vertAlign w:val="superscript"/>
        </w:rPr>
        <w:t>30</w:t>
      </w:r>
      <w:r>
        <w:rPr>
          <w:color w:val="333333"/>
        </w:rPr>
        <w:t>, was also granted fast track designation (2026) in combination with bevacizumab and FOLFIRI for second-line</w:t>
      </w:r>
      <w:r/>
    </w:p>
    <w:p>
      <w:r/>
      <w:r>
        <w:rPr>
          <w:color w:val="333333"/>
        </w:rPr>
        <w:t>treatment of patients with KRAS-mutated microsatellite-stable metastatic CRC. Additionally, KRAS mutations are associated with poor</w:t>
      </w:r>
      <w:r/>
    </w:p>
    <w:p>
      <w:r/>
      <w:r>
        <w:rPr>
          <w:color w:val="333333"/>
        </w:rPr>
        <w:t>prognosis in NSCLC</w:t>
      </w:r>
      <w:r>
        <w:rPr>
          <w:color w:val="333333"/>
          <w:vertAlign w:val="superscript"/>
        </w:rPr>
        <w:t>31</w:t>
      </w:r>
      <w:r>
        <w:rPr>
          <w:color w:val="333333"/>
        </w:rPr>
        <w:t>. Mutations in the RAS pathway, including KRAS, are ancillary diagnostic markers in pediatric gene fusion-negative</w:t>
      </w:r>
      <w:r/>
    </w:p>
    <w:p>
      <w:r/>
      <w:r>
        <w:rPr>
          <w:color w:val="333333"/>
        </w:rPr>
        <w:t>rhabdomyosarcoma (RMS)</w:t>
      </w:r>
      <w:r>
        <w:rPr>
          <w:color w:val="333333"/>
          <w:vertAlign w:val="superscript"/>
        </w:rPr>
        <w:t>32</w:t>
      </w:r>
      <w:r>
        <w:rPr>
          <w:color w:val="333333"/>
        </w:rPr>
        <w:t>.</w:t>
      </w:r>
      <w:r/>
    </w:p>
    <w:p>
      <w:r/>
      <w:r>
        <w:rPr>
          <w:color w:val="333333"/>
        </w:rPr>
        <w:t xml:space="preserve"> </w:t>
      </w:r>
      <w:r/>
    </w:p>
    <w:p>
      <w:r/>
      <w:r>
        <w:rPr>
          <w:color w:val="333333"/>
        </w:rPr>
        <w:t xml:space="preserve"> </w:t>
      </w:r>
      <w:r/>
    </w:p>
    <w:p>
      <w:r/>
      <w:r>
        <w:rPr>
          <w:b/>
          <w:color w:val="333333"/>
        </w:rPr>
        <w:t>NCT ID</w:t>
      </w:r>
      <w:r/>
    </w:p>
    <w:p>
      <w:r/>
      <w:r>
        <w:rPr>
          <w:b/>
          <w:color w:val="333333"/>
        </w:rPr>
        <w:t>Title</w:t>
      </w:r>
      <w:r/>
    </w:p>
    <w:p>
      <w:r/>
      <w:r>
        <w:rPr>
          <w:b/>
          <w:color w:val="333333"/>
        </w:rPr>
        <w:t>Phase</w:t>
      </w:r>
      <w:r/>
    </w:p>
    <w:p>
      <w:r/>
      <w:r>
        <w:rPr>
          <w:color w:val="FFFFFF"/>
          <w:highlight w:val="lightGray"/>
        </w:rPr>
        <w:t>KRAS G12V</w:t>
      </w:r>
      <w:r/>
    </w:p>
    <w:p>
      <w:r/>
      <w:r>
        <w:rPr>
          <w:b/>
          <w:color w:val="124B82"/>
        </w:rPr>
        <w:t>Clinical Trials Summary</w:t>
      </w:r>
      <w:r/>
      <w:r/>
      <w:r/>
      <w:r/>
      <w:r/>
      <w:r/>
    </w:p>
    <w:p>
      <w:r/>
      <w:r>
        <w:rPr>
          <w:color w:val="1A3D85"/>
        </w:rPr>
        <w:t>NCT07004244</w:t>
      </w:r>
      <w:r/>
    </w:p>
    <w:p>
      <w:r/>
      <w:r>
        <w:rPr>
          <w:color w:val="333333"/>
        </w:rPr>
        <w:t>Safety and Efficacy of KRAS Vaccine in the Treatment of KRAS-mutant Malignancies</w:t>
      </w:r>
      <w:r/>
    </w:p>
    <w:p>
      <w:r/>
      <w:r>
        <w:rPr>
          <w:color w:val="333333"/>
        </w:rPr>
        <w:t>I</w:t>
      </w:r>
      <w:r/>
    </w:p>
    <w:p>
      <w:r/>
      <w:r>
        <w:rPr>
          <w:color w:val="1A3D85"/>
        </w:rPr>
        <w:t>NCT07435038</w:t>
      </w:r>
      <w:r/>
    </w:p>
    <w:p>
      <w:r/>
      <w:r>
        <w:rPr>
          <w:color w:val="333333"/>
        </w:rPr>
        <w:t>A Phase I/II Clinical Study Evaluating the Safety, Tolerability, Pharmacokinetics, and Efficacy of</w:t>
      </w:r>
      <w:r/>
    </w:p>
    <w:p>
      <w:r/>
      <w:r>
        <w:rPr>
          <w:color w:val="333333"/>
        </w:rPr>
        <w:t>BPI-572270 Capsules in Patients with RAS-mutant Advanced Solid Tumors.</w:t>
      </w:r>
      <w:r/>
    </w:p>
    <w:p>
      <w:r/>
      <w:r>
        <w:rPr>
          <w:color w:val="333333"/>
        </w:rPr>
        <w:t>I/II</w:t>
      </w:r>
      <w:r/>
    </w:p>
    <w:p>
      <w:r/>
      <w:r>
        <w:rPr>
          <w:color w:val="1A3D85"/>
        </w:rPr>
        <w:t>NCT06895031</w:t>
      </w:r>
      <w:r/>
    </w:p>
    <w:p>
      <w:r/>
      <w:r>
        <w:rPr>
          <w:color w:val="333333"/>
        </w:rPr>
        <w:t>A Multi-center, Open-label, Phase I/II Clinical Study to Evaluate the Safety, Tolerability,</w:t>
      </w:r>
      <w:r/>
    </w:p>
    <w:p>
      <w:r/>
      <w:r>
        <w:rPr>
          <w:color w:val="333333"/>
        </w:rPr>
        <w:t>Pharmacokinetics, and Antitumor Activity of JYP0015 in Advanced Solid Tumors With RAS Mutation</w:t>
      </w:r>
      <w:r/>
    </w:p>
    <w:p>
      <w:r/>
      <w:r>
        <w:rPr>
          <w:color w:val="333333"/>
        </w:rPr>
        <w:t>I/II</w:t>
      </w:r>
      <w:r/>
    </w:p>
    <w:p>
      <w:r/>
      <w:r>
        <w:rPr>
          <w:color w:val="1A3D85"/>
        </w:rPr>
        <w:t>NCT05369312</w:t>
      </w:r>
      <w:r/>
    </w:p>
    <w:p>
      <w:r/>
      <w:r>
        <w:rPr>
          <w:color w:val="333333"/>
        </w:rPr>
        <w:t>Phase I Study of BPI-442096 in Advanced Solid Tumor Patients</w:t>
      </w:r>
      <w:r/>
    </w:p>
    <w:p>
      <w:r/>
      <w:r>
        <w:rPr>
          <w:color w:val="333333"/>
        </w:rPr>
        <w:t>I</w:t>
      </w:r>
      <w:r/>
    </w:p>
    <w:p>
      <w:r/>
      <w:r>
        <w:rPr>
          <w:color w:val="1A3D85"/>
        </w:rPr>
        <w:t>NCT06962254</w:t>
      </w:r>
      <w:r/>
    </w:p>
    <w:p>
      <w:r/>
      <w:r>
        <w:rPr>
          <w:color w:val="333333"/>
        </w:rPr>
        <w:t>Treatment of Solid Tumors Harboring KRAS Mutation With Imatinib and Trametinib</w:t>
      </w:r>
      <w:r/>
    </w:p>
    <w:p>
      <w:r/>
      <w:r>
        <w:rPr>
          <w:color w:val="333333"/>
        </w:rPr>
        <w:t>I</w:t>
      </w:r>
      <w:r/>
    </w:p>
    <w:p>
      <w:r/>
      <w:r>
        <w:rPr>
          <w:color w:val="1A3D85"/>
        </w:rPr>
        <w:t>NCT05004441</w:t>
      </w:r>
      <w:r/>
    </w:p>
    <w:p>
      <w:r/>
      <w:r>
        <w:rPr>
          <w:color w:val="333333"/>
        </w:rPr>
        <w:t>Fruquintinib Combined With mFOLFOX6/FOLFIRI in First-line Treatment for Metastatic Colorectal</w:t>
      </w:r>
      <w:r/>
    </w:p>
    <w:p>
      <w:r/>
      <w:r>
        <w:rPr>
          <w:color w:val="333333"/>
        </w:rPr>
        <w:t>Cancer:HCCSC C02 Trial</w:t>
      </w:r>
      <w:r/>
    </w:p>
    <w:p>
      <w:r/>
      <w:r>
        <w:rPr>
          <w:color w:val="333333"/>
        </w:rPr>
        <w:t>II</w:t>
      </w:r>
      <w:r/>
    </w:p>
    <w:p>
      <w:r/>
      <w:r>
        <w:rPr>
          <w:color w:val="333333"/>
        </w:rPr>
        <w:t xml:space="preserve"> </w:t>
      </w:r>
      <w:r/>
    </w:p>
    <w:p>
      <w:r/>
      <w:r>
        <w:rPr>
          <w:color w:val="333333"/>
        </w:rPr>
        <w:t xml:space="preserve"> </w:t>
      </w:r>
      <w:r/>
      <w:r/>
      <w:r/>
      <w:r/>
      <w:r/>
    </w:p>
    <w:p>
      <w:r/>
      <w:r>
        <w:rPr>
          <w:color w:val="333333"/>
        </w:rPr>
        <w:t>2.</w:t>
      </w:r>
      <w:r/>
    </w:p>
    <w:p>
      <w:r/>
      <w:r>
        <w:rPr>
          <w:color w:val="333333"/>
        </w:rPr>
        <w:t>Pylayeva-Gupta et al. RAS oncogenes: weaving a tumorigenic web. Nat. Rev. Cancer. 2011 Oct 13;11(11):761-74. PMID: 21993244</w:t>
      </w:r>
      <w:r/>
    </w:p>
    <w:p>
      <w:r/>
      <w:r>
        <w:rPr>
          <w:color w:val="333333"/>
        </w:rPr>
        <w:t>3.</w:t>
      </w:r>
      <w:r/>
    </w:p>
    <w:p>
      <w:r/>
      <w:r>
        <w:rPr>
          <w:color w:val="333333"/>
        </w:rPr>
        <w:t>Karnoub et al. Ras oncogenes: split personalities. Nat. Rev. Mol. Cell Biol. 2008 Jul;9(7):517-31. PMID: 18568040</w:t>
      </w:r>
      <w:r/>
    </w:p>
    <w:p>
      <w:r/>
      <w:r>
        <w:rPr>
          <w:color w:val="333333"/>
        </w:rPr>
        <w:t>4.</w:t>
      </w:r>
      <w:r/>
    </w:p>
    <w:p>
      <w:r/>
      <w:r>
        <w:rPr>
          <w:color w:val="333333"/>
        </w:rPr>
        <w:t>Scott et al. Therapeutic Approaches to RAS Mutation. Cancer J. 2016 May-Jun;22(3):165-74. doi: 10.1097/</w:t>
      </w:r>
      <w:r/>
    </w:p>
    <w:p>
      <w:r/>
      <w:r>
        <w:rPr>
          <w:color w:val="333333"/>
        </w:rPr>
        <w:t>PPO.0000000000000187. PMID: 27341593</w:t>
      </w:r>
      <w:r/>
    </w:p>
    <w:p>
      <w:r/>
      <w:r>
        <w:rPr>
          <w:color w:val="333333"/>
        </w:rPr>
        <w:t>5.</w:t>
      </w:r>
      <w:r/>
    </w:p>
    <w:p>
      <w:r/>
      <w:r>
        <w:rPr>
          <w:color w:val="333333"/>
        </w:rPr>
        <w:t>Johnson et al. Classification of KRAS-Activating Mutations and the Implications for Therapeutic Intervention. Cancer Discov. 2022</w:t>
      </w:r>
      <w:r/>
    </w:p>
    <w:p>
      <w:r/>
      <w:r>
        <w:rPr>
          <w:color w:val="333333"/>
        </w:rPr>
        <w:t>Apr 1;12(4):913-923. PMID: 35373279</w:t>
      </w:r>
      <w:r/>
    </w:p>
    <w:p>
      <w:r/>
      <w:r>
        <w:rPr>
          <w:color w:val="333333"/>
        </w:rPr>
        <w:t>6.</w:t>
      </w:r>
      <w:r/>
    </w:p>
    <w:p>
      <w:r/>
      <w:r>
        <w:rPr>
          <w:color w:val="333333"/>
        </w:rPr>
        <w:t>Weinstein et al. The Cancer Genome Atlas Pan-Cancer analysis project. Nat. Genet. 2013 Oct;45(10):1113-20. PMID: 24071849</w:t>
      </w:r>
      <w:r/>
    </w:p>
    <w:p>
      <w:r/>
      <w:r>
        <w:rPr>
          <w:color w:val="333333"/>
        </w:rPr>
        <w:t>7.</w:t>
      </w:r>
      <w:r/>
    </w:p>
    <w:p>
      <w:r/>
      <w:r>
        <w:rPr>
          <w:color w:val="333333"/>
        </w:rPr>
        <w:t>Román et al. KRAS oncogene in non-small cell lung cancer: clinical perspectives on the treatment of an old target. Mol Cancer.</w:t>
      </w:r>
      <w:r/>
    </w:p>
    <w:p>
      <w:r/>
      <w:r>
        <w:rPr>
          <w:color w:val="333333"/>
        </w:rPr>
        <w:t>2018 Feb 19;17(1):33. doi: 10.1186/s12943-018-0789-x. PMID: 29455666</w:t>
      </w:r>
      <w:r/>
    </w:p>
    <w:p>
      <w:r/>
      <w:r>
        <w:rPr>
          <w:color w:val="333333"/>
        </w:rPr>
        <w:t>8.</w:t>
      </w:r>
      <w:r/>
    </w:p>
    <w:p>
      <w:r/>
      <w:r>
        <w:rPr>
          <w:color w:val="333333"/>
        </w:rPr>
        <w:t>Dinu et al. Prognostic significance of KRAS gene mutations in colorectal cancer--preliminary study. J Med Life. 2014 Oct-</w:t>
      </w:r>
      <w:r/>
    </w:p>
    <w:p>
      <w:r/>
      <w:r>
        <w:rPr>
          <w:color w:val="333333"/>
        </w:rPr>
        <w:t>Dec;7(4):581-7. PMID: 25713627</w:t>
      </w:r>
      <w:r/>
    </w:p>
    <w:p>
      <w:r/>
      <w:r>
        <w:rPr>
          <w:color w:val="333333"/>
        </w:rPr>
        <w:t>9.</w:t>
      </w:r>
      <w:r/>
    </w:p>
    <w:p>
      <w:r/>
      <w:r>
        <w:rPr>
          <w:color w:val="333333"/>
        </w:rPr>
        <w:t>Cerami et al. The cBio cancer genomics portal: an open platform for exploring multidimensional cancer genomics data. Cancer</w:t>
      </w:r>
      <w:r/>
    </w:p>
    <w:p>
      <w:r/>
      <w:r>
        <w:rPr>
          <w:color w:val="333333"/>
        </w:rPr>
        <w:t>Discov. 2012 May;2(5):401-4. PMID: 22588877</w:t>
      </w:r>
      <w:r/>
    </w:p>
    <w:p>
      <w:r/>
      <w:r>
        <w:rPr>
          <w:color w:val="333333"/>
        </w:rPr>
        <w:t>10.</w:t>
      </w:r>
      <w:r/>
    </w:p>
    <w:p>
      <w:r/>
      <w:r>
        <w:rPr>
          <w:color w:val="333333"/>
        </w:rPr>
        <w:t>Allegra et al. Extended RAS Gene Mutation Testing in Metastatic Colorectal Carcinoma to Predict Response to Anti-Epidermal</w:t>
      </w:r>
      <w:r/>
    </w:p>
    <w:p>
      <w:r/>
      <w:r>
        <w:rPr>
          <w:color w:val="333333"/>
        </w:rPr>
        <w:t>Growth Factor Receptor Monoclonal Antibody Therapy: American Society of Clinical Oncology Provisional Clinical Opinion Update</w:t>
      </w:r>
      <w:r/>
    </w:p>
    <w:p>
      <w:r/>
      <w:r>
        <w:rPr>
          <w:color w:val="333333"/>
        </w:rPr>
        <w:t>2015. J. Clin. Oncol. 2016 Jan 10;34(2):179-85. PMID: 26438111</w:t>
      </w:r>
      <w:r/>
    </w:p>
    <w:p>
      <w:r/>
      <w:r>
        <w:rPr>
          <w:color w:val="333333"/>
        </w:rPr>
        <w:t>11.</w:t>
      </w:r>
      <w:r/>
    </w:p>
    <w:p>
      <w:r/>
      <w:r>
        <w:rPr>
          <w:color w:val="333333"/>
        </w:rPr>
        <w:t>https://www.accessdata.fda.gov/drugsatfda_docs/label/2025/214665Orig1s009correctedlbl.pdf</w:t>
      </w:r>
      <w:r/>
    </w:p>
    <w:p>
      <w:r/>
      <w:r>
        <w:rPr>
          <w:color w:val="333333"/>
        </w:rPr>
        <w:t>12.</w:t>
      </w:r>
      <w:r/>
    </w:p>
    <w:p>
      <w:r/>
      <w:r>
        <w:rPr>
          <w:color w:val="333333"/>
        </w:rPr>
        <w:t>https://www.accessdata.fda.gov/drugsatfda_docs/label/2026/216340s009lbl.pdf</w:t>
      </w:r>
      <w:r/>
    </w:p>
    <w:p>
      <w:r/>
      <w:r>
        <w:rPr>
          <w:color w:val="333333"/>
        </w:rPr>
        <w:t>13.</w:t>
      </w:r>
      <w:r/>
    </w:p>
    <w:p>
      <w:r/>
      <w:r>
        <w:rPr>
          <w:color w:val="333333"/>
        </w:rPr>
        <w:t>NCCN Guidelines® - NCCN-Pancreatic Adenocarcinoma [Version 2.2026]</w:t>
      </w:r>
      <w:r/>
    </w:p>
    <w:p>
      <w:r/>
      <w:r>
        <w:rPr>
          <w:color w:val="333333"/>
        </w:rPr>
        <w:t>14.</w:t>
      </w:r>
      <w:r/>
    </w:p>
    <w:p>
      <w:r/>
      <w:r>
        <w:rPr>
          <w:color w:val="333333"/>
        </w:rPr>
        <w:t>https://www.accessdata.fda.gov/drugsatfda_docs/label/2025/125147s213lbl.pdf</w:t>
      </w:r>
      <w:r/>
    </w:p>
    <w:p>
      <w:r/>
      <w:r>
        <w:rPr>
          <w:color w:val="333333"/>
        </w:rPr>
        <w:t>15.</w:t>
      </w:r>
      <w:r/>
    </w:p>
    <w:p>
      <w:r/>
      <w:r>
        <w:rPr>
          <w:color w:val="333333"/>
        </w:rPr>
        <w:t>https://www.accessdata.fda.gov/drugsatfda_docs/label/2021/125084s279lbl.pdf</w:t>
      </w:r>
      <w:r/>
    </w:p>
    <w:p>
      <w:r/>
      <w:r>
        <w:rPr>
          <w:color w:val="333333"/>
        </w:rPr>
        <w:t>16.</w:t>
      </w:r>
      <w:r/>
    </w:p>
    <w:p>
      <w:r/>
      <w:r>
        <w:rPr>
          <w:color w:val="333333"/>
        </w:rPr>
        <w:t>https://www.accessdata.fda.gov/drugsatfda_docs/label/2025/219616s000lbl.pdf</w:t>
      </w:r>
      <w:r/>
    </w:p>
    <w:p>
      <w:r/>
      <w:r>
        <w:rPr>
          <w:color w:val="333333"/>
        </w:rPr>
        <w:t>17.</w:t>
      </w:r>
      <w:r/>
    </w:p>
    <w:p>
      <w:r/>
      <w:r>
        <w:rPr>
          <w:color w:val="333333"/>
        </w:rPr>
        <w:t>https://assets.cwp.roche.com/f/126832/x/5738a7538b/irp230202.pdf</w:t>
      </w:r>
      <w:r/>
    </w:p>
    <w:p>
      <w:r/>
      <w:r>
        <w:rPr>
          <w:color w:val="333333"/>
        </w:rPr>
        <w:t>18.</w:t>
      </w:r>
      <w:r/>
    </w:p>
    <w:p>
      <w:r/>
      <w:r>
        <w:rPr>
          <w:color w:val="333333"/>
        </w:rPr>
        <w:t>https://ir.revmed.com/node/11881/pdf</w:t>
      </w:r>
      <w:r/>
    </w:p>
    <w:p>
      <w:r/>
      <w:r>
        <w:rPr>
          <w:color w:val="333333"/>
        </w:rPr>
        <w:t>19.</w:t>
      </w:r>
      <w:r/>
    </w:p>
    <w:p>
      <w:r/>
      <w:r>
        <w:rPr>
          <w:color w:val="333333"/>
        </w:rPr>
        <w:t>https://www.prnewswire.com/news-releases/d3-bio-inc-announces-fda-breakthrough-therapy-designation-and-orphan-drug-</w:t>
      </w:r>
      <w:r/>
    </w:p>
    <w:p>
      <w:r/>
      <w:r>
        <w:rPr>
          <w:color w:val="333333"/>
        </w:rPr>
        <w:t>designation-for-d3s-001-for-the-treatment-of-patients-with-kras-g12c-mutated-cancers-302540808.html</w:t>
      </w:r>
      <w:r/>
    </w:p>
    <w:p>
      <w:r/>
      <w:r>
        <w:rPr>
          <w:color w:val="333333"/>
        </w:rPr>
        <w:t>20.</w:t>
      </w:r>
      <w:r/>
    </w:p>
    <w:p>
      <w:r/>
      <w:r>
        <w:rPr>
          <w:color w:val="333333"/>
        </w:rPr>
        <w:t>https://www.prnewswire.com/news-releases/lillys-olomorasib-receives-us-fdas-breakthrough-therapy-designation-for-the-</w:t>
      </w:r>
      <w:r/>
    </w:p>
    <w:p>
      <w:r/>
      <w:r>
        <w:rPr>
          <w:color w:val="333333"/>
        </w:rPr>
        <w:t>treatment-of-certain-newly-diagnosed-metastatic-kras-g12c-mutant-lung-cancers-302545643.html</w:t>
      </w:r>
      <w:r/>
    </w:p>
    <w:p>
      <w:r/>
      <w:r>
        <w:rPr>
          <w:color w:val="333333"/>
        </w:rPr>
        <w:t>21.</w:t>
      </w:r>
      <w:r/>
    </w:p>
    <w:p>
      <w:r/>
      <w:r>
        <w:rPr>
          <w:color w:val="333333"/>
        </w:rPr>
        <w:t>https://www.accessdata.fda.gov/drugsatfda_docs/label/2026/125514s190lbl.pdf</w:t>
      </w:r>
      <w:r/>
    </w:p>
    <w:p>
      <w:r/>
      <w:r>
        <w:rPr>
          <w:color w:val="333333"/>
        </w:rPr>
        <w:t>22.</w:t>
      </w:r>
      <w:r/>
    </w:p>
    <w:p>
      <w:r/>
      <w:r>
        <w:rPr>
          <w:color w:val="333333"/>
        </w:rPr>
        <w:t>https://investor.verastem.com/news-releases/news-release-details/verastem-oncology-granted-fast-track-designation-</w:t>
      </w:r>
      <w:r/>
    </w:p>
    <w:p>
      <w:r/>
      <w:r>
        <w:rPr>
          <w:color w:val="333333"/>
        </w:rPr>
        <w:t>combination</w:t>
      </w:r>
      <w:r/>
    </w:p>
    <w:p>
      <w:r/>
      <w:r>
        <w:rPr>
          <w:color w:val="333333"/>
        </w:rPr>
        <w:t>23.</w:t>
      </w:r>
      <w:r/>
    </w:p>
    <w:p>
      <w:r/>
      <w:r>
        <w:rPr>
          <w:color w:val="333333"/>
        </w:rPr>
        <w:t>https://www.businesswire.com/news/home/20250109170439/en/</w:t>
      </w:r>
      <w:r/>
    </w:p>
    <w:p>
      <w:r/>
      <w:r>
        <w:rPr>
          <w:color w:val="333333"/>
        </w:rPr>
        <w:t>24.</w:t>
      </w:r>
      <w:r/>
    </w:p>
    <w:p>
      <w:r/>
      <w:r>
        <w:rPr>
          <w:color w:val="333333"/>
        </w:rPr>
        <w:t>https://ir.revmed.com/news-releases/news-release-details/revolution-medicines-announces-fda-breakthrough-therapy-1</w:t>
      </w:r>
      <w:r/>
    </w:p>
    <w:p>
      <w:r/>
      <w:r>
        <w:rPr>
          <w:color w:val="333333"/>
        </w:rPr>
        <w:t>25.</w:t>
      </w:r>
      <w:r/>
    </w:p>
    <w:p>
      <w:r/>
      <w:r>
        <w:rPr>
          <w:color w:val="333333"/>
        </w:rPr>
        <w:t>https://ir.revmed.com/news-releases/news-release-details/revolution-medicines-announces-fda-breakthrough-therapy</w:t>
      </w:r>
      <w:r/>
    </w:p>
    <w:p>
      <w:r/>
      <w:r>
        <w:rPr>
          <w:color w:val="333333"/>
        </w:rPr>
        <w:t>26.</w:t>
      </w:r>
      <w:r/>
    </w:p>
    <w:p>
      <w:r/>
      <w:r>
        <w:rPr>
          <w:color w:val="333333"/>
        </w:rPr>
        <w:t>https://investor.verastem.com/news-releases/news-release-details/verastem-oncology-granted-fast-track-designation-vs-7375</w:t>
      </w:r>
      <w:r/>
    </w:p>
    <w:p>
      <w:r/>
      <w:r>
        <w:rPr>
          <w:color w:val="333333"/>
        </w:rPr>
        <w:t>27.</w:t>
      </w:r>
      <w:r/>
    </w:p>
    <w:p>
      <w:r/>
      <w:r>
        <w:rPr>
          <w:color w:val="333333"/>
        </w:rPr>
        <w:t>https://www.targetedonc.com/view/fda-grants-fast-track-designation-to-bbo-11818-in-kras-mutant-pdac</w:t>
      </w:r>
      <w:r/>
    </w:p>
    <w:p>
      <w:r/>
      <w:r>
        <w:rPr>
          <w:color w:val="333333"/>
        </w:rPr>
        <w:t>28.</w:t>
      </w:r>
      <w:r/>
    </w:p>
    <w:p>
      <w:r/>
      <w:r>
        <w:rPr>
          <w:color w:val="333333"/>
        </w:rPr>
        <w:t>https://www.d3bio.com/press-releases/d3-bios-d3s-001-receives-u-s-fda-fast-track-designation-for-the-treatment-of-colorectal-</w:t>
      </w:r>
      <w:r/>
    </w:p>
    <w:p>
      <w:r/>
      <w:r>
        <w:rPr>
          <w:color w:val="333333"/>
        </w:rPr>
        <w:t>cancer-with-kras-g12c-mutation</w:t>
      </w:r>
      <w:r/>
    </w:p>
    <w:p>
      <w:r/>
      <w:r>
        <w:rPr>
          <w:color w:val="333333"/>
        </w:rPr>
        <w:t>29.</w:t>
      </w:r>
      <w:r/>
    </w:p>
    <w:p>
      <w:r/>
      <w:r>
        <w:rPr>
          <w:color w:val="333333"/>
        </w:rPr>
        <w:t>https://cardiffoncology.com/wp-content/uploads/2021/07/Cardiff_Oncology_Investor_Presentation-_July_2021.pdf</w:t>
      </w:r>
      <w:r/>
    </w:p>
    <w:p>
      <w:r/>
      <w:r>
        <w:rPr>
          <w:color w:val="333333"/>
        </w:rPr>
        <w:t>30.</w:t>
      </w:r>
      <w:r/>
    </w:p>
    <w:p>
      <w:r/>
      <w:r>
        <w:rPr>
          <w:color w:val="333333"/>
        </w:rPr>
        <w:t>https://oncolyticsbiotech.com/press_releases/oncolytics-biotech-receives-fda-fast-track-designation-for-pelareorep-in-2l-kras-</w:t>
      </w:r>
      <w:r/>
    </w:p>
    <w:p>
      <w:r/>
      <w:r>
        <w:rPr>
          <w:color w:val="333333"/>
        </w:rPr>
        <w:t>mutant-mss-metastatic-colorectal-cancer/</w:t>
      </w:r>
      <w:r/>
    </w:p>
    <w:p>
      <w:r/>
      <w:r>
        <w:rPr>
          <w:color w:val="333333"/>
        </w:rPr>
        <w:t>31.</w:t>
      </w:r>
      <w:r/>
    </w:p>
    <w:p>
      <w:r/>
      <w:r>
        <w:rPr>
          <w:color w:val="333333"/>
        </w:rPr>
        <w:t>Slebos et al. K-ras oncogene activation as a prognostic marker in adenocarcinoma of the lung. N. Engl. J. Med. 1990 Aug</w:t>
      </w:r>
      <w:r/>
    </w:p>
    <w:p>
      <w:r/>
      <w:r>
        <w:rPr>
          <w:color w:val="333333"/>
        </w:rPr>
        <w:t>30;323(9):561-5. PMID: 2199829</w:t>
      </w:r>
      <w:r/>
    </w:p>
    <w:p>
      <w:r/>
      <w:r>
        <w:rPr>
          <w:color w:val="333333"/>
        </w:rPr>
        <w:t xml:space="preserve"> </w:t>
      </w:r>
      <w:r/>
    </w:p>
    <w:p>
      <w:r/>
      <w:r>
        <w:rPr>
          <w:color w:val="333333"/>
        </w:rPr>
        <w:t xml:space="preserve"> </w:t>
      </w:r>
      <w:r/>
      <w:r/>
      <w:r/>
      <w:r/>
      <w:r/>
    </w:p>
    <w:p>
      <w:r/>
      <w:r>
        <w:rPr>
          <w:color w:val="333333"/>
        </w:rPr>
        <w:t xml:space="preserve"> </w:t>
      </w:r>
      <w:r/>
    </w:p>
    <w:p>
      <w:r/>
      <w:r>
        <w:rPr>
          <w:color w:val="333333"/>
        </w:rPr>
        <w:t xml:space="preserve"> </w:t>
      </w:r>
      <w:r/>
      <w:r/>
      <w:r/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