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7.99999999999997" w:type="dxa"/>
      </w:tblPr>
      <w:tblGrid>
        <w:gridCol w:w="10528"/>
      </w:tblGrid>
      <w:tr>
        <w:trPr>
          <w:trHeight w:hRule="exact" w:val="1224"/>
        </w:trPr>
        <w:tc>
          <w:tcPr>
            <w:tcW w:type="dxa" w:w="10258"/>
            <w:tcBorders>
              <w:start w:sz="10.399999999999977" w:val="single" w:color="#000000"/>
              <w:top w:sz="10.399999999999977" w:val="single" w:color="#000000"/>
              <w:end w:sz="10.399999999999636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2564"/>
              <w:gridCol w:w="2564"/>
              <w:gridCol w:w="2564"/>
              <w:gridCol w:w="2564"/>
            </w:tblGrid>
            <w:tr>
              <w:trPr>
                <w:trHeight w:hRule="exact" w:val="222"/>
              </w:trPr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4" w:after="0"/>
                    <w:ind w:left="2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Name</w:t>
                  </w:r>
                </w:p>
              </w:tc>
              <w:tc>
                <w:tcPr>
                  <w:tcW w:type="dxa" w:w="2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4" w:after="0"/>
                    <w:ind w:left="15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 Mr.PRASANT KUMAR JENA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4" w:after="0"/>
                    <w:ind w:left="0" w:right="196" w:firstLine="0"/>
                    <w:jc w:val="righ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Centre Details</w:t>
                  </w:r>
                </w:p>
              </w:tc>
              <w:tc>
                <w:tcPr>
                  <w:tcW w:type="dxa" w:w="3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4" w:after="0"/>
                    <w:ind w:left="20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:AIIMS BHUBNESWAR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56" w:after="0"/>
                    <w:ind w:left="2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Age</w:t>
                  </w:r>
                </w:p>
              </w:tc>
              <w:tc>
                <w:tcPr>
                  <w:tcW w:type="dxa" w:w="2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56" w:after="0"/>
                    <w:ind w:left="15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 72 Yrs          Sex: Male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56" w:after="0"/>
                    <w:ind w:left="0" w:right="340" w:firstLine="0"/>
                    <w:jc w:val="righ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Accession.ID</w:t>
                  </w:r>
                </w:p>
              </w:tc>
              <w:tc>
                <w:tcPr>
                  <w:tcW w:type="dxa" w:w="3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56" w:after="0"/>
                    <w:ind w:left="20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:OQG2607020430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50" w:after="0"/>
                    <w:ind w:left="2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Collection Date</w:t>
                  </w:r>
                </w:p>
              </w:tc>
              <w:tc>
                <w:tcPr>
                  <w:tcW w:type="dxa" w:w="2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50" w:after="0"/>
                    <w:ind w:left="15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 01/Jul/2026 12:00AM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50" w:after="0"/>
                    <w:ind w:left="0" w:right="418" w:firstLine="0"/>
                    <w:jc w:val="righ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Referred By</w:t>
                  </w:r>
                </w:p>
              </w:tc>
              <w:tc>
                <w:tcPr>
                  <w:tcW w:type="dxa" w:w="3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50" w:after="0"/>
                    <w:ind w:left="20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:DR.SAROJ KUMAR DAS MAJUMDAR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4" w:after="0"/>
                    <w:ind w:left="2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Received Date</w:t>
                  </w:r>
                </w:p>
              </w:tc>
              <w:tc>
                <w:tcPr>
                  <w:tcW w:type="dxa" w:w="2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4" w:after="0"/>
                    <w:ind w:left="15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 02/Jul/2026 02:34PM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4" w:after="0"/>
                    <w:ind w:left="0" w:right="378" w:firstLine="0"/>
                    <w:jc w:val="righ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Report Date</w:t>
                  </w:r>
                </w:p>
              </w:tc>
              <w:tc>
                <w:tcPr>
                  <w:tcW w:type="dxa" w:w="3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4" w:after="0"/>
                    <w:ind w:left="20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:15/Jul/2026 04:22PM</w:t>
                  </w:r>
                </w:p>
              </w:tc>
            </w:tr>
            <w:tr>
              <w:trPr>
                <w:trHeight w:hRule="exact" w:val="198"/>
              </w:trPr>
              <w:tc>
                <w:tcPr>
                  <w:tcW w:type="dxa" w:w="44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0" w:after="0"/>
                    <w:ind w:left="2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Registration Date</w:t>
                  </w: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 02/Jul/2026 02:34PM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0" w:after="0"/>
                    <w:ind w:left="0" w:right="248" w:firstLine="0"/>
                    <w:jc w:val="righ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Ref.No/TRF.No</w:t>
                  </w:r>
                </w:p>
              </w:tc>
              <w:tc>
                <w:tcPr>
                  <w:tcW w:type="dxa" w:w="3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0" w:after="0"/>
                    <w:ind w:left="20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 /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82" w:lineRule="exact" w:before="70" w:after="0"/>
        <w:ind w:left="0" w:right="0" w:firstLine="0"/>
        <w:jc w:val="center"/>
      </w:pPr>
      <w:r>
        <w:rPr>
          <w:w w:val="101.26511255900066"/>
          <w:rFonts w:ascii="Times New Roman,Bold" w:hAnsi="Times New Roman,Bold" w:eastAsia="Times New Roman,Bold"/>
          <w:b/>
          <w:i w:val="0"/>
          <w:color w:val="000000"/>
          <w:sz w:val="18"/>
        </w:rPr>
        <w:t>DEPARTMENT OF MOLECULAR DIAGNOSTICS-II</w:t>
      </w:r>
    </w:p>
    <w:p>
      <w:pPr>
        <w:autoSpaceDN w:val="0"/>
        <w:autoSpaceDE w:val="0"/>
        <w:widowControl/>
        <w:spacing w:line="268" w:lineRule="exact" w:before="322" w:after="0"/>
        <w:ind w:left="104" w:right="4752" w:firstLine="0"/>
        <w:jc w:val="left"/>
      </w:pPr>
      <w:r>
        <w:rPr>
          <w:w w:val="101.73187255859375"/>
          <w:rFonts w:ascii="Times New Roman,BoldItalic" w:hAnsi="Times New Roman,BoldItalic" w:eastAsia="Times New Roman,BoldItalic"/>
          <w:b/>
          <w:i/>
          <w:color w:val="124B82"/>
          <w:sz w:val="25"/>
        </w:rPr>
        <w:t>Oncq</w:t>
      </w:r>
      <w:r>
        <w:rPr>
          <w:w w:val="101.73187255859375"/>
          <w:rFonts w:ascii="Times New Roman,BoldItalic" w:hAnsi="Times New Roman,BoldItalic" w:eastAsia="Times New Roman,BoldItalic"/>
          <w:b/>
          <w:i/>
          <w:color w:val="009966"/>
          <w:sz w:val="25"/>
        </w:rPr>
        <w:t xml:space="preserve">Sol Focus 52 Gene Panel </w:t>
      </w:r>
      <w:r>
        <w:br/>
      </w:r>
      <w:r>
        <w:rPr>
          <w:w w:val="102.75946723090277"/>
          <w:rFonts w:ascii="Calibri,Italic" w:hAnsi="Calibri,Italic" w:eastAsia="Calibri,Italic"/>
          <w:b w:val="0"/>
          <w:i/>
          <w:color w:val="000000"/>
          <w:sz w:val="18"/>
        </w:rPr>
        <w:t xml:space="preserve">Next Generation Sequencing </w:t>
      </w:r>
      <w:r>
        <w:br/>
      </w:r>
      <w:r>
        <w:rPr>
          <w:w w:val="102.75946723090277"/>
          <w:rFonts w:ascii="Calibri,Bold" w:hAnsi="Calibri,Bold" w:eastAsia="Calibri,Bold"/>
          <w:b/>
          <w:i w:val="0"/>
          <w:color w:val="124B82"/>
          <w:sz w:val="18"/>
        </w:rPr>
        <w:t>Clinical Indication</w:t>
      </w:r>
      <w:r>
        <w:rPr>
          <w:w w:val="102.75946723090277"/>
          <w:rFonts w:ascii="Calibri,Bold" w:hAnsi="Calibri,Bold" w:eastAsia="Calibri,Bold"/>
          <w:b/>
          <w:i w:val="0"/>
          <w:color w:val="1E8AE7"/>
          <w:sz w:val="18"/>
        </w:rPr>
        <w:t>:</w:t>
      </w:r>
      <w:r>
        <w:rPr>
          <w:w w:val="102.75946723090277"/>
          <w:rFonts w:ascii="Calibri" w:hAnsi="Calibri" w:eastAsia="Calibri"/>
          <w:b w:val="0"/>
          <w:i w:val="0"/>
          <w:color w:val="000000"/>
          <w:sz w:val="18"/>
        </w:rPr>
        <w:t xml:space="preserve">Signet ring cell carcinoma. To rule out carcinoma colon </w:t>
      </w:r>
      <w:r>
        <w:rPr>
          <w:w w:val="102.75946723090277"/>
          <w:rFonts w:ascii="Calibri,Bold" w:hAnsi="Calibri,Bold" w:eastAsia="Calibri,Bold"/>
          <w:b/>
          <w:i w:val="0"/>
          <w:color w:val="124B82"/>
          <w:sz w:val="18"/>
        </w:rPr>
        <w:t>Specimen</w:t>
      </w:r>
      <w:r>
        <w:rPr>
          <w:w w:val="102.75946723090277"/>
          <w:rFonts w:ascii="Calibri,Bold" w:hAnsi="Calibri,Bold" w:eastAsia="Calibri,Bold"/>
          <w:b/>
          <w:i w:val="0"/>
          <w:color w:val="000000"/>
          <w:sz w:val="18"/>
        </w:rPr>
        <w:t>:</w:t>
      </w:r>
      <w:r>
        <w:rPr>
          <w:w w:val="102.75946723090277"/>
          <w:rFonts w:ascii="Calibri" w:hAnsi="Calibri" w:eastAsia="Calibri"/>
          <w:b w:val="0"/>
          <w:i w:val="0"/>
          <w:color w:val="000000"/>
          <w:sz w:val="18"/>
        </w:rPr>
        <w:t xml:space="preserve"> Slides from FFPE Block: 26106/356 </w:t>
      </w:r>
      <w:r>
        <w:br/>
      </w:r>
      <w:r>
        <w:rPr>
          <w:w w:val="102.75946723090277"/>
          <w:rFonts w:ascii="Calibri,Bold" w:hAnsi="Calibri,Bold" w:eastAsia="Calibri,Bold"/>
          <w:b/>
          <w:i w:val="0"/>
          <w:color w:val="124B82"/>
          <w:sz w:val="18"/>
        </w:rPr>
        <w:t>Site</w:t>
      </w:r>
      <w:r>
        <w:rPr>
          <w:w w:val="102.75946723090277"/>
          <w:rFonts w:ascii="Calibri,Bold" w:hAnsi="Calibri,Bold" w:eastAsia="Calibri,Bold"/>
          <w:b/>
          <w:i w:val="0"/>
          <w:color w:val="000000"/>
          <w:sz w:val="18"/>
        </w:rPr>
        <w:t>:</w:t>
      </w:r>
      <w:r>
        <w:rPr>
          <w:w w:val="102.75946723090277"/>
          <w:rFonts w:ascii="Calibri" w:hAnsi="Calibri" w:eastAsia="Calibri"/>
          <w:b w:val="0"/>
          <w:i w:val="0"/>
          <w:color w:val="000000"/>
          <w:sz w:val="18"/>
        </w:rPr>
        <w:t xml:space="preserve"> Biopsy from ulceroproliferative growth from hepatic flexure of colon</w:t>
      </w:r>
    </w:p>
    <w:p>
      <w:pPr>
        <w:autoSpaceDN w:val="0"/>
        <w:autoSpaceDE w:val="0"/>
        <w:widowControl/>
        <w:spacing w:line="186" w:lineRule="exact" w:before="254" w:after="196"/>
        <w:ind w:left="104" w:right="0" w:firstLine="0"/>
        <w:jc w:val="left"/>
      </w:pPr>
      <w:r>
        <w:rPr>
          <w:w w:val="102.75946723090277"/>
          <w:rFonts w:ascii="Calibri,Bold" w:hAnsi="Calibri,Bold" w:eastAsia="Calibri,Bold"/>
          <w:b/>
          <w:i w:val="0"/>
          <w:color w:val="124B82"/>
          <w:sz w:val="18"/>
        </w:rPr>
        <w:t>Test Result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0528"/>
      </w:tblGrid>
      <w:tr>
        <w:trPr>
          <w:trHeight w:hRule="exact" w:val="248"/>
        </w:trPr>
        <w:tc>
          <w:tcPr>
            <w:tcW w:type="dxa" w:w="10380"/>
            <w:tcBorders/>
            <w:shd w:fill="ce20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6" w:after="0"/>
              <w:ind w:left="0" w:right="0" w:firstLine="0"/>
              <w:jc w:val="center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>POSITIVE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10528"/>
      </w:tblGrid>
      <w:tr>
        <w:trPr>
          <w:trHeight w:hRule="exact" w:val="262"/>
        </w:trPr>
        <w:tc>
          <w:tcPr>
            <w:tcW w:type="dxa" w:w="7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8" w:after="0"/>
              <w:ind w:left="0" w:right="0" w:firstLine="0"/>
              <w:jc w:val="center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 xml:space="preserve">Clinically relevant actionable variant was detected in </w:t>
            </w:r>
            <w:r>
              <w:rPr>
                <w:w w:val="102.75946723090277"/>
                <w:rFonts w:ascii="Calibri,BoldItalic" w:hAnsi="Calibri,BoldItalic" w:eastAsia="Calibri,BoldItalic"/>
                <w:b/>
                <w:i/>
                <w:color w:val="FFFFFF"/>
                <w:sz w:val="18"/>
              </w:rPr>
              <w:t xml:space="preserve">KRAS </w:t>
            </w: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 xml:space="preserve">gene </w:t>
            </w:r>
          </w:p>
        </w:tc>
      </w:tr>
    </w:tbl>
    <w:p>
      <w:pPr>
        <w:autoSpaceDN w:val="0"/>
        <w:autoSpaceDE w:val="0"/>
        <w:widowControl/>
        <w:spacing w:line="386" w:lineRule="exact" w:before="0" w:after="28"/>
        <w:ind w:left="104" w:right="864" w:firstLine="0"/>
        <w:jc w:val="left"/>
      </w:pPr>
      <w:r>
        <w:rPr>
          <w:w w:val="102.75946723090277"/>
          <w:rFonts w:ascii="Calibri,Bold" w:hAnsi="Calibri,Bold" w:eastAsia="Calibri,Bold"/>
          <w:b/>
          <w:i w:val="0"/>
          <w:color w:val="124B82"/>
          <w:sz w:val="18"/>
        </w:rPr>
        <w:t xml:space="preserve">TABLE 1: ALTERATIONS WITH STRONG CLINICAL PROGNOSTIC AND THERAPEUTIC SIGNIFICANCE IN PATIENT TUMOR TYPE </w:t>
      </w:r>
      <w:r>
        <w:rPr>
          <w:w w:val="102.75946723090277"/>
          <w:rFonts w:ascii="Calibri,Italic" w:hAnsi="Calibri,Italic" w:eastAsia="Calibri,Italic"/>
          <w:b w:val="0"/>
          <w:i/>
          <w:color w:val="C0392B"/>
          <w:sz w:val="18"/>
        </w:rPr>
        <w:t>*Refer to attachment for Clinical Trials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1755"/>
        <w:gridCol w:w="1755"/>
        <w:gridCol w:w="1755"/>
        <w:gridCol w:w="1755"/>
        <w:gridCol w:w="1755"/>
        <w:gridCol w:w="1755"/>
      </w:tblGrid>
      <w:tr>
        <w:trPr>
          <w:trHeight w:hRule="exact" w:val="475"/>
        </w:trPr>
        <w:tc>
          <w:tcPr>
            <w:tcW w:type="dxa" w:w="462"/>
            <w:tcBorders/>
            <w:shd w:fill="124b8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56" w:after="0"/>
              <w:ind w:left="0" w:right="0" w:firstLine="0"/>
              <w:jc w:val="center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>Gene</w:t>
            </w:r>
          </w:p>
        </w:tc>
        <w:tc>
          <w:tcPr>
            <w:tcW w:type="dxa" w:w="1038"/>
            <w:tcBorders/>
            <w:shd w:fill="124b8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" w:after="0"/>
              <w:ind w:left="0" w:right="0" w:firstLine="0"/>
              <w:jc w:val="center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 xml:space="preserve">CDS variant </w:t>
            </w: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>details</w:t>
            </w:r>
          </w:p>
        </w:tc>
        <w:tc>
          <w:tcPr>
            <w:tcW w:type="dxa" w:w="1630"/>
            <w:tcBorders/>
            <w:shd w:fill="124b8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" w:after="0"/>
              <w:ind w:left="0" w:right="0" w:firstLine="0"/>
              <w:jc w:val="center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 xml:space="preserve">Amino acid </w:t>
            </w:r>
            <w:r>
              <w:br/>
            </w: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>change/ Exon No.</w:t>
            </w:r>
          </w:p>
        </w:tc>
        <w:tc>
          <w:tcPr>
            <w:tcW w:type="dxa" w:w="2244"/>
            <w:tcBorders/>
            <w:shd w:fill="124b8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" w:after="0"/>
              <w:ind w:left="144" w:right="144" w:firstLine="0"/>
              <w:jc w:val="center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 xml:space="preserve">Overall depth/ Mutant </w:t>
            </w: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>Allele Percentage</w:t>
            </w:r>
          </w:p>
        </w:tc>
        <w:tc>
          <w:tcPr>
            <w:tcW w:type="dxa" w:w="1676"/>
            <w:tcBorders/>
            <w:shd w:fill="124b8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" w:after="0"/>
              <w:ind w:left="144" w:right="144" w:firstLine="0"/>
              <w:jc w:val="center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 xml:space="preserve">Function of the </w:t>
            </w: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>gene in cancer</w:t>
            </w:r>
          </w:p>
        </w:tc>
        <w:tc>
          <w:tcPr>
            <w:tcW w:type="dxa" w:w="3312"/>
            <w:tcBorders/>
            <w:shd w:fill="124b8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" w:after="0"/>
              <w:ind w:left="0" w:right="0" w:firstLine="0"/>
              <w:jc w:val="center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 xml:space="preserve">Variant Classification and its relevance in </w:t>
            </w: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>patient tumor type</w:t>
            </w:r>
          </w:p>
        </w:tc>
      </w:tr>
      <w:tr>
        <w:trPr>
          <w:trHeight w:hRule="exact" w:val="288"/>
        </w:trPr>
        <w:tc>
          <w:tcPr>
            <w:tcW w:type="dxa" w:w="4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76" w:after="0"/>
              <w:ind w:left="0" w:right="0" w:firstLine="0"/>
              <w:jc w:val="center"/>
            </w:pPr>
            <w:r>
              <w:rPr>
                <w:w w:val="102.75946723090277"/>
                <w:rFonts w:ascii="Calibri,BoldItalic" w:hAnsi="Calibri,BoldItalic" w:eastAsia="Calibri,BoldItalic"/>
                <w:b/>
                <w:i/>
                <w:color w:val="000000"/>
                <w:sz w:val="18"/>
              </w:rPr>
              <w:t>KRAS</w:t>
            </w:r>
          </w:p>
        </w:tc>
        <w:tc>
          <w:tcPr>
            <w:tcW w:type="dxa" w:w="1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76" w:after="0"/>
              <w:ind w:left="0" w:right="0" w:firstLine="0"/>
              <w:jc w:val="center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c.35G&gt;T</w:t>
            </w:r>
          </w:p>
        </w:tc>
        <w:tc>
          <w:tcPr>
            <w:tcW w:type="dxa" w:w="1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76" w:after="0"/>
              <w:ind w:left="0" w:right="0" w:firstLine="0"/>
              <w:jc w:val="center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p.Gly12Val/ Exon 2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76" w:after="0"/>
              <w:ind w:left="0" w:right="0" w:firstLine="0"/>
              <w:jc w:val="center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1537x/ 16.72%</w:t>
            </w:r>
          </w:p>
        </w:tc>
        <w:tc>
          <w:tcPr>
            <w:tcW w:type="dxa" w:w="1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76" w:after="0"/>
              <w:ind w:left="0" w:right="0" w:firstLine="0"/>
              <w:jc w:val="center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Gain-of-Function</w:t>
            </w:r>
          </w:p>
        </w:tc>
        <w:tc>
          <w:tcPr>
            <w:tcW w:type="dxa" w:w="33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76" w:after="0"/>
              <w:ind w:left="0" w:right="0" w:firstLine="0"/>
              <w:jc w:val="center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C0392B"/>
                <w:sz w:val="18"/>
              </w:rPr>
              <w:t>Tier I:A</w:t>
            </w:r>
          </w:p>
        </w:tc>
      </w:tr>
    </w:tbl>
    <w:p>
      <w:pPr>
        <w:autoSpaceDN w:val="0"/>
        <w:autoSpaceDE w:val="0"/>
        <w:widowControl/>
        <w:spacing w:line="218" w:lineRule="exact" w:before="206" w:after="202"/>
        <w:ind w:left="104" w:right="432" w:firstLine="0"/>
        <w:jc w:val="left"/>
      </w:pPr>
      <w:r>
        <w:rPr>
          <w:w w:val="102.75946723090277"/>
          <w:rFonts w:ascii="Calibri,Bold" w:hAnsi="Calibri,Bold" w:eastAsia="Calibri,Bold"/>
          <w:b/>
          <w:i w:val="0"/>
          <w:color w:val="124B82"/>
          <w:sz w:val="18"/>
        </w:rPr>
        <w:t xml:space="preserve">TABLE 2: NON DRUGGABLE / DRUGGABLE ALTERATIONS WITH POTENTIAL CLINICAL AND THERAPEUTIC SIGNIFICANCE IN OTHER </w:t>
      </w:r>
      <w:r>
        <w:rPr>
          <w:w w:val="102.75946723090277"/>
          <w:rFonts w:ascii="Calibri,Bold" w:hAnsi="Calibri,Bold" w:eastAsia="Calibri,Bold"/>
          <w:b/>
          <w:i w:val="0"/>
          <w:color w:val="124B82"/>
          <w:sz w:val="18"/>
        </w:rPr>
        <w:t>TUMOR TYPES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755"/>
        <w:gridCol w:w="1755"/>
        <w:gridCol w:w="1755"/>
        <w:gridCol w:w="1755"/>
        <w:gridCol w:w="1755"/>
        <w:gridCol w:w="1755"/>
      </w:tblGrid>
      <w:tr>
        <w:trPr>
          <w:trHeight w:hRule="exact" w:val="481"/>
        </w:trPr>
        <w:tc>
          <w:tcPr>
            <w:tcW w:type="dxa" w:w="446"/>
            <w:tcBorders/>
            <w:shd w:fill="124b8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58" w:after="0"/>
              <w:ind w:left="0" w:right="0" w:firstLine="0"/>
              <w:jc w:val="center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>Gene</w:t>
            </w:r>
          </w:p>
        </w:tc>
        <w:tc>
          <w:tcPr>
            <w:tcW w:type="dxa" w:w="1052"/>
            <w:tcBorders/>
            <w:shd w:fill="124b81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" w:val="left"/>
              </w:tabs>
              <w:autoSpaceDE w:val="0"/>
              <w:widowControl/>
              <w:spacing w:line="116" w:lineRule="exact" w:before="226" w:after="0"/>
              <w:ind w:left="0" w:right="0" w:firstLine="0"/>
              <w:jc w:val="left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 xml:space="preserve">CDS variant </w:t>
            </w: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>details</w:t>
            </w:r>
          </w:p>
        </w:tc>
        <w:tc>
          <w:tcPr>
            <w:tcW w:type="dxa" w:w="1642"/>
            <w:tcBorders/>
            <w:shd w:fill="124b8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4" w:right="0" w:firstLine="0"/>
              <w:jc w:val="left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 xml:space="preserve">Amino acid change/ </w:t>
            </w: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>Exon No.</w:t>
            </w:r>
          </w:p>
        </w:tc>
        <w:tc>
          <w:tcPr>
            <w:tcW w:type="dxa" w:w="2266"/>
            <w:tcBorders/>
            <w:shd w:fill="124b8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4" w:right="288" w:firstLine="0"/>
              <w:jc w:val="left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 xml:space="preserve">Overall depth/ Mutant </w:t>
            </w: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>Allele Percentage</w:t>
            </w:r>
          </w:p>
        </w:tc>
        <w:tc>
          <w:tcPr>
            <w:tcW w:type="dxa" w:w="1700"/>
            <w:tcBorders/>
            <w:shd w:fill="124b8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4" w:right="0" w:firstLine="0"/>
              <w:jc w:val="left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 xml:space="preserve">Function of the gene </w:t>
            </w: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>in cancer</w:t>
            </w:r>
          </w:p>
        </w:tc>
        <w:tc>
          <w:tcPr>
            <w:tcW w:type="dxa" w:w="3270"/>
            <w:tcBorders/>
            <w:shd w:fill="124b8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2" w:right="0" w:firstLine="0"/>
              <w:jc w:val="left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 xml:space="preserve">Variant Classification and its relevance in </w:t>
            </w: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>other tumor type</w:t>
            </w:r>
          </w:p>
        </w:tc>
      </w:tr>
      <w:tr>
        <w:trPr>
          <w:trHeight w:hRule="exact" w:val="265"/>
        </w:trPr>
        <w:tc>
          <w:tcPr>
            <w:tcW w:type="dxa" w:w="1037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8" w:after="0"/>
              <w:ind w:left="0" w:right="0" w:firstLine="0"/>
              <w:jc w:val="center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184" w:lineRule="exact" w:before="232" w:after="204"/>
        <w:ind w:left="104" w:right="0" w:firstLine="0"/>
        <w:jc w:val="left"/>
      </w:pPr>
      <w:r>
        <w:rPr>
          <w:w w:val="102.75946723090277"/>
          <w:rFonts w:ascii="Calibri,Bold" w:hAnsi="Calibri,Bold" w:eastAsia="Calibri,Bold"/>
          <w:b/>
          <w:i w:val="0"/>
          <w:color w:val="124B82"/>
          <w:sz w:val="18"/>
        </w:rPr>
        <w:t>TABLE 3: VARIANTS OF UNKNOWN SIGNIFICANCE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106"/>
        <w:gridCol w:w="2106"/>
        <w:gridCol w:w="2106"/>
        <w:gridCol w:w="2106"/>
        <w:gridCol w:w="2106"/>
      </w:tblGrid>
      <w:tr>
        <w:trPr>
          <w:trHeight w:hRule="exact" w:val="479"/>
        </w:trPr>
        <w:tc>
          <w:tcPr>
            <w:tcW w:type="dxa" w:w="446"/>
            <w:tcBorders/>
            <w:shd w:fill="124b8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56" w:after="0"/>
              <w:ind w:left="0" w:right="0" w:firstLine="0"/>
              <w:jc w:val="center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>Gene</w:t>
            </w:r>
          </w:p>
        </w:tc>
        <w:tc>
          <w:tcPr>
            <w:tcW w:type="dxa" w:w="1284"/>
            <w:tcBorders/>
            <w:shd w:fill="124b81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" w:val="left"/>
              </w:tabs>
              <w:autoSpaceDE w:val="0"/>
              <w:widowControl/>
              <w:spacing w:line="116" w:lineRule="exact" w:before="224" w:after="0"/>
              <w:ind w:left="0" w:right="288" w:firstLine="0"/>
              <w:jc w:val="left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 xml:space="preserve"> </w:t>
            </w: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 xml:space="preserve">CDS variant </w:t>
            </w: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>details</w:t>
            </w:r>
          </w:p>
        </w:tc>
        <w:tc>
          <w:tcPr>
            <w:tcW w:type="dxa" w:w="2000"/>
            <w:tcBorders/>
            <w:shd w:fill="124b8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22" w:right="288" w:firstLine="0"/>
              <w:jc w:val="left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 xml:space="preserve">Amino acid change/ </w:t>
            </w: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>Exon No.</w:t>
            </w:r>
          </w:p>
        </w:tc>
        <w:tc>
          <w:tcPr>
            <w:tcW w:type="dxa" w:w="2762"/>
            <w:tcBorders/>
            <w:shd w:fill="124b8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22" w:right="432" w:firstLine="0"/>
              <w:jc w:val="left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 xml:space="preserve">Overall depth/ Mutant Allele </w:t>
            </w: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>Percentage</w:t>
            </w:r>
          </w:p>
        </w:tc>
        <w:tc>
          <w:tcPr>
            <w:tcW w:type="dxa" w:w="3884"/>
            <w:tcBorders/>
            <w:shd w:fill="124b8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24" w:right="144" w:firstLine="0"/>
              <w:jc w:val="left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 xml:space="preserve">Function of the gene in patient tumor/ Other </w:t>
            </w: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>tumor type</w:t>
            </w:r>
          </w:p>
        </w:tc>
      </w:tr>
      <w:tr>
        <w:trPr>
          <w:trHeight w:hRule="exact" w:val="266"/>
        </w:trPr>
        <w:tc>
          <w:tcPr>
            <w:tcW w:type="dxa" w:w="1037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6" w:after="0"/>
              <w:ind w:left="0" w:right="0" w:firstLine="0"/>
              <w:jc w:val="center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None</w:t>
            </w:r>
          </w:p>
        </w:tc>
      </w:tr>
    </w:tbl>
    <w:p>
      <w:pPr>
        <w:autoSpaceDN w:val="0"/>
        <w:autoSpaceDE w:val="0"/>
        <w:widowControl/>
        <w:spacing w:line="116" w:lineRule="exact" w:before="226" w:after="0"/>
        <w:ind w:left="0" w:right="0" w:firstLine="0"/>
        <w:jc w:val="center"/>
      </w:pPr>
      <w:r>
        <w:rPr>
          <w:w w:val="96.33700052897134"/>
          <w:rFonts w:ascii="Calibri,Italic" w:hAnsi="Calibri,Italic" w:eastAsia="Calibri,Italic"/>
          <w:b w:val="0"/>
          <w:i/>
          <w:color w:val="000000"/>
          <w:sz w:val="12"/>
        </w:rPr>
        <w:t xml:space="preserve">*Genetic test results are reported based on the recommendations of </w:t>
      </w:r>
      <w:r>
        <w:rPr>
          <w:w w:val="96.33700052897134"/>
          <w:rFonts w:ascii="Calibri,Bold" w:hAnsi="Calibri,Bold" w:eastAsia="Calibri,Bold"/>
          <w:b/>
          <w:i w:val="0"/>
          <w:color w:val="124B82"/>
          <w:sz w:val="12"/>
        </w:rPr>
        <w:t>AMP-ASCO-CAP</w:t>
      </w:r>
      <w:r>
        <w:rPr>
          <w:w w:val="96.33700052897134"/>
          <w:rFonts w:ascii="Calibri,Italic" w:hAnsi="Calibri,Italic" w:eastAsia="Calibri,Italic"/>
          <w:b w:val="0"/>
          <w:i/>
          <w:color w:val="000000"/>
          <w:sz w:val="12"/>
        </w:rPr>
        <w:t xml:space="preserve"> guidelines. #Correlation of the genetic findings with the clinical condition of the patient is required to arrive at an accurate diagnosis, prognosis</w:t>
      </w:r>
    </w:p>
    <w:p>
      <w:pPr>
        <w:autoSpaceDN w:val="0"/>
        <w:autoSpaceDE w:val="0"/>
        <w:widowControl/>
        <w:spacing w:line="116" w:lineRule="exact" w:before="34" w:after="0"/>
        <w:ind w:left="104" w:right="0" w:firstLine="0"/>
        <w:jc w:val="left"/>
      </w:pPr>
      <w:r>
        <w:rPr>
          <w:w w:val="96.33700052897134"/>
          <w:rFonts w:ascii="Calibri,Italic" w:hAnsi="Calibri,Italic" w:eastAsia="Calibri,Italic"/>
          <w:b w:val="0"/>
          <w:i/>
          <w:color w:val="000000"/>
          <w:sz w:val="12"/>
        </w:rPr>
        <w:t>or therapeutic decisions.</w:t>
      </w:r>
    </w:p>
    <w:p>
      <w:pPr>
        <w:autoSpaceDN w:val="0"/>
        <w:autoSpaceDE w:val="0"/>
        <w:widowControl/>
        <w:spacing w:line="184" w:lineRule="exact" w:before="446" w:after="196"/>
        <w:ind w:left="104" w:right="0" w:firstLine="0"/>
        <w:jc w:val="left"/>
      </w:pPr>
      <w:r>
        <w:rPr>
          <w:w w:val="102.75946723090277"/>
          <w:rFonts w:ascii="Calibri,Bold" w:hAnsi="Calibri,Bold" w:eastAsia="Calibri,Bold"/>
          <w:b/>
          <w:i w:val="0"/>
          <w:color w:val="000000"/>
          <w:sz w:val="18"/>
        </w:rPr>
        <w:t>Variant Classification as per AMP-ASCO-CAP Guidelines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5264"/>
        <w:gridCol w:w="5264"/>
      </w:tblGrid>
      <w:tr>
        <w:trPr>
          <w:trHeight w:hRule="exact" w:val="263"/>
        </w:trPr>
        <w:tc>
          <w:tcPr>
            <w:tcW w:type="dxa" w:w="1418"/>
            <w:tcBorders/>
            <w:shd w:fill="124b8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8" w:after="0"/>
              <w:ind w:left="22" w:right="0" w:firstLine="0"/>
              <w:jc w:val="left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>Variant</w:t>
            </w:r>
          </w:p>
        </w:tc>
        <w:tc>
          <w:tcPr>
            <w:tcW w:type="dxa" w:w="8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8" w:after="0"/>
              <w:ind w:left="26" w:right="0" w:firstLine="0"/>
              <w:jc w:val="left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A change in a gene. This could be disease causing (pathogenic) or not disease causing (benign).</w:t>
            </w:r>
          </w:p>
        </w:tc>
      </w:tr>
      <w:tr>
        <w:trPr>
          <w:trHeight w:hRule="exact" w:val="1365"/>
        </w:trPr>
        <w:tc>
          <w:tcPr>
            <w:tcW w:type="dxa" w:w="1418"/>
            <w:tcBorders/>
            <w:shd w:fill="124b8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54" w:after="0"/>
              <w:ind w:left="22" w:right="0" w:firstLine="0"/>
              <w:jc w:val="left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>Tier I: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FFFFFF"/>
                <w:sz w:val="18"/>
              </w:rPr>
              <w:t xml:space="preserve"> Variants of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FFFFFF"/>
                <w:sz w:val="18"/>
              </w:rPr>
              <w:t xml:space="preserve">Strong Clinical </w:t>
            </w:r>
            <w:r>
              <w:br/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FFFFFF"/>
                <w:sz w:val="18"/>
              </w:rPr>
              <w:t>Significance</w:t>
            </w:r>
          </w:p>
        </w:tc>
        <w:tc>
          <w:tcPr>
            <w:tcW w:type="dxa" w:w="8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26" w:right="0" w:firstLine="0"/>
              <w:jc w:val="left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000000"/>
                <w:sz w:val="18"/>
              </w:rPr>
              <w:t>Level A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, biomarkers that predict response or resistance to US FDA-approved therapies for a specific type of tumor or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have been included in professional guidelines as therapeutic, diagnostic, and/or prognostic biomarkers for specific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types of tumors; </w:t>
            </w:r>
            <w:r>
              <w:br/>
            </w: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000000"/>
                <w:sz w:val="18"/>
              </w:rPr>
              <w:t>Level B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, biomarkers that predict response or resistance to a therapy based on well- powered studies with consensus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from experts in the field or have diagnostic and/or prognostic significance of certain diseases based on well-powered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studies with expert consensus.</w:t>
            </w:r>
          </w:p>
        </w:tc>
      </w:tr>
      <w:tr>
        <w:trPr>
          <w:trHeight w:hRule="exact" w:val="1369"/>
        </w:trPr>
        <w:tc>
          <w:tcPr>
            <w:tcW w:type="dxa" w:w="1418"/>
            <w:tcBorders/>
            <w:shd w:fill="124b8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52" w:after="0"/>
              <w:ind w:left="22" w:right="0" w:firstLine="0"/>
              <w:jc w:val="left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>Tier II: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FFFFFF"/>
                <w:sz w:val="18"/>
              </w:rPr>
              <w:t xml:space="preserve"> Variants of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FFFFFF"/>
                <w:sz w:val="18"/>
              </w:rPr>
              <w:t xml:space="preserve">Potential Clinical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FFFFFF"/>
                <w:sz w:val="18"/>
              </w:rPr>
              <w:t>Significance</w:t>
            </w:r>
          </w:p>
        </w:tc>
        <w:tc>
          <w:tcPr>
            <w:tcW w:type="dxa" w:w="8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26" w:right="144" w:firstLine="0"/>
              <w:jc w:val="left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000000"/>
                <w:sz w:val="18"/>
              </w:rPr>
              <w:t>Level C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, biomarkers that predict response or resistance to therapies approved by FDA or professional societies for a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different tumor type (i.e., off-label use of a drug), serve as inclusion criteria for clinical trials, or have diagnostic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and/or prognostic significance based on the results of multiple small studies.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26" w:right="0" w:firstLine="0"/>
              <w:jc w:val="left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000000"/>
                <w:sz w:val="18"/>
              </w:rPr>
              <w:t>Level D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, biomarkers that show plausible therapeutic significance based on preclinical studies or may assist disease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diagnosis and/or prognosis themselves or along with other biomarkers based on small studies or multiple case reports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with no consensus.</w:t>
            </w:r>
          </w:p>
        </w:tc>
      </w:tr>
      <w:tr>
        <w:trPr>
          <w:trHeight w:hRule="exact" w:val="934"/>
        </w:trPr>
        <w:tc>
          <w:tcPr>
            <w:tcW w:type="dxa" w:w="1418"/>
            <w:tcBorders/>
            <w:shd w:fill="124b81"/>
            <w:tcMar>
              <w:start w:w="0" w:type="dxa"/>
              <w:end w:w="0" w:type="dxa"/>
            </w:tcMar>
          </w:tcPr>
          <w:p/>
        </w:tc>
        <w:tc>
          <w:tcPr>
            <w:tcW w:type="dxa" w:w="8956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0" w:lineRule="exact" w:before="5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>Verify this report by scanning the QR code on top. In case of any discrepancy please report to 01246650000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4"/>
        <w:gridCol w:w="5264"/>
      </w:tblGrid>
      <w:tr>
        <w:trPr>
          <w:trHeight w:hRule="exact" w:val="300"/>
        </w:trPr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The sample is processed through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 xml:space="preserve">     Oncquest Laboratories Ltd.;  A-17 Infocity, Sector-34, Gurugram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4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Page 1 of 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752" w:right="772" w:bottom="100" w:left="6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5264"/>
        <w:gridCol w:w="5264"/>
      </w:tblGrid>
      <w:tr>
        <w:trPr>
          <w:trHeight w:hRule="exact" w:val="3927"/>
        </w:trPr>
        <w:tc>
          <w:tcPr>
            <w:tcW w:type="dxa" w:w="10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03" w:type="dxa"/>
            </w:tblPr>
            <w:tblGrid>
              <w:gridCol w:w="10380"/>
            </w:tblGrid>
            <w:tr>
              <w:trPr>
                <w:trHeight w:hRule="exact" w:val="1224"/>
              </w:trPr>
              <w:tc>
                <w:tcPr>
                  <w:tcW w:type="dxa" w:w="10258"/>
                  <w:tcBorders>
                    <w:start w:sz="10.399999999999977" w:val="single" w:color="#000000"/>
                    <w:top w:sz="10.399999999999977" w:val="single" w:color="#000000"/>
                    <w:end w:sz="10.399999999999636" w:val="single" w:color="#000000"/>
                    <w:bottom w:sz="11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.0" w:type="dxa"/>
                  </w:tblPr>
                  <w:tblGrid>
                    <w:gridCol w:w="2564"/>
                    <w:gridCol w:w="2564"/>
                    <w:gridCol w:w="2564"/>
                    <w:gridCol w:w="2564"/>
                  </w:tblGrid>
                  <w:tr>
                    <w:trPr>
                      <w:trHeight w:hRule="exact" w:val="222"/>
                    </w:trPr>
                    <w:tc>
                      <w:tcPr>
                        <w:tcW w:type="dxa" w:w="1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44" w:after="0"/>
                          <w:ind w:left="28" w:right="0" w:firstLine="0"/>
                          <w:jc w:val="left"/>
                        </w:pPr>
                        <w:r>
                          <w:rPr>
                            <w:w w:val="97.6485013961792"/>
                            <w:rFonts w:ascii="Verdana" w:hAnsi="Verdana" w:eastAsia="Verdana"/>
                            <w:b w:val="0"/>
                            <w:i w:val="0"/>
                            <w:color w:val="000000"/>
                            <w:sz w:val="16"/>
                          </w:rPr>
                          <w:t>Name</w:t>
                        </w:r>
                      </w:p>
                    </w:tc>
                    <w:tc>
                      <w:tcPr>
                        <w:tcW w:type="dxa" w:w="2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44" w:after="0"/>
                          <w:ind w:left="158" w:right="0" w:firstLine="0"/>
                          <w:jc w:val="left"/>
                        </w:pPr>
                        <w:r>
                          <w:rPr>
                            <w:w w:val="97.6485013961792"/>
                            <w:rFonts w:ascii="Verdana" w:hAnsi="Verdana" w:eastAsia="Verdana"/>
                            <w:b w:val="0"/>
                            <w:i w:val="0"/>
                            <w:color w:val="000000"/>
                            <w:sz w:val="16"/>
                          </w:rPr>
                          <w:t>: Mr.PRASANT KUMAR JENA</w:t>
                        </w:r>
                      </w:p>
                    </w:tc>
                    <w:tc>
                      <w:tcPr>
                        <w:tcW w:type="dxa" w:w="2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44" w:after="0"/>
                          <w:ind w:left="0" w:right="196" w:firstLine="0"/>
                          <w:jc w:val="right"/>
                        </w:pPr>
                        <w:r>
                          <w:rPr>
                            <w:w w:val="97.6485013961792"/>
                            <w:rFonts w:ascii="Verdana" w:hAnsi="Verdana" w:eastAsia="Verdana"/>
                            <w:b w:val="0"/>
                            <w:i w:val="0"/>
                            <w:color w:val="000000"/>
                            <w:sz w:val="16"/>
                          </w:rPr>
                          <w:t>Centre Details</w:t>
                        </w:r>
                      </w:p>
                    </w:tc>
                    <w:tc>
                      <w:tcPr>
                        <w:tcW w:type="dxa" w:w="3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44" w:after="0"/>
                          <w:ind w:left="208" w:right="0" w:firstLine="0"/>
                          <w:jc w:val="left"/>
                        </w:pPr>
                        <w:r>
                          <w:rPr>
                            <w:w w:val="97.6485013961792"/>
                            <w:rFonts w:ascii="Verdana" w:hAnsi="Verdana" w:eastAsia="Verdana"/>
                            <w:b w:val="0"/>
                            <w:i w:val="0"/>
                            <w:color w:val="000000"/>
                            <w:sz w:val="16"/>
                          </w:rPr>
                          <w:t>:AIIMS BHUBNESWAR</w:t>
                        </w:r>
                      </w:p>
                    </w:tc>
                  </w:tr>
                  <w:tr>
                    <w:trPr>
                      <w:trHeight w:hRule="exact" w:val="240"/>
                    </w:trPr>
                    <w:tc>
                      <w:tcPr>
                        <w:tcW w:type="dxa" w:w="1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56" w:after="0"/>
                          <w:ind w:left="28" w:right="0" w:firstLine="0"/>
                          <w:jc w:val="left"/>
                        </w:pPr>
                        <w:r>
                          <w:rPr>
                            <w:w w:val="97.6485013961792"/>
                            <w:rFonts w:ascii="Verdana" w:hAnsi="Verdana" w:eastAsia="Verdana"/>
                            <w:b w:val="0"/>
                            <w:i w:val="0"/>
                            <w:color w:val="000000"/>
                            <w:sz w:val="16"/>
                          </w:rPr>
                          <w:t>Age</w:t>
                        </w:r>
                      </w:p>
                    </w:tc>
                    <w:tc>
                      <w:tcPr>
                        <w:tcW w:type="dxa" w:w="2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56" w:after="0"/>
                          <w:ind w:left="158" w:right="0" w:firstLine="0"/>
                          <w:jc w:val="left"/>
                        </w:pPr>
                        <w:r>
                          <w:rPr>
                            <w:w w:val="97.6485013961792"/>
                            <w:rFonts w:ascii="Verdana" w:hAnsi="Verdana" w:eastAsia="Verdana"/>
                            <w:b w:val="0"/>
                            <w:i w:val="0"/>
                            <w:color w:val="000000"/>
                            <w:sz w:val="16"/>
                          </w:rPr>
                          <w:t>: 72 Yrs          Sex: Male</w:t>
                        </w:r>
                      </w:p>
                    </w:tc>
                    <w:tc>
                      <w:tcPr>
                        <w:tcW w:type="dxa" w:w="2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56" w:after="0"/>
                          <w:ind w:left="0" w:right="340" w:firstLine="0"/>
                          <w:jc w:val="right"/>
                        </w:pPr>
                        <w:r>
                          <w:rPr>
                            <w:w w:val="97.6485013961792"/>
                            <w:rFonts w:ascii="Verdana" w:hAnsi="Verdana" w:eastAsia="Verdana"/>
                            <w:b w:val="0"/>
                            <w:i w:val="0"/>
                            <w:color w:val="000000"/>
                            <w:sz w:val="16"/>
                          </w:rPr>
                          <w:t>Accession.ID</w:t>
                        </w:r>
                      </w:p>
                    </w:tc>
                    <w:tc>
                      <w:tcPr>
                        <w:tcW w:type="dxa" w:w="3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56" w:after="0"/>
                          <w:ind w:left="208" w:right="0" w:firstLine="0"/>
                          <w:jc w:val="left"/>
                        </w:pPr>
                        <w:r>
                          <w:rPr>
                            <w:w w:val="97.6485013961792"/>
                            <w:rFonts w:ascii="Verdana" w:hAnsi="Verdana" w:eastAsia="Verdana"/>
                            <w:b w:val="0"/>
                            <w:i w:val="0"/>
                            <w:color w:val="000000"/>
                            <w:sz w:val="16"/>
                          </w:rPr>
                          <w:t>:OQG2607020430</w:t>
                        </w:r>
                      </w:p>
                    </w:tc>
                  </w:tr>
                  <w:tr>
                    <w:trPr>
                      <w:trHeight w:hRule="exact" w:val="240"/>
                    </w:trPr>
                    <w:tc>
                      <w:tcPr>
                        <w:tcW w:type="dxa" w:w="1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50" w:after="0"/>
                          <w:ind w:left="28" w:right="0" w:firstLine="0"/>
                          <w:jc w:val="left"/>
                        </w:pPr>
                        <w:r>
                          <w:rPr>
                            <w:w w:val="97.6485013961792"/>
                            <w:rFonts w:ascii="Verdana" w:hAnsi="Verdana" w:eastAsia="Verdana"/>
                            <w:b w:val="0"/>
                            <w:i w:val="0"/>
                            <w:color w:val="000000"/>
                            <w:sz w:val="16"/>
                          </w:rPr>
                          <w:t>Collection Date</w:t>
                        </w:r>
                      </w:p>
                    </w:tc>
                    <w:tc>
                      <w:tcPr>
                        <w:tcW w:type="dxa" w:w="2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50" w:after="0"/>
                          <w:ind w:left="158" w:right="0" w:firstLine="0"/>
                          <w:jc w:val="left"/>
                        </w:pPr>
                        <w:r>
                          <w:rPr>
                            <w:w w:val="97.6485013961792"/>
                            <w:rFonts w:ascii="Verdana" w:hAnsi="Verdana" w:eastAsia="Verdana"/>
                            <w:b w:val="0"/>
                            <w:i w:val="0"/>
                            <w:color w:val="000000"/>
                            <w:sz w:val="16"/>
                          </w:rPr>
                          <w:t>: 01/Jul/2026 12:00AM</w:t>
                        </w:r>
                      </w:p>
                    </w:tc>
                    <w:tc>
                      <w:tcPr>
                        <w:tcW w:type="dxa" w:w="2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50" w:after="0"/>
                          <w:ind w:left="0" w:right="418" w:firstLine="0"/>
                          <w:jc w:val="right"/>
                        </w:pPr>
                        <w:r>
                          <w:rPr>
                            <w:w w:val="97.6485013961792"/>
                            <w:rFonts w:ascii="Verdana" w:hAnsi="Verdana" w:eastAsia="Verdana"/>
                            <w:b w:val="0"/>
                            <w:i w:val="0"/>
                            <w:color w:val="000000"/>
                            <w:sz w:val="16"/>
                          </w:rPr>
                          <w:t>Referred By</w:t>
                        </w:r>
                      </w:p>
                    </w:tc>
                    <w:tc>
                      <w:tcPr>
                        <w:tcW w:type="dxa" w:w="3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50" w:after="0"/>
                          <w:ind w:left="208" w:right="0" w:firstLine="0"/>
                          <w:jc w:val="left"/>
                        </w:pPr>
                        <w:r>
                          <w:rPr>
                            <w:w w:val="97.6485013961792"/>
                            <w:rFonts w:ascii="Verdana" w:hAnsi="Verdana" w:eastAsia="Verdana"/>
                            <w:b w:val="0"/>
                            <w:i w:val="0"/>
                            <w:color w:val="000000"/>
                            <w:sz w:val="16"/>
                          </w:rPr>
                          <w:t>:DR.SAROJ KUMAR DAS MAJUMDAR</w:t>
                        </w:r>
                      </w:p>
                    </w:tc>
                  </w:tr>
                  <w:tr>
                    <w:trPr>
                      <w:trHeight w:hRule="exact" w:val="240"/>
                    </w:trPr>
                    <w:tc>
                      <w:tcPr>
                        <w:tcW w:type="dxa" w:w="1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44" w:after="0"/>
                          <w:ind w:left="28" w:right="0" w:firstLine="0"/>
                          <w:jc w:val="left"/>
                        </w:pPr>
                        <w:r>
                          <w:rPr>
                            <w:w w:val="97.6485013961792"/>
                            <w:rFonts w:ascii="Verdana" w:hAnsi="Verdana" w:eastAsia="Verdana"/>
                            <w:b w:val="0"/>
                            <w:i w:val="0"/>
                            <w:color w:val="000000"/>
                            <w:sz w:val="16"/>
                          </w:rPr>
                          <w:t>Received Date</w:t>
                        </w:r>
                      </w:p>
                    </w:tc>
                    <w:tc>
                      <w:tcPr>
                        <w:tcW w:type="dxa" w:w="2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44" w:after="0"/>
                          <w:ind w:left="158" w:right="0" w:firstLine="0"/>
                          <w:jc w:val="left"/>
                        </w:pPr>
                        <w:r>
                          <w:rPr>
                            <w:w w:val="97.6485013961792"/>
                            <w:rFonts w:ascii="Verdana" w:hAnsi="Verdana" w:eastAsia="Verdana"/>
                            <w:b w:val="0"/>
                            <w:i w:val="0"/>
                            <w:color w:val="000000"/>
                            <w:sz w:val="16"/>
                          </w:rPr>
                          <w:t>: 02/Jul/2026 02:34PM</w:t>
                        </w:r>
                      </w:p>
                    </w:tc>
                    <w:tc>
                      <w:tcPr>
                        <w:tcW w:type="dxa" w:w="2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44" w:after="0"/>
                          <w:ind w:left="0" w:right="378" w:firstLine="0"/>
                          <w:jc w:val="right"/>
                        </w:pPr>
                        <w:r>
                          <w:rPr>
                            <w:w w:val="97.6485013961792"/>
                            <w:rFonts w:ascii="Verdana" w:hAnsi="Verdana" w:eastAsia="Verdana"/>
                            <w:b w:val="0"/>
                            <w:i w:val="0"/>
                            <w:color w:val="000000"/>
                            <w:sz w:val="16"/>
                          </w:rPr>
                          <w:t>Report Date</w:t>
                        </w:r>
                      </w:p>
                    </w:tc>
                    <w:tc>
                      <w:tcPr>
                        <w:tcW w:type="dxa" w:w="3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44" w:after="0"/>
                          <w:ind w:left="208" w:right="0" w:firstLine="0"/>
                          <w:jc w:val="left"/>
                        </w:pPr>
                        <w:r>
                          <w:rPr>
                            <w:w w:val="97.6485013961792"/>
                            <w:rFonts w:ascii="Verdana" w:hAnsi="Verdana" w:eastAsia="Verdana"/>
                            <w:b w:val="0"/>
                            <w:i w:val="0"/>
                            <w:color w:val="000000"/>
                            <w:sz w:val="16"/>
                          </w:rPr>
                          <w:t>:15/Jul/2026 04:22PM</w:t>
                        </w:r>
                      </w:p>
                    </w:tc>
                  </w:tr>
                  <w:tr>
                    <w:trPr>
                      <w:trHeight w:hRule="exact" w:val="198"/>
                    </w:trPr>
                    <w:tc>
                      <w:tcPr>
                        <w:tcW w:type="dxa" w:w="44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40" w:after="0"/>
                          <w:ind w:left="28" w:right="0" w:firstLine="0"/>
                          <w:jc w:val="left"/>
                        </w:pPr>
                        <w:r>
                          <w:rPr>
                            <w:w w:val="97.6485013961792"/>
                            <w:rFonts w:ascii="Verdana" w:hAnsi="Verdana" w:eastAsia="Verdana"/>
                            <w:b w:val="0"/>
                            <w:i w:val="0"/>
                            <w:color w:val="000000"/>
                            <w:sz w:val="16"/>
                          </w:rPr>
                          <w:t>Registration Date</w:t>
                        </w:r>
                        <w:r>
                          <w:rPr>
                            <w:w w:val="97.6485013961792"/>
                            <w:rFonts w:ascii="Verdana" w:hAnsi="Verdana" w:eastAsia="Verdana"/>
                            <w:b w:val="0"/>
                            <w:i w:val="0"/>
                            <w:color w:val="000000"/>
                            <w:sz w:val="16"/>
                          </w:rPr>
                          <w:t>: 02/Jul/2026 02:34PM</w:t>
                        </w:r>
                      </w:p>
                    </w:tc>
                    <w:tc>
                      <w:tcPr>
                        <w:tcW w:type="dxa" w:w="2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40" w:after="0"/>
                          <w:ind w:left="0" w:right="248" w:firstLine="0"/>
                          <w:jc w:val="right"/>
                        </w:pPr>
                        <w:r>
                          <w:rPr>
                            <w:w w:val="97.6485013961792"/>
                            <w:rFonts w:ascii="Verdana" w:hAnsi="Verdana" w:eastAsia="Verdana"/>
                            <w:b w:val="0"/>
                            <w:i w:val="0"/>
                            <w:color w:val="000000"/>
                            <w:sz w:val="16"/>
                          </w:rPr>
                          <w:t>Ref.No/TRF.No</w:t>
                        </w:r>
                      </w:p>
                    </w:tc>
                    <w:tc>
                      <w:tcPr>
                        <w:tcW w:type="dxa" w:w="3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40" w:after="0"/>
                          <w:ind w:left="208" w:right="0" w:firstLine="0"/>
                          <w:jc w:val="left"/>
                        </w:pPr>
                        <w:r>
                          <w:rPr>
                            <w:w w:val="97.6485013961792"/>
                            <w:rFonts w:ascii="Verdana" w:hAnsi="Verdana" w:eastAsia="Verdana"/>
                            <w:b w:val="0"/>
                            <w:i w:val="0"/>
                            <w:color w:val="000000"/>
                            <w:sz w:val="16"/>
                          </w:rPr>
                          <w:t>: /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82" w:lineRule="exact" w:before="70" w:after="0"/>
              <w:ind w:left="0" w:right="0" w:firstLine="0"/>
              <w:jc w:val="center"/>
            </w:pPr>
            <w:r>
              <w:rPr>
                <w:w w:val="101.26511255900066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DEPARTMENT OF MOLECULAR DIAGNOSTICS-II</w:t>
            </w:r>
          </w:p>
          <w:p>
            <w:pPr>
              <w:autoSpaceDN w:val="0"/>
              <w:tabs>
                <w:tab w:pos="1444" w:val="left"/>
              </w:tabs>
              <w:autoSpaceDE w:val="0"/>
              <w:widowControl/>
              <w:spacing w:line="220" w:lineRule="exact" w:before="194" w:after="0"/>
              <w:ind w:left="22" w:right="0" w:firstLine="0"/>
              <w:jc w:val="left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FFFFFF"/>
                <w:sz w:val="18"/>
              </w:rPr>
              <w:t xml:space="preserve">Tier III: </w:t>
            </w:r>
            <w:r>
              <w:br/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FFFFFF"/>
                <w:sz w:val="18"/>
              </w:rPr>
              <w:t xml:space="preserve">Variants of </w:t>
            </w:r>
            <w:r>
              <w:tab/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Not observed at a significant allele frequency in the general or specific subpopulation or pan cancer or tumor specific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FFFFFF"/>
                <w:sz w:val="18"/>
              </w:rPr>
              <w:t xml:space="preserve">unknown clinical </w:t>
            </w:r>
            <w:r>
              <w:tab/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variant databases. No convincing published evidence of Cancer Association </w:t>
            </w:r>
            <w:r>
              <w:br/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FFFFFF"/>
                <w:sz w:val="18"/>
              </w:rPr>
              <w:t>significance</w:t>
            </w:r>
          </w:p>
        </w:tc>
      </w:tr>
    </w:tbl>
    <w:p>
      <w:pPr>
        <w:autoSpaceDN w:val="0"/>
        <w:autoSpaceDE w:val="0"/>
        <w:widowControl/>
        <w:spacing w:line="186" w:lineRule="exact" w:before="232" w:after="0"/>
        <w:ind w:left="104" w:right="0" w:firstLine="0"/>
        <w:jc w:val="left"/>
      </w:pPr>
      <w:r>
        <w:rPr>
          <w:w w:val="102.75946723090277"/>
          <w:rFonts w:ascii="Calibri,Bold" w:hAnsi="Calibri,Bold" w:eastAsia="Calibri,Bold"/>
          <w:b/>
          <w:i w:val="0"/>
          <w:color w:val="124B82"/>
          <w:sz w:val="18"/>
        </w:rPr>
        <w:t>Test Attributes, Methodology</w:t>
      </w:r>
    </w:p>
    <w:p>
      <w:pPr>
        <w:autoSpaceDN w:val="0"/>
        <w:autoSpaceDE w:val="0"/>
        <w:widowControl/>
        <w:spacing w:line="222" w:lineRule="exact" w:before="182" w:after="0"/>
        <w:ind w:left="104" w:right="144" w:firstLine="0"/>
        <w:jc w:val="left"/>
      </w:pPr>
      <w:r>
        <w:rPr>
          <w:rFonts w:ascii="Times New Roman,BoldItalic" w:hAnsi="Times New Roman,BoldItalic" w:eastAsia="Times New Roman,BoldItalic"/>
          <w:b/>
          <w:i/>
          <w:color w:val="124B82"/>
          <w:sz w:val="15"/>
        </w:rPr>
        <w:t>Oncq</w:t>
      </w:r>
      <w:r>
        <w:rPr>
          <w:rFonts w:ascii="Times New Roman,BoldItalic" w:hAnsi="Times New Roman,BoldItalic" w:eastAsia="Times New Roman,BoldItalic"/>
          <w:b/>
          <w:i/>
          <w:color w:val="009966"/>
          <w:sz w:val="15"/>
        </w:rPr>
        <w:t>Sol Focus 52 Gene Panel</w:t>
      </w:r>
      <w:r>
        <w:rPr>
          <w:w w:val="102.75946723090277"/>
          <w:rFonts w:ascii="Calibri" w:hAnsi="Calibri" w:eastAsia="Calibri"/>
          <w:b w:val="0"/>
          <w:i w:val="0"/>
          <w:color w:val="000000"/>
          <w:sz w:val="18"/>
        </w:rPr>
        <w:t xml:space="preserve">is a multibiomarker next-generation sequencing (NGS) assay that enables detection of variants in 52 genes </w:t>
      </w:r>
      <w:r>
        <w:rPr>
          <w:w w:val="102.75946723090277"/>
          <w:rFonts w:ascii="Calibri" w:hAnsi="Calibri" w:eastAsia="Calibri"/>
          <w:b w:val="0"/>
          <w:i w:val="0"/>
          <w:color w:val="000000"/>
          <w:sz w:val="18"/>
        </w:rPr>
        <w:t xml:space="preserve">relevant to solid tumors. This assay allows concurrent analysis of DNA and RNA to simultaneously detect multiple types of variants, </w:t>
      </w:r>
      <w:r>
        <w:rPr>
          <w:w w:val="102.75946723090277"/>
          <w:rFonts w:ascii="Calibri" w:hAnsi="Calibri" w:eastAsia="Calibri"/>
          <w:b w:val="0"/>
          <w:i w:val="0"/>
          <w:color w:val="000000"/>
          <w:sz w:val="18"/>
        </w:rPr>
        <w:t xml:space="preserve">including </w:t>
      </w:r>
      <w:r>
        <w:rPr>
          <w:w w:val="102.75946723090277"/>
          <w:rFonts w:ascii="Calibri,Bold" w:hAnsi="Calibri,Bold" w:eastAsia="Calibri,Bold"/>
          <w:b/>
          <w:i w:val="0"/>
          <w:color w:val="C0392B"/>
          <w:sz w:val="18"/>
        </w:rPr>
        <w:t xml:space="preserve">hotspots, single-nucleotide variants (SNVs), indels, copy number variants (CNVs), </w:t>
      </w:r>
      <w:r>
        <w:rPr>
          <w:w w:val="102.75946723090277"/>
          <w:rFonts w:ascii="Calibri" w:hAnsi="Calibri" w:eastAsia="Calibri"/>
          <w:b w:val="0"/>
          <w:i w:val="0"/>
          <w:color w:val="000000"/>
          <w:sz w:val="18"/>
        </w:rPr>
        <w:t xml:space="preserve">and </w:t>
      </w:r>
      <w:r>
        <w:rPr>
          <w:w w:val="102.75946723090277"/>
          <w:rFonts w:ascii="Calibri,Bold" w:hAnsi="Calibri,Bold" w:eastAsia="Calibri,Bold"/>
          <w:b/>
          <w:i w:val="0"/>
          <w:color w:val="C0392B"/>
          <w:sz w:val="18"/>
        </w:rPr>
        <w:t>gene fusions</w:t>
      </w:r>
      <w:r>
        <w:rPr>
          <w:w w:val="102.75946723090277"/>
          <w:rFonts w:ascii="Calibri,Bold" w:hAnsi="Calibri,Bold" w:eastAsia="Calibri,Bold"/>
          <w:b/>
          <w:i w:val="0"/>
          <w:color w:val="000000"/>
          <w:sz w:val="18"/>
        </w:rPr>
        <w:t>,</w:t>
      </w:r>
      <w:r>
        <w:rPr>
          <w:w w:val="102.75946723090277"/>
          <w:rFonts w:ascii="Calibri" w:hAnsi="Calibri" w:eastAsia="Calibri"/>
          <w:b w:val="0"/>
          <w:i w:val="0"/>
          <w:color w:val="000000"/>
          <w:sz w:val="18"/>
        </w:rPr>
        <w:t xml:space="preserve"> in a single </w:t>
      </w:r>
      <w:r>
        <w:rPr>
          <w:w w:val="102.75946723090277"/>
          <w:rFonts w:ascii="Calibri" w:hAnsi="Calibri" w:eastAsia="Calibri"/>
          <w:b w:val="0"/>
          <w:i w:val="0"/>
          <w:color w:val="000000"/>
          <w:sz w:val="18"/>
        </w:rPr>
        <w:t xml:space="preserve">workflow. Some of the alterations detected may provide prognostic/ therapeutic information that may help the Clinician in deciding upon </w:t>
      </w:r>
      <w:r>
        <w:rPr>
          <w:w w:val="102.75946723090277"/>
          <w:rFonts w:ascii="Calibri" w:hAnsi="Calibri" w:eastAsia="Calibri"/>
          <w:b w:val="0"/>
          <w:i w:val="0"/>
          <w:color w:val="000000"/>
          <w:sz w:val="18"/>
        </w:rPr>
        <w:t xml:space="preserve">the best line of Targeted/ Chemotherapy options for the patient. </w:t>
      </w:r>
    </w:p>
    <w:p>
      <w:pPr>
        <w:autoSpaceDN w:val="0"/>
        <w:autoSpaceDE w:val="0"/>
        <w:widowControl/>
        <w:spacing w:line="184" w:lineRule="exact" w:before="5550" w:after="0"/>
        <w:ind w:left="104" w:right="0" w:firstLine="0"/>
        <w:jc w:val="left"/>
      </w:pPr>
      <w:r>
        <w:rPr>
          <w:w w:val="102.75946723090277"/>
          <w:rFonts w:ascii="Calibri,Bold" w:hAnsi="Calibri,Bold" w:eastAsia="Calibri,Bold"/>
          <w:b/>
          <w:i w:val="0"/>
          <w:color w:val="124B82"/>
          <w:sz w:val="18"/>
        </w:rPr>
        <w:t>Methodology</w:t>
      </w:r>
    </w:p>
    <w:p>
      <w:pPr>
        <w:autoSpaceDN w:val="0"/>
        <w:autoSpaceDE w:val="0"/>
        <w:widowControl/>
        <w:spacing w:line="220" w:lineRule="exact" w:before="186" w:after="0"/>
        <w:ind w:left="104" w:right="0" w:firstLine="0"/>
        <w:jc w:val="left"/>
      </w:pPr>
      <w:r>
        <w:rPr>
          <w:w w:val="102.75946723090277"/>
          <w:rFonts w:ascii="Calibri" w:hAnsi="Calibri" w:eastAsia="Calibri"/>
          <w:b w:val="0"/>
          <w:i w:val="0"/>
          <w:color w:val="000000"/>
          <w:sz w:val="18"/>
        </w:rPr>
        <w:t xml:space="preserve">FFPE DNA was extracted from tissue using Qiagen Kit and FFPE RNA was extracted from tissue Promega Kit. The DNA and RNA were </w:t>
      </w:r>
      <w:r>
        <w:rPr>
          <w:w w:val="102.75946723090277"/>
          <w:rFonts w:ascii="Calibri" w:hAnsi="Calibri" w:eastAsia="Calibri"/>
          <w:b w:val="0"/>
          <w:i w:val="0"/>
          <w:color w:val="000000"/>
          <w:sz w:val="18"/>
        </w:rPr>
        <w:t xml:space="preserve">quantified on Qubit fluorometer. Amplicon based barcoded library was prepared using the extracted DNA and RNA. Libraries were pooled </w:t>
      </w:r>
      <w:r>
        <w:rPr>
          <w:w w:val="102.75946723090277"/>
          <w:rFonts w:ascii="Calibri" w:hAnsi="Calibri" w:eastAsia="Calibri"/>
          <w:b w:val="0"/>
          <w:i w:val="0"/>
          <w:color w:val="000000"/>
          <w:sz w:val="18"/>
        </w:rPr>
        <w:t xml:space="preserve">and loaded onto ION Torrent S5 NGS platform to perform massive parallel sequencing. The average Variant Allele Frequency (VAF) for this </w:t>
      </w:r>
      <w:r>
        <w:rPr>
          <w:w w:val="102.75946723090277"/>
          <w:rFonts w:ascii="Calibri" w:hAnsi="Calibri" w:eastAsia="Calibri"/>
          <w:b w:val="0"/>
          <w:i w:val="0"/>
          <w:color w:val="000000"/>
          <w:sz w:val="18"/>
        </w:rPr>
        <w:t xml:space="preserve">Test is 5% at 500X coverage. However, it may vary depending on the particular mutation type. Alterations outside of the tested areas of </w:t>
      </w:r>
      <w:r>
        <w:rPr>
          <w:w w:val="102.75946723090277"/>
          <w:rFonts w:ascii="Calibri" w:hAnsi="Calibri" w:eastAsia="Calibri"/>
          <w:b w:val="0"/>
          <w:i w:val="0"/>
          <w:color w:val="000000"/>
          <w:sz w:val="18"/>
        </w:rPr>
        <w:t xml:space="preserve">these genes or in other genes will not be detected. This Panel analyzed the following types of mutations- nucleotide substitutions, small </w:t>
      </w:r>
      <w:r>
        <w:rPr>
          <w:w w:val="102.75946723090277"/>
          <w:rFonts w:ascii="Calibri" w:hAnsi="Calibri" w:eastAsia="Calibri"/>
          <w:b w:val="0"/>
          <w:i w:val="0"/>
          <w:color w:val="000000"/>
          <w:sz w:val="18"/>
        </w:rPr>
        <w:t xml:space="preserve">insertions, small deletions, indels, CNVs &amp; gene fusions. If the mutation(s) fall in the region of no/ low coverage zone, then they may be </w:t>
      </w:r>
      <w:r>
        <w:rPr>
          <w:w w:val="102.75946723090277"/>
          <w:rFonts w:ascii="Calibri" w:hAnsi="Calibri" w:eastAsia="Calibri"/>
          <w:b w:val="0"/>
          <w:i w:val="0"/>
          <w:color w:val="000000"/>
          <w:sz w:val="18"/>
        </w:rPr>
        <w:t xml:space="preserve">missed. Tumor sample must be fixed under appropriate conditions (10% Neutral buffered formalin for 12-72hrs) to ensure preservation of </w:t>
      </w:r>
      <w:r>
        <w:rPr>
          <w:w w:val="102.75946723090277"/>
          <w:rFonts w:ascii="Calibri" w:hAnsi="Calibri" w:eastAsia="Calibri"/>
          <w:b w:val="0"/>
          <w:i w:val="0"/>
          <w:color w:val="000000"/>
          <w:sz w:val="18"/>
        </w:rPr>
        <w:t xml:space="preserve">amplifiable quality DNA. PCR is a highly sensitive technique; reasons for apparently contradictory results may be due to improper quality </w:t>
      </w:r>
      <w:r>
        <w:rPr>
          <w:w w:val="102.75946723090277"/>
          <w:rFonts w:ascii="Calibri" w:hAnsi="Calibri" w:eastAsia="Calibri"/>
          <w:b w:val="0"/>
          <w:i w:val="0"/>
          <w:color w:val="000000"/>
          <w:sz w:val="18"/>
        </w:rPr>
        <w:t xml:space="preserve">control during sample collection and fixation, high degree of necrosis, mucin content and/or presence of PCR inhibitors. Cytosine </w:t>
      </w:r>
      <w:r>
        <w:rPr>
          <w:w w:val="102.75946723090277"/>
          <w:rFonts w:ascii="Calibri" w:hAnsi="Calibri" w:eastAsia="Calibri"/>
          <w:b w:val="0"/>
          <w:i w:val="0"/>
          <w:color w:val="000000"/>
          <w:sz w:val="18"/>
        </w:rPr>
        <w:t xml:space="preserve">deamination has been demonstrated to contribute to background noise for DNA sequencing of ancient and formalin fixed paraffin </w:t>
      </w:r>
      <w:r>
        <w:rPr>
          <w:w w:val="102.75946723090277"/>
          <w:rFonts w:ascii="Calibri" w:hAnsi="Calibri" w:eastAsia="Calibri"/>
          <w:b w:val="0"/>
          <w:i w:val="0"/>
          <w:color w:val="000000"/>
          <w:sz w:val="18"/>
        </w:rPr>
        <w:t xml:space="preserve">embedded (FFPE) treated DNA. Deamination can be attributed to multiple factors including biologic (intrinsic to the sample prior to </w:t>
      </w:r>
      <w:r>
        <w:rPr>
          <w:w w:val="102.75946723090277"/>
          <w:rFonts w:ascii="Calibri" w:hAnsi="Calibri" w:eastAsia="Calibri"/>
          <w:b w:val="0"/>
          <w:i w:val="0"/>
          <w:color w:val="000000"/>
          <w:sz w:val="18"/>
        </w:rPr>
        <w:t xml:space="preserve">isolation) or an artifact of the molecular biology. It has been observed that formalin induces C:G&gt;T:A transitions during sequencing. These </w:t>
      </w:r>
      <w:r>
        <w:rPr>
          <w:w w:val="102.75946723090277"/>
          <w:rFonts w:ascii="Calibri" w:hAnsi="Calibri" w:eastAsia="Calibri"/>
          <w:b w:val="0"/>
          <w:i w:val="0"/>
          <w:color w:val="000000"/>
          <w:sz w:val="18"/>
        </w:rPr>
        <w:t>deamination related “apparent mutations” are higher in the FFPE samples than in peripheral blood indicating that the process of specimen</w:t>
      </w:r>
    </w:p>
    <w:p>
      <w:pPr>
        <w:autoSpaceDN w:val="0"/>
        <w:autoSpaceDE w:val="0"/>
        <w:widowControl/>
        <w:spacing w:line="160" w:lineRule="exact" w:before="15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>Verify this report by scanning the QR code on top. In case of any discrepancy please report to 01246650000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4"/>
        <w:gridCol w:w="5264"/>
      </w:tblGrid>
      <w:tr>
        <w:trPr>
          <w:trHeight w:hRule="exact" w:val="300"/>
        </w:trPr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The sample is processed through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 xml:space="preserve">     Oncquest Laboratories Ltd.;  A-17 Infocity, Sector-34, Gurugram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4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Page 2 of 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86" w:right="772" w:bottom="100" w:left="6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4216400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4635500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4775200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5194300</wp:posOffset>
            </wp:positionV>
            <wp:extent cx="50800" cy="50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5334000</wp:posOffset>
            </wp:positionV>
            <wp:extent cx="50800" cy="508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5473700</wp:posOffset>
            </wp:positionV>
            <wp:extent cx="50800" cy="50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7.99999999999997" w:type="dxa"/>
      </w:tblPr>
      <w:tblGrid>
        <w:gridCol w:w="10528"/>
      </w:tblGrid>
      <w:tr>
        <w:trPr>
          <w:trHeight w:hRule="exact" w:val="1224"/>
        </w:trPr>
        <w:tc>
          <w:tcPr>
            <w:tcW w:type="dxa" w:w="10258"/>
            <w:tcBorders>
              <w:start w:sz="10.399999999999977" w:val="single" w:color="#000000"/>
              <w:top w:sz="10.399999999999977" w:val="single" w:color="#000000"/>
              <w:end w:sz="10.399999999999636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2564"/>
              <w:gridCol w:w="2564"/>
              <w:gridCol w:w="2564"/>
              <w:gridCol w:w="2564"/>
            </w:tblGrid>
            <w:tr>
              <w:trPr>
                <w:trHeight w:hRule="exact" w:val="222"/>
              </w:trPr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4" w:after="0"/>
                    <w:ind w:left="2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Name</w:t>
                  </w:r>
                </w:p>
              </w:tc>
              <w:tc>
                <w:tcPr>
                  <w:tcW w:type="dxa" w:w="2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4" w:after="0"/>
                    <w:ind w:left="15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 Mr.PRASANT KUMAR JENA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4" w:after="0"/>
                    <w:ind w:left="0" w:right="196" w:firstLine="0"/>
                    <w:jc w:val="righ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Centre Details</w:t>
                  </w:r>
                </w:p>
              </w:tc>
              <w:tc>
                <w:tcPr>
                  <w:tcW w:type="dxa" w:w="3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4" w:after="0"/>
                    <w:ind w:left="20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:AIIMS BHUBNESWAR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56" w:after="0"/>
                    <w:ind w:left="2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Age</w:t>
                  </w:r>
                </w:p>
              </w:tc>
              <w:tc>
                <w:tcPr>
                  <w:tcW w:type="dxa" w:w="2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56" w:after="0"/>
                    <w:ind w:left="15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 72 Yrs          Sex: Male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56" w:after="0"/>
                    <w:ind w:left="0" w:right="340" w:firstLine="0"/>
                    <w:jc w:val="righ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Accession.ID</w:t>
                  </w:r>
                </w:p>
              </w:tc>
              <w:tc>
                <w:tcPr>
                  <w:tcW w:type="dxa" w:w="3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56" w:after="0"/>
                    <w:ind w:left="20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:OQG2607020430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50" w:after="0"/>
                    <w:ind w:left="2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Collection Date</w:t>
                  </w:r>
                </w:p>
              </w:tc>
              <w:tc>
                <w:tcPr>
                  <w:tcW w:type="dxa" w:w="2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50" w:after="0"/>
                    <w:ind w:left="15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 01/Jul/2026 12:00AM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50" w:after="0"/>
                    <w:ind w:left="0" w:right="418" w:firstLine="0"/>
                    <w:jc w:val="righ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Referred By</w:t>
                  </w:r>
                </w:p>
              </w:tc>
              <w:tc>
                <w:tcPr>
                  <w:tcW w:type="dxa" w:w="3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50" w:after="0"/>
                    <w:ind w:left="20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:DR.SAROJ KUMAR DAS MAJUMDAR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4" w:after="0"/>
                    <w:ind w:left="2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Received Date</w:t>
                  </w:r>
                </w:p>
              </w:tc>
              <w:tc>
                <w:tcPr>
                  <w:tcW w:type="dxa" w:w="2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4" w:after="0"/>
                    <w:ind w:left="15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 02/Jul/2026 02:34PM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4" w:after="0"/>
                    <w:ind w:left="0" w:right="378" w:firstLine="0"/>
                    <w:jc w:val="righ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Report Date</w:t>
                  </w:r>
                </w:p>
              </w:tc>
              <w:tc>
                <w:tcPr>
                  <w:tcW w:type="dxa" w:w="3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4" w:after="0"/>
                    <w:ind w:left="20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:15/Jul/2026 04:22PM</w:t>
                  </w:r>
                </w:p>
              </w:tc>
            </w:tr>
            <w:tr>
              <w:trPr>
                <w:trHeight w:hRule="exact" w:val="198"/>
              </w:trPr>
              <w:tc>
                <w:tcPr>
                  <w:tcW w:type="dxa" w:w="44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0" w:after="0"/>
                    <w:ind w:left="2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Registration Date</w:t>
                  </w: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 02/Jul/2026 02:34PM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0" w:after="0"/>
                    <w:ind w:left="0" w:right="248" w:firstLine="0"/>
                    <w:jc w:val="righ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Ref.No/TRF.No</w:t>
                  </w:r>
                </w:p>
              </w:tc>
              <w:tc>
                <w:tcPr>
                  <w:tcW w:type="dxa" w:w="3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0" w:after="0"/>
                    <w:ind w:left="20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 /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82" w:lineRule="exact" w:before="70" w:after="70"/>
        <w:ind w:left="0" w:right="0" w:firstLine="0"/>
        <w:jc w:val="center"/>
      </w:pPr>
      <w:r>
        <w:rPr>
          <w:w w:val="101.26511255900066"/>
          <w:rFonts w:ascii="Times New Roman,Bold" w:hAnsi="Times New Roman,Bold" w:eastAsia="Times New Roman,Bold"/>
          <w:b/>
          <w:i w:val="0"/>
          <w:color w:val="000000"/>
          <w:sz w:val="18"/>
        </w:rPr>
        <w:t>DEPARTMENT OF MOLECULAR DIAGNOSTICS-II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4"/>
        <w:gridCol w:w="5264"/>
      </w:tblGrid>
      <w:tr>
        <w:trPr>
          <w:trHeight w:hRule="exact" w:val="13536"/>
        </w:trPr>
        <w:tc>
          <w:tcPr>
            <w:tcW w:type="dxa" w:w="774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4" w:after="0"/>
              <w:ind w:left="104" w:right="0" w:firstLine="0"/>
              <w:jc w:val="left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fixation highly contributes to the noise level.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FASTQ reads were aligned against the hg19 in the Torrent suite software (v5.12). Variant calling w </w:t>
            </w:r>
            <w:r>
              <w:br/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 variants were annotated using Oncomine Focus Assay Annotations v1.7 and AMP-ASCO-CAP guidelines were followed for variant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classification. </w:t>
            </w:r>
          </w:p>
          <w:p>
            <w:pPr>
              <w:autoSpaceDN w:val="0"/>
              <w:autoSpaceDE w:val="0"/>
              <w:widowControl/>
              <w:spacing w:line="186" w:lineRule="exact" w:before="220" w:after="0"/>
              <w:ind w:left="104" w:right="0" w:firstLine="0"/>
              <w:jc w:val="left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124B82"/>
                <w:sz w:val="18"/>
              </w:rPr>
              <w:t>Database versions used</w:t>
            </w:r>
          </w:p>
          <w:p>
            <w:pPr>
              <w:autoSpaceDN w:val="0"/>
              <w:autoSpaceDE w:val="0"/>
              <w:widowControl/>
              <w:spacing w:line="220" w:lineRule="exact" w:before="184" w:after="0"/>
              <w:ind w:left="104" w:right="0" w:firstLine="0"/>
              <w:jc w:val="left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5000Exomes (Source Version:20161108), Canonical RefSeq Transcripts(Source Version:v95), C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dbSNP(Source Version:153), DGV(Source Version:20160515), DrugBank(Source Version:201907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Ontology(Source Version:20190930), Named Variants(Source Version:1), Pfam(Source Ve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Version:20160919), RefSeq Gene Functional Canonical Transcripts Scores(Source Version:10), RefS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CitelineTrialTrove.</w:t>
            </w:r>
          </w:p>
          <w:p>
            <w:pPr>
              <w:autoSpaceDN w:val="0"/>
              <w:autoSpaceDE w:val="0"/>
              <w:widowControl/>
              <w:spacing w:line="186" w:lineRule="exact" w:before="220" w:after="0"/>
              <w:ind w:left="104" w:right="0" w:firstLine="0"/>
              <w:jc w:val="left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124B82"/>
                <w:sz w:val="18"/>
              </w:rPr>
              <w:t>Limitation and Disclaimer</w:t>
            </w:r>
          </w:p>
          <w:p>
            <w:pPr>
              <w:autoSpaceDN w:val="0"/>
              <w:autoSpaceDE w:val="0"/>
              <w:widowControl/>
              <w:spacing w:line="186" w:lineRule="exact" w:before="218" w:after="0"/>
              <w:ind w:left="566" w:right="0" w:firstLine="0"/>
              <w:jc w:val="left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Variant with 250X coverage or more are considered for clinical correlation with the disease.</w:t>
            </w:r>
          </w:p>
          <w:p>
            <w:pPr>
              <w:autoSpaceDN w:val="0"/>
              <w:autoSpaceDE w:val="0"/>
              <w:widowControl/>
              <w:spacing w:line="218" w:lineRule="exact" w:before="2" w:after="0"/>
              <w:ind w:left="566" w:right="0" w:firstLine="0"/>
              <w:jc w:val="left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This test is limited to listed genes analysis only, It should be noted that this test does not seque </w:t>
            </w:r>
            <w:r>
              <w:br/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not all variants have been identified or interpreted, and this report is limited only to variants with evidence for causing or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contributing to disease/clinical details.</w:t>
            </w:r>
          </w:p>
          <w:p>
            <w:pPr>
              <w:autoSpaceDN w:val="0"/>
              <w:autoSpaceDE w:val="0"/>
              <w:widowControl/>
              <w:spacing w:line="184" w:lineRule="exact" w:before="36" w:after="0"/>
              <w:ind w:left="566" w:right="0" w:firstLine="0"/>
              <w:jc w:val="left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This assay is not meant to interrogate most promoter regions, deep intronic regions, or other regulatory elements.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566" w:right="0" w:firstLine="0"/>
              <w:jc w:val="left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Data from this test is based on currently available scientific information. The classification of va </w:t>
            </w:r>
            <w:r>
              <w:br/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change over time.This data can be re-assessed for the presence of any variants that may be newly linked to be associated with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cancer. The physician can request reanalysis of the data.</w:t>
            </w:r>
          </w:p>
          <w:p>
            <w:pPr>
              <w:autoSpaceDN w:val="0"/>
              <w:autoSpaceDE w:val="0"/>
              <w:widowControl/>
              <w:spacing w:line="184" w:lineRule="exact" w:before="34" w:after="0"/>
              <w:ind w:left="566" w:right="0" w:firstLine="0"/>
              <w:jc w:val="left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Certain genes may not be covered completely, and few mutations could be missed.</w:t>
            </w:r>
          </w:p>
          <w:p>
            <w:pPr>
              <w:autoSpaceDN w:val="0"/>
              <w:autoSpaceDE w:val="0"/>
              <w:widowControl/>
              <w:spacing w:line="184" w:lineRule="exact" w:before="36" w:after="0"/>
              <w:ind w:left="566" w:right="0" w:firstLine="0"/>
              <w:jc w:val="left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This NGS test used does not allow definitive differentiation between germline and somatic variants.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566" w:right="0" w:firstLine="0"/>
              <w:jc w:val="left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TREATMENT DECISIONS BASED ON THESE MUTATIONS MAY BE TAKEN IN CORRELATION WITH OTHER CLINICAL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AND PATHOLOGICAL INFORMATION</w:t>
            </w:r>
          </w:p>
          <w:p>
            <w:pPr>
              <w:autoSpaceDN w:val="0"/>
              <w:autoSpaceDE w:val="0"/>
              <w:widowControl/>
              <w:spacing w:line="220" w:lineRule="exact" w:before="184" w:after="0"/>
              <w:ind w:left="104" w:right="0" w:firstLine="0"/>
              <w:jc w:val="left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All investigations have their limitation which is imposed by the limits of sensitivity and specificity of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as the quality of the specimen received at laboratory.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Inclusion of variations is dependent upon our assessment of their significance. The quality of seque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regions. Many factors such as homopolymers, GC-rich regions etc. influence the quality of sequencin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occasional error in sequence reads or lack of detection of a particular genetic lesion. </w:t>
            </w:r>
          </w:p>
          <w:p>
            <w:pPr>
              <w:autoSpaceDN w:val="0"/>
              <w:autoSpaceDE w:val="0"/>
              <w:widowControl/>
              <w:spacing w:line="184" w:lineRule="exact" w:before="256" w:after="0"/>
              <w:ind w:left="104" w:right="0" w:firstLine="0"/>
              <w:jc w:val="left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124B82"/>
                <w:sz w:val="18"/>
              </w:rPr>
              <w:t>Analysis</w:t>
            </w:r>
          </w:p>
          <w:p>
            <w:pPr>
              <w:autoSpaceDN w:val="0"/>
              <w:autoSpaceDE w:val="0"/>
              <w:widowControl/>
              <w:spacing w:line="220" w:lineRule="exact" w:before="184" w:after="0"/>
              <w:ind w:left="104" w:right="0" w:firstLine="0"/>
              <w:jc w:val="both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124B82"/>
                <w:sz w:val="18"/>
              </w:rPr>
              <w:t>Torrent Variant Caller plugin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– A SNP and indel calling analysis module that is part of the Torren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through the Torrent Browser. The plugin can either be initiated automatically after sequencing data h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or it can be initiated manually to process previously generated datasets.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w w:val="102.75946723090277"/>
                <w:rFonts w:ascii="Calibri" w:hAnsi="Calibri" w:eastAsia="Calibri"/>
                <w:b/>
                <w:i w:val="0"/>
                <w:color w:val="124B82"/>
                <w:sz w:val="18"/>
              </w:rPr>
              <w:t>Ion Reporter™ Software</w:t>
            </w:r>
            <w:r>
              <w:rPr>
                <w:w w:val="102.75946723090277"/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–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 cloud-based software service that provides both variant calling and an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features that are essential to researchers who perform sequencing assays. It comprises a suite of b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and simplifies analysis, reporting, and archiving of semiconductor sequencing data. Ion Reporter™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and integrates comprehensive public annotations to reduce the bioinformatics work needed to unders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and to shorten the time to interpret test results.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both"/>
            </w:pPr>
            <w:r>
              <w:rPr>
                <w:w w:val="102.75946723090277"/>
                <w:rFonts w:ascii="Calibri" w:hAnsi="Calibri" w:eastAsia="Calibri"/>
                <w:b/>
                <w:i w:val="0"/>
                <w:color w:val="124B82"/>
                <w:sz w:val="18"/>
              </w:rPr>
              <w:t>Oncomine™ Knowledgebase Reporter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‐ The Oncomine™ Reporter software matches genetic varian </w:t>
            </w:r>
            <w:r>
              <w:br/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relevant data from a curated set of published evidence from public sources. The software is used </w:t>
            </w:r>
            <w:r>
              <w:br/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sample-specific view of data with each variant matched with relevant data, including labels, guidelines, and clinical trials.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104" w:right="0" w:firstLine="0"/>
              <w:jc w:val="left"/>
            </w:pPr>
            <w:r>
              <w:rPr>
                <w:w w:val="102.75946723090277"/>
                <w:rFonts w:ascii="Calibri,Bold" w:hAnsi="Calibri,Bold" w:eastAsia="Calibri,Bold"/>
                <w:b/>
                <w:i w:val="0"/>
                <w:color w:val="124B82"/>
                <w:sz w:val="18"/>
              </w:rPr>
              <w:t xml:space="preserve">Variants of Unknown Significance (VUS) </w:t>
            </w:r>
            <w:r>
              <w:rPr>
                <w:w w:val="102.75946723090277"/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–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These variants may not have been adequately character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time this report was issued and/or the genomic context of these alterations makes their significance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here in the event that they become clinically meaningful in the future.</w:t>
            </w:r>
          </w:p>
          <w:p>
            <w:pPr>
              <w:autoSpaceDN w:val="0"/>
              <w:autoSpaceDE w:val="0"/>
              <w:widowControl/>
              <w:spacing w:line="200" w:lineRule="exact" w:before="2166" w:after="0"/>
              <w:ind w:left="0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Verify this report by scanning the QR code on top. In case of any discrepancy please report to 01246650000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The sample is processed through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 xml:space="preserve">     Oncquest Laboratories Ltd.;  A-17 Infocity, Sector-34, Gurugram</w:t>
            </w:r>
          </w:p>
        </w:tc>
        <w:tc>
          <w:tcPr>
            <w:tcW w:type="dxa" w:w="2688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32" w:after="0"/>
              <w:ind w:left="46" w:right="0" w:firstLine="2"/>
              <w:jc w:val="left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as done using Ion Reporter (v5.20).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lines were followed for variant </w:t>
            </w:r>
          </w:p>
          <w:p>
            <w:pPr>
              <w:autoSpaceDN w:val="0"/>
              <w:autoSpaceDE w:val="0"/>
              <w:widowControl/>
              <w:spacing w:line="220" w:lineRule="exact" w:before="810" w:after="0"/>
              <w:ind w:left="0" w:right="0" w:firstLine="0"/>
              <w:jc w:val="center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linVar(Source Version:20190909)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23), ExAC(Source Version:1), Gen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rsion:32), PhyloP Scores(Sourc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eq GeneModel(Source Version:95</w:t>
            </w:r>
          </w:p>
          <w:p>
            <w:pPr>
              <w:autoSpaceDN w:val="0"/>
              <w:autoSpaceDE w:val="0"/>
              <w:widowControl/>
              <w:spacing w:line="218" w:lineRule="exact" w:before="1032" w:after="0"/>
              <w:ind w:left="24" w:right="0" w:firstLine="8"/>
              <w:jc w:val="left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nce all bases in a human genome,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h evidence for causing or </w:t>
            </w:r>
          </w:p>
          <w:p>
            <w:pPr>
              <w:autoSpaceDN w:val="0"/>
              <w:autoSpaceDE w:val="0"/>
              <w:widowControl/>
              <w:spacing w:line="184" w:lineRule="exact" w:before="256" w:after="0"/>
              <w:ind w:left="0" w:right="0" w:firstLine="0"/>
              <w:jc w:val="left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gulatory elements.</w:t>
            </w:r>
          </w:p>
          <w:p>
            <w:pPr>
              <w:autoSpaceDN w:val="0"/>
              <w:tabs>
                <w:tab w:pos="86" w:val="left"/>
              </w:tabs>
              <w:autoSpaceDE w:val="0"/>
              <w:widowControl/>
              <w:spacing w:line="220" w:lineRule="exact" w:before="0" w:after="0"/>
              <w:ind w:left="0" w:right="0" w:firstLine="0"/>
              <w:jc w:val="left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riants of unknown significance can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wly linked to be associated with </w:t>
            </w:r>
          </w:p>
          <w:p>
            <w:pPr>
              <w:autoSpaceDN w:val="0"/>
              <w:autoSpaceDE w:val="0"/>
              <w:widowControl/>
              <w:spacing w:line="184" w:lineRule="exact" w:before="474" w:after="0"/>
              <w:ind w:left="28" w:right="0" w:firstLine="0"/>
              <w:jc w:val="left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nts.</w:t>
            </w:r>
          </w:p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left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OTHER CLINICAL </w:t>
            </w:r>
          </w:p>
          <w:p>
            <w:pPr>
              <w:autoSpaceDN w:val="0"/>
              <w:autoSpaceDE w:val="0"/>
              <w:widowControl/>
              <w:spacing w:line="184" w:lineRule="exact" w:before="440" w:after="0"/>
              <w:ind w:left="0" w:right="0" w:firstLine="0"/>
              <w:jc w:val="center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individual assay procedures as we</w:t>
            </w:r>
          </w:p>
          <w:p>
            <w:pPr>
              <w:autoSpaceDN w:val="0"/>
              <w:autoSpaceDE w:val="0"/>
              <w:widowControl/>
              <w:spacing w:line="220" w:lineRule="exact" w:before="220" w:after="0"/>
              <w:ind w:left="0" w:right="0" w:firstLine="0"/>
              <w:jc w:val="center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ncing and coverage varies betwee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g and coverage. This may result in a</w:t>
            </w:r>
          </w:p>
          <w:p>
            <w:pPr>
              <w:autoSpaceDN w:val="0"/>
              <w:autoSpaceDE w:val="0"/>
              <w:widowControl/>
              <w:spacing w:line="220" w:lineRule="exact" w:before="842" w:after="0"/>
              <w:ind w:left="0" w:right="0" w:firstLine="0"/>
              <w:jc w:val="center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 Suite™ Software and is accessibl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ave been generated and bases calle</w:t>
            </w:r>
          </w:p>
          <w:p>
            <w:pPr>
              <w:autoSpaceDN w:val="0"/>
              <w:autoSpaceDE w:val="0"/>
              <w:widowControl/>
              <w:spacing w:line="220" w:lineRule="exact" w:before="220" w:after="0"/>
              <w:ind w:left="0" w:right="0" w:firstLine="0"/>
              <w:jc w:val="center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notations, designed with traceabilit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ioinformatics tools that streamline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Software fast‐tracks variant analysi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tand the impact of detected variant</w:t>
            </w:r>
          </w:p>
          <w:p>
            <w:pPr>
              <w:autoSpaceDN w:val="0"/>
              <w:autoSpaceDE w:val="0"/>
              <w:widowControl/>
              <w:spacing w:line="220" w:lineRule="exact" w:before="220" w:after="0"/>
              <w:ind w:left="0" w:right="12" w:firstLine="0"/>
              <w:jc w:val="right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t information from a source file wit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to prepare a report that presents 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s, and clinical trials.</w:t>
            </w:r>
          </w:p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>ized in the scientific literature at th</w:t>
            </w:r>
            <w:r>
              <w:rPr>
                <w:w w:val="102.75946723090277"/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unclear. We choose to include the</w:t>
            </w:r>
          </w:p>
          <w:p>
            <w:pPr>
              <w:autoSpaceDN w:val="0"/>
              <w:autoSpaceDE w:val="0"/>
              <w:widowControl/>
              <w:spacing w:line="160" w:lineRule="exact" w:before="2726" w:after="0"/>
              <w:ind w:left="0" w:right="7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Page 3 of 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752" w:right="772" w:bottom="100" w:left="6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540"/>
      </w:tblGrid>
      <w:tr>
        <w:trPr>
          <w:trHeight w:hRule="exact" w:val="1224"/>
        </w:trPr>
        <w:tc>
          <w:tcPr>
            <w:tcW w:type="dxa" w:w="10272"/>
            <w:tcBorders>
              <w:top w:sz="10.399999999999977" w:val="single" w:color="#000000"/>
              <w:end w:sz="10.399999999999636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2568"/>
              <w:gridCol w:w="2568"/>
              <w:gridCol w:w="2568"/>
              <w:gridCol w:w="2568"/>
            </w:tblGrid>
            <w:tr>
              <w:trPr>
                <w:trHeight w:hRule="exact" w:val="222"/>
              </w:trPr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4" w:after="0"/>
                    <w:ind w:left="4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Name</w:t>
                  </w:r>
                </w:p>
              </w:tc>
              <w:tc>
                <w:tcPr>
                  <w:tcW w:type="dxa" w:w="2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4" w:after="0"/>
                    <w:ind w:left="15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 Mr.PRASANT KUMAR JENA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4" w:after="0"/>
                    <w:ind w:left="0" w:right="196" w:firstLine="0"/>
                    <w:jc w:val="righ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Centre Details</w:t>
                  </w:r>
                </w:p>
              </w:tc>
              <w:tc>
                <w:tcPr>
                  <w:tcW w:type="dxa" w:w="3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4" w:after="0"/>
                    <w:ind w:left="20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:AIIMS BHUBNESWAR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56" w:after="0"/>
                    <w:ind w:left="4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Age</w:t>
                  </w:r>
                </w:p>
              </w:tc>
              <w:tc>
                <w:tcPr>
                  <w:tcW w:type="dxa" w:w="2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56" w:after="0"/>
                    <w:ind w:left="15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 72 Yrs          Sex: Male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56" w:after="0"/>
                    <w:ind w:left="0" w:right="340" w:firstLine="0"/>
                    <w:jc w:val="righ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Accession.ID</w:t>
                  </w:r>
                </w:p>
              </w:tc>
              <w:tc>
                <w:tcPr>
                  <w:tcW w:type="dxa" w:w="3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56" w:after="0"/>
                    <w:ind w:left="20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:OQG2607020430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50" w:after="0"/>
                    <w:ind w:left="4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Collection Date</w:t>
                  </w:r>
                </w:p>
              </w:tc>
              <w:tc>
                <w:tcPr>
                  <w:tcW w:type="dxa" w:w="2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50" w:after="0"/>
                    <w:ind w:left="15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 01/Jul/2026 12:00AM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50" w:after="0"/>
                    <w:ind w:left="0" w:right="418" w:firstLine="0"/>
                    <w:jc w:val="righ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Referred By</w:t>
                  </w:r>
                </w:p>
              </w:tc>
              <w:tc>
                <w:tcPr>
                  <w:tcW w:type="dxa" w:w="3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50" w:after="0"/>
                    <w:ind w:left="20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:DR.SAROJ KUMAR DAS MAJUMDAR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4" w:after="0"/>
                    <w:ind w:left="4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Received Date</w:t>
                  </w:r>
                </w:p>
              </w:tc>
              <w:tc>
                <w:tcPr>
                  <w:tcW w:type="dxa" w:w="2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4" w:after="0"/>
                    <w:ind w:left="15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 02/Jul/2026 02:34PM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4" w:after="0"/>
                    <w:ind w:left="0" w:right="378" w:firstLine="0"/>
                    <w:jc w:val="righ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Report Date</w:t>
                  </w:r>
                </w:p>
              </w:tc>
              <w:tc>
                <w:tcPr>
                  <w:tcW w:type="dxa" w:w="3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4" w:after="0"/>
                    <w:ind w:left="20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:15/Jul/2026 04:22PM</w:t>
                  </w:r>
                </w:p>
              </w:tc>
            </w:tr>
            <w:tr>
              <w:trPr>
                <w:trHeight w:hRule="exact" w:val="198"/>
              </w:trPr>
              <w:tc>
                <w:tcPr>
                  <w:tcW w:type="dxa" w:w="44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0" w:after="0"/>
                    <w:ind w:left="4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Registration Date</w:t>
                  </w: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 02/Jul/2026 02:34PM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0" w:after="0"/>
                    <w:ind w:left="0" w:right="248" w:firstLine="0"/>
                    <w:jc w:val="righ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Ref.No/TRF.No</w:t>
                  </w:r>
                </w:p>
              </w:tc>
              <w:tc>
                <w:tcPr>
                  <w:tcW w:type="dxa" w:w="3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0" w:after="0"/>
                    <w:ind w:left="208" w:right="0" w:firstLine="0"/>
                    <w:jc w:val="left"/>
                  </w:pPr>
                  <w:r>
                    <w:rPr>
                      <w:w w:val="97.6485013961792"/>
                      <w:rFonts w:ascii="Verdana" w:hAnsi="Verdana" w:eastAsia="Verdana"/>
                      <w:b w:val="0"/>
                      <w:i w:val="0"/>
                      <w:color w:val="000000"/>
                      <w:sz w:val="16"/>
                    </w:rPr>
                    <w:t>: /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82" w:lineRule="exact" w:before="70" w:after="0"/>
        <w:ind w:left="0" w:right="0" w:firstLine="0"/>
        <w:jc w:val="center"/>
      </w:pPr>
      <w:r>
        <w:rPr>
          <w:w w:val="101.26511255900066"/>
          <w:rFonts w:ascii="Times New Roman,Bold" w:hAnsi="Times New Roman,Bold" w:eastAsia="Times New Roman,Bold"/>
          <w:b/>
          <w:i w:val="0"/>
          <w:color w:val="000000"/>
          <w:sz w:val="18"/>
        </w:rPr>
        <w:t>DEPARTMENT OF MOLECULAR DIAGNOSTICS-II</w:t>
      </w:r>
    </w:p>
    <w:p>
      <w:pPr>
        <w:autoSpaceDN w:val="0"/>
        <w:tabs>
          <w:tab w:pos="324" w:val="left"/>
          <w:tab w:pos="566" w:val="left"/>
        </w:tabs>
        <w:autoSpaceDE w:val="0"/>
        <w:widowControl/>
        <w:spacing w:line="312" w:lineRule="exact" w:before="324" w:after="0"/>
        <w:ind w:left="104" w:right="144" w:firstLine="0"/>
        <w:jc w:val="left"/>
      </w:pPr>
      <w:r>
        <w:rPr>
          <w:w w:val="102.75946723090277"/>
          <w:rFonts w:ascii="Calibri,Bold" w:hAnsi="Calibri,Bold" w:eastAsia="Calibri,Bold"/>
          <w:b/>
          <w:i w:val="0"/>
          <w:color w:val="124B82"/>
          <w:sz w:val="18"/>
        </w:rPr>
        <w:t xml:space="preserve">References: </w:t>
      </w:r>
      <w:r>
        <w:br/>
      </w:r>
      <w:r>
        <w:tab/>
      </w:r>
      <w:r>
        <w:rPr>
          <w:w w:val="102.75946723090277"/>
          <w:rFonts w:ascii="Calibri" w:hAnsi="Calibri" w:eastAsia="Calibri"/>
          <w:b w:val="0"/>
          <w:i w:val="0"/>
          <w:color w:val="000000"/>
          <w:sz w:val="18"/>
        </w:rPr>
        <w:t xml:space="preserve">1. </w:t>
      </w:r>
      <w:r>
        <w:rPr>
          <w:w w:val="102.75946723090277"/>
          <w:rFonts w:ascii="Calibri" w:hAnsi="Calibri" w:eastAsia="Calibri"/>
          <w:b w:val="0"/>
          <w:i w:val="0"/>
          <w:color w:val="000000"/>
          <w:sz w:val="18"/>
        </w:rPr>
        <w:t xml:space="preserve">Watson IR, Takahashi K, Futreal PA et al. (2013) Emerging patterns of somatic mutations in cancer. Nat Rev Genet 14(10):703–718 </w:t>
      </w:r>
      <w:r>
        <w:tab/>
      </w:r>
      <w:r>
        <w:rPr>
          <w:w w:val="102.75946723090277"/>
          <w:rFonts w:ascii="Calibri" w:hAnsi="Calibri" w:eastAsia="Calibri"/>
          <w:b w:val="0"/>
          <w:i w:val="0"/>
          <w:color w:val="000000"/>
          <w:sz w:val="18"/>
        </w:rPr>
        <w:t xml:space="preserve">2. Kim TM, Xi R, Luquette LJ et al. (2013) Functional genomic analysis of chromosomal aberrations in a compendium of 8000 cancer </w:t>
      </w:r>
      <w:r>
        <w:tab/>
      </w:r>
      <w:r>
        <w:rPr>
          <w:w w:val="102.75946723090277"/>
          <w:rFonts w:ascii="Calibri" w:hAnsi="Calibri" w:eastAsia="Calibri"/>
          <w:b w:val="0"/>
          <w:i w:val="0"/>
          <w:color w:val="000000"/>
          <w:sz w:val="18"/>
        </w:rPr>
        <w:t xml:space="preserve">genomes. Genome Res 23(2):217–227 </w:t>
      </w:r>
      <w:r>
        <w:br/>
      </w:r>
      <w:r>
        <w:rPr>
          <w:w w:val="102.75946723090277"/>
          <w:rFonts w:ascii="Calibri,Italic" w:hAnsi="Calibri,Italic" w:eastAsia="Calibri,Italic"/>
          <w:b w:val="0"/>
          <w:i/>
          <w:color w:val="000000"/>
          <w:sz w:val="18"/>
        </w:rPr>
        <w:t>Note: The performance of this Test has been evaluated at Oncquest Laboratories Ltd.</w:t>
      </w:r>
    </w:p>
    <w:p>
      <w:pPr>
        <w:autoSpaceDN w:val="0"/>
        <w:autoSpaceDE w:val="0"/>
        <w:widowControl/>
        <w:spacing w:line="186" w:lineRule="exact" w:before="68" w:after="22"/>
        <w:ind w:left="0" w:right="4344" w:firstLine="0"/>
        <w:jc w:val="right"/>
      </w:pPr>
      <w:r>
        <w:rPr>
          <w:w w:val="102.75946723090277"/>
          <w:rFonts w:ascii="Calibri,Bold" w:hAnsi="Calibri,Bold" w:eastAsia="Calibri,Bold"/>
          <w:b/>
          <w:i w:val="0"/>
          <w:color w:val="000000"/>
          <w:sz w:val="18"/>
        </w:rPr>
        <w:t>*** End Of Report ***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540"/>
      </w:tblGrid>
      <w:tr>
        <w:trPr>
          <w:trHeight w:hRule="exact" w:val="1226"/>
        </w:trPr>
        <w:tc>
          <w:tcPr>
            <w:tcW w:type="dxa" w:w="10392"/>
            <w:tcBorders>
              <w:start w:sz="4.7999999999999545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12" w:right="1440" w:firstLine="0"/>
              <w:jc w:val="left"/>
            </w:pPr>
            <w:r>
              <w:rPr>
                <w:w w:val="97.81910822941707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Disclaimer: All Results released pertain to the specimen submitted to the lab </w:t>
            </w:r>
            <w:r>
              <w:br/>
            </w:r>
            <w:r>
              <w:rPr>
                <w:w w:val="97.81910822941707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1. Test results are dependent on the quality of the sample received by the lab </w:t>
            </w:r>
            <w:r>
              <w:br/>
            </w:r>
            <w:r>
              <w:rPr>
                <w:w w:val="97.81910822941707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2. Tests are performed as per schedule given in the test listing and in any unforeseen circumstances, report delivery may be delayed </w:t>
            </w:r>
            <w:r>
              <w:rPr>
                <w:w w:val="97.81910822941707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3. Test results may show interlaboratory variations </w:t>
            </w:r>
            <w:r>
              <w:br/>
            </w:r>
            <w:r>
              <w:rPr>
                <w:w w:val="97.81910822941707"/>
                <w:rFonts w:ascii="Verdana" w:hAnsi="Verdana" w:eastAsia="Verdana"/>
                <w:b w:val="0"/>
                <w:i w:val="0"/>
                <w:color w:val="000000"/>
                <w:sz w:val="13"/>
              </w:rPr>
              <w:t>4. All dispute and claims are subjected to local jurisdiction only. Clinical correlation advised.</w:t>
            </w:r>
          </w:p>
          <w:p>
            <w:pPr>
              <w:autoSpaceDN w:val="0"/>
              <w:autoSpaceDE w:val="0"/>
              <w:widowControl/>
              <w:spacing w:line="172" w:lineRule="exact" w:before="2" w:after="0"/>
              <w:ind w:left="12" w:right="2736" w:firstLine="0"/>
              <w:jc w:val="left"/>
            </w:pPr>
            <w:r>
              <w:rPr>
                <w:w w:val="97.81910822941707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5. Test results are not valid for medico legal purposes </w:t>
            </w:r>
            <w:r>
              <w:br/>
            </w:r>
            <w:r>
              <w:rPr>
                <w:w w:val="97.81910822941707"/>
                <w:rFonts w:ascii="Verdana" w:hAnsi="Verdana" w:eastAsia="Verdana"/>
                <w:b w:val="0"/>
                <w:i w:val="0"/>
                <w:color w:val="000000"/>
                <w:sz w:val="13"/>
              </w:rPr>
              <w:t>6. For all queries, feedbacks, suggestions, and complaints, please contact customer care support +0124 665 0000</w:t>
            </w:r>
          </w:p>
        </w:tc>
      </w:tr>
    </w:tbl>
    <w:p>
      <w:pPr>
        <w:autoSpaceDN w:val="0"/>
        <w:autoSpaceDE w:val="0"/>
        <w:widowControl/>
        <w:spacing w:line="160" w:lineRule="exact" w:before="97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>Verify this report by scanning the QR code on top. In case of any discrepancy please report to 01246650000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70"/>
        <w:gridCol w:w="5270"/>
      </w:tblGrid>
      <w:tr>
        <w:trPr>
          <w:trHeight w:hRule="exact" w:val="300"/>
        </w:trPr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The sample is processed through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16"/>
              </w:rPr>
              <w:t xml:space="preserve">     Oncquest Laboratories Ltd.;  A-17 Infocity, Sector-34, Gurugram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0" w:right="4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Page 4 of 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752" w:right="760" w:bottom="100" w:left="6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8"/>
        <w:ind w:left="0" w:right="0"/>
      </w:pPr>
    </w:p>
    <w:p>
      <w:pPr>
        <w:autoSpaceDN w:val="0"/>
        <w:autoSpaceDE w:val="0"/>
        <w:widowControl/>
        <w:spacing w:line="240" w:lineRule="auto" w:before="0" w:after="12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82319" cy="7035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2319" cy="7035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620"/>
        <w:gridCol w:w="3620"/>
        <w:gridCol w:w="3620"/>
      </w:tblGrid>
      <w:tr>
        <w:trPr>
          <w:trHeight w:hRule="exact" w:val="278"/>
        </w:trPr>
        <w:tc>
          <w:tcPr>
            <w:tcW w:type="dxa" w:w="495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1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Case Number: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OQG2607020430</w:t>
            </w:r>
          </w:p>
        </w:tc>
        <w:tc>
          <w:tcPr>
            <w:tcW w:type="dxa" w:w="488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496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Report Date: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15 Jul 2026</w:t>
            </w:r>
          </w:p>
        </w:tc>
        <w:tc>
          <w:tcPr>
            <w:tcW w:type="dxa" w:w="99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0" w:right="10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1 of 5</w:t>
            </w:r>
          </w:p>
        </w:tc>
      </w:tr>
    </w:tbl>
    <w:p>
      <w:pPr>
        <w:autoSpaceDN w:val="0"/>
        <w:autoSpaceDE w:val="0"/>
        <w:widowControl/>
        <w:spacing w:line="266" w:lineRule="auto" w:before="130" w:after="0"/>
        <w:ind w:left="20" w:right="0" w:firstLine="0"/>
        <w:jc w:val="left"/>
      </w:pPr>
      <w:r>
        <w:rPr>
          <w:rFonts w:ascii="Roboto" w:hAnsi="Roboto" w:eastAsia="Roboto"/>
          <w:b/>
          <w:i w:val="0"/>
          <w:color w:val="124B82"/>
          <w:sz w:val="26"/>
        </w:rPr>
        <w:t>Sample Cancer Type:</w:t>
      </w:r>
      <w:r>
        <w:rPr>
          <w:rFonts w:ascii="Roboto" w:hAnsi="Roboto" w:eastAsia="Roboto"/>
          <w:b w:val="0"/>
          <w:i w:val="0"/>
          <w:color w:val="124B82"/>
          <w:sz w:val="26"/>
        </w:rPr>
        <w:t xml:space="preserve"> Colon Cancer</w:t>
      </w:r>
    </w:p>
    <w:p>
      <w:pPr>
        <w:autoSpaceDN w:val="0"/>
        <w:autoSpaceDE w:val="0"/>
        <w:widowControl/>
        <w:spacing w:line="266" w:lineRule="auto" w:before="66" w:after="20"/>
        <w:ind w:left="20" w:right="0" w:firstLine="0"/>
        <w:jc w:val="left"/>
      </w:pPr>
      <w:r>
        <w:rPr>
          <w:rFonts w:ascii="Roboto" w:hAnsi="Roboto" w:eastAsia="Roboto"/>
          <w:b/>
          <w:i w:val="0"/>
          <w:color w:val="124B82"/>
          <w:sz w:val="26"/>
        </w:rPr>
        <w:t>Relevant Colon Cancer Findings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15"/>
        <w:gridCol w:w="2715"/>
        <w:gridCol w:w="2715"/>
        <w:gridCol w:w="2715"/>
      </w:tblGrid>
      <w:tr>
        <w:trPr>
          <w:trHeight w:hRule="exact" w:val="478"/>
        </w:trPr>
        <w:tc>
          <w:tcPr>
            <w:tcW w:type="dxa" w:w="1100"/>
            <w:tcBorders>
              <w:top w:sz="16.0" w:val="single" w:color="#124A81"/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84" w:after="0"/>
              <w:ind w:left="180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333333"/>
                <w:sz w:val="16"/>
              </w:rPr>
              <w:t>Gene</w:t>
            </w:r>
          </w:p>
        </w:tc>
        <w:tc>
          <w:tcPr>
            <w:tcW w:type="dxa" w:w="2980"/>
            <w:tcBorders>
              <w:top w:sz="16.0" w:val="single" w:color="#124A81"/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84" w:after="0"/>
              <w:ind w:left="320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333333"/>
                <w:sz w:val="16"/>
              </w:rPr>
              <w:t>Finding</w:t>
            </w:r>
          </w:p>
        </w:tc>
        <w:tc>
          <w:tcPr>
            <w:tcW w:type="dxa" w:w="2440"/>
            <w:tcBorders>
              <w:top w:sz="16.0" w:val="single" w:color="#124A81"/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84" w:after="0"/>
              <w:ind w:left="0" w:right="568" w:firstLine="0"/>
              <w:jc w:val="right"/>
            </w:pPr>
            <w:r>
              <w:rPr>
                <w:rFonts w:ascii="Roboto" w:hAnsi="Roboto" w:eastAsia="Roboto"/>
                <w:b/>
                <w:i w:val="0"/>
                <w:color w:val="333333"/>
                <w:sz w:val="16"/>
              </w:rPr>
              <w:t>Gene</w:t>
            </w:r>
          </w:p>
        </w:tc>
        <w:tc>
          <w:tcPr>
            <w:tcW w:type="dxa" w:w="4320"/>
            <w:tcBorders>
              <w:top w:sz="16.0" w:val="single" w:color="#124A81"/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84" w:after="0"/>
              <w:ind w:left="300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333333"/>
                <w:sz w:val="16"/>
              </w:rPr>
              <w:t>Finding</w:t>
            </w:r>
          </w:p>
        </w:tc>
      </w:tr>
      <w:tr>
        <w:trPr>
          <w:trHeight w:hRule="exact" w:val="258"/>
        </w:trPr>
        <w:tc>
          <w:tcPr>
            <w:tcW w:type="dxa" w:w="1100"/>
            <w:tcBorders>
              <w:top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18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20"/>
              </w:rPr>
              <w:t>BRAF</w:t>
            </w:r>
          </w:p>
        </w:tc>
        <w:tc>
          <w:tcPr>
            <w:tcW w:type="dxa" w:w="2980"/>
            <w:tcBorders>
              <w:top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2" w:after="0"/>
              <w:ind w:left="32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None detected</w:t>
            </w:r>
          </w:p>
        </w:tc>
        <w:tc>
          <w:tcPr>
            <w:tcW w:type="dxa" w:w="2440"/>
            <w:tcBorders>
              <w:top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31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20"/>
              </w:rPr>
              <w:t>NTRK2</w:t>
            </w:r>
          </w:p>
        </w:tc>
        <w:tc>
          <w:tcPr>
            <w:tcW w:type="dxa" w:w="4320"/>
            <w:tcBorders>
              <w:top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2" w:after="0"/>
              <w:ind w:left="30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None detected</w:t>
            </w:r>
          </w:p>
        </w:tc>
      </w:tr>
      <w:tr>
        <w:trPr>
          <w:trHeight w:hRule="exact" w:val="28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" w:after="0"/>
              <w:ind w:left="18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20"/>
              </w:rPr>
              <w:t>ERBB2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" w:after="0"/>
              <w:ind w:left="32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None detected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" w:after="0"/>
              <w:ind w:left="0" w:right="318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20"/>
              </w:rPr>
              <w:t>NTRK3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" w:after="0"/>
              <w:ind w:left="30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None detected</w:t>
            </w:r>
          </w:p>
        </w:tc>
      </w:tr>
      <w:tr>
        <w:trPr>
          <w:trHeight w:hRule="exact" w:val="28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" w:after="0"/>
              <w:ind w:left="18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20"/>
              </w:rPr>
              <w:t>KRAS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320" w:right="0" w:firstLine="0"/>
              <w:jc w:val="left"/>
            </w:pPr>
            <w:r>
              <w:rPr>
                <w:rFonts w:ascii="Roboto" w:hAnsi="Roboto" w:eastAsia="Roboto"/>
                <w:b/>
                <w:i/>
                <w:color w:val="333333"/>
                <w:sz w:val="20"/>
              </w:rPr>
              <w:t>KRAS G12V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" w:after="0"/>
              <w:ind w:left="0" w:right="262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20"/>
              </w:rPr>
              <w:t>PIK3CA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" w:after="0"/>
              <w:ind w:left="30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None detected</w:t>
            </w:r>
          </w:p>
        </w:tc>
      </w:tr>
      <w:tr>
        <w:trPr>
          <w:trHeight w:hRule="exact" w:val="28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" w:after="0"/>
              <w:ind w:left="18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20"/>
              </w:rPr>
              <w:t>NRAS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" w:after="0"/>
              <w:ind w:left="32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None detected</w:t>
            </w:r>
          </w:p>
        </w:tc>
        <w:tc>
          <w:tcPr>
            <w:tcW w:type="dxa" w:w="2440"/>
            <w:vMerge w:val="restart"/>
            <w:tcBorders>
              <w:bottom w:sz="8.0" w:val="single" w:color="#CBCC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0" w:after="0"/>
              <w:ind w:left="0" w:right="584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20"/>
              </w:rPr>
              <w:t>RET</w:t>
            </w:r>
          </w:p>
        </w:tc>
        <w:tc>
          <w:tcPr>
            <w:tcW w:type="dxa" w:w="4320"/>
            <w:vMerge w:val="restart"/>
            <w:tcBorders>
              <w:bottom w:sz="8.0" w:val="single" w:color="#CBCC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" w:after="0"/>
              <w:ind w:left="30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None detected</w:t>
            </w:r>
          </w:p>
        </w:tc>
      </w:tr>
      <w:tr>
        <w:trPr>
          <w:trHeight w:hRule="exact" w:val="322"/>
        </w:trPr>
        <w:tc>
          <w:tcPr>
            <w:tcW w:type="dxa" w:w="110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0" w:after="0"/>
              <w:ind w:left="18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20"/>
              </w:rPr>
              <w:t>NTRK1</w:t>
            </w:r>
          </w:p>
        </w:tc>
        <w:tc>
          <w:tcPr>
            <w:tcW w:type="dxa" w:w="298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" w:after="0"/>
              <w:ind w:left="32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None detected</w:t>
            </w:r>
          </w:p>
        </w:tc>
        <w:tc>
          <w:tcPr>
            <w:tcW w:type="dxa" w:w="2715"/>
            <w:vMerge/>
            <w:tcBorders>
              <w:bottom w:sz="8.0" w:val="single" w:color="#CBCCCB"/>
            </w:tcBorders>
          </w:tcPr>
          <w:p/>
        </w:tc>
        <w:tc>
          <w:tcPr>
            <w:tcW w:type="dxa" w:w="2715"/>
            <w:vMerge/>
            <w:tcBorders>
              <w:bottom w:sz="8.0" w:val="single" w:color="#CBCCCB"/>
            </w:tcBorders>
          </w:tcPr>
          <w:p/>
        </w:tc>
      </w:tr>
    </w:tbl>
    <w:p>
      <w:pPr>
        <w:autoSpaceDN w:val="0"/>
        <w:autoSpaceDE w:val="0"/>
        <w:widowControl/>
        <w:spacing w:line="266" w:lineRule="auto" w:before="442" w:after="20"/>
        <w:ind w:left="20" w:right="0" w:firstLine="0"/>
        <w:jc w:val="left"/>
      </w:pPr>
      <w:r>
        <w:rPr>
          <w:rFonts w:ascii="Roboto" w:hAnsi="Roboto" w:eastAsia="Roboto"/>
          <w:b/>
          <w:i w:val="0"/>
          <w:color w:val="124B82"/>
          <w:sz w:val="26"/>
        </w:rPr>
        <w:t>Relevant Biomarkers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15"/>
        <w:gridCol w:w="2715"/>
        <w:gridCol w:w="2715"/>
        <w:gridCol w:w="2715"/>
      </w:tblGrid>
      <w:tr>
        <w:trPr>
          <w:trHeight w:hRule="exact" w:val="406"/>
        </w:trPr>
        <w:tc>
          <w:tcPr>
            <w:tcW w:type="dxa" w:w="2680"/>
            <w:vMerge w:val="restart"/>
            <w:tcBorders>
              <w:top w:sz="16.0" w:val="single" w:color="#124A81"/>
              <w:bottom w:sz="8.0" w:val="single" w:color="#CBCC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76" w:after="0"/>
              <w:ind w:left="180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333333"/>
                <w:sz w:val="16"/>
              </w:rPr>
              <w:t>Genomic Alteration</w:t>
            </w:r>
          </w:p>
        </w:tc>
        <w:tc>
          <w:tcPr>
            <w:tcW w:type="dxa" w:w="3840"/>
            <w:tcBorders>
              <w:top w:sz="16.0" w:val="single" w:color="#124A8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74" w:after="0"/>
              <w:ind w:left="0" w:right="1314" w:firstLine="0"/>
              <w:jc w:val="right"/>
            </w:pPr>
            <w:r>
              <w:rPr>
                <w:rFonts w:ascii="Roboto" w:hAnsi="Roboto" w:eastAsia="Roboto"/>
                <w:b/>
                <w:i w:val="0"/>
                <w:color w:val="333333"/>
                <w:sz w:val="16"/>
              </w:rPr>
              <w:t>Relevant Therapies</w:t>
            </w:r>
          </w:p>
        </w:tc>
        <w:tc>
          <w:tcPr>
            <w:tcW w:type="dxa" w:w="2880"/>
            <w:tcBorders>
              <w:top w:sz="16.0" w:val="single" w:color="#124A8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74" w:after="0"/>
              <w:ind w:left="300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333333"/>
                <w:sz w:val="16"/>
              </w:rPr>
              <w:t>Relevant Therapies</w:t>
            </w:r>
          </w:p>
        </w:tc>
        <w:tc>
          <w:tcPr>
            <w:tcW w:type="dxa" w:w="1440"/>
            <w:vMerge w:val="restart"/>
            <w:tcBorders>
              <w:top w:sz="16.0" w:val="single" w:color="#124A81"/>
              <w:bottom w:sz="8.0" w:val="single" w:color="#CBCC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76" w:after="0"/>
              <w:ind w:left="0" w:right="28" w:firstLine="0"/>
              <w:jc w:val="right"/>
            </w:pPr>
            <w:r>
              <w:rPr>
                <w:rFonts w:ascii="Roboto" w:hAnsi="Roboto" w:eastAsia="Roboto"/>
                <w:b/>
                <w:i w:val="0"/>
                <w:color w:val="333333"/>
                <w:sz w:val="16"/>
              </w:rPr>
              <w:t>Clinical Trials</w:t>
            </w:r>
          </w:p>
        </w:tc>
      </w:tr>
      <w:tr>
        <w:trPr>
          <w:trHeight w:hRule="exact" w:val="264"/>
        </w:trPr>
        <w:tc>
          <w:tcPr>
            <w:tcW w:type="dxa" w:w="2715"/>
            <w:vMerge/>
            <w:tcBorders>
              <w:top w:sz="16.0" w:val="single" w:color="#124A81"/>
              <w:bottom w:sz="8.0" w:val="single" w:color="#CBCCCB"/>
            </w:tcBorders>
          </w:tcPr>
          <w:p/>
        </w:tc>
        <w:tc>
          <w:tcPr>
            <w:tcW w:type="dxa" w:w="384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66" w:firstLine="0"/>
              <w:jc w:val="right"/>
            </w:pPr>
            <w:r>
              <w:rPr>
                <w:rFonts w:ascii="Roboto" w:hAnsi="Roboto" w:eastAsia="Roboto"/>
                <w:b/>
                <w:i w:val="0"/>
                <w:color w:val="333333"/>
                <w:sz w:val="16"/>
              </w:rPr>
              <w:t>(In this cancer type)</w:t>
            </w:r>
          </w:p>
        </w:tc>
        <w:tc>
          <w:tcPr>
            <w:tcW w:type="dxa" w:w="288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300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333333"/>
                <w:sz w:val="16"/>
              </w:rPr>
              <w:t>(In other cancer type)</w:t>
            </w:r>
          </w:p>
        </w:tc>
        <w:tc>
          <w:tcPr>
            <w:tcW w:type="dxa" w:w="2715"/>
            <w:vMerge/>
            <w:tcBorders>
              <w:top w:sz="16.0" w:val="single" w:color="#124A81"/>
              <w:bottom w:sz="8.0" w:val="single" w:color="#CBCCCB"/>
            </w:tcBorders>
          </w:tcPr>
          <w:p/>
        </w:tc>
      </w:tr>
      <w:tr>
        <w:trPr>
          <w:trHeight w:hRule="exact" w:val="338"/>
        </w:trPr>
        <w:tc>
          <w:tcPr>
            <w:tcW w:type="dxa" w:w="2680"/>
            <w:tcBorders>
              <w:top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8" w:after="0"/>
              <w:ind w:left="180" w:right="0" w:firstLine="0"/>
              <w:jc w:val="left"/>
            </w:pPr>
            <w:r>
              <w:rPr>
                <w:rFonts w:ascii="Roboto" w:hAnsi="Roboto" w:eastAsia="Roboto"/>
                <w:b w:val="0"/>
                <w:i/>
                <w:color w:val="333333"/>
                <w:sz w:val="20"/>
              </w:rPr>
              <w:t>KRAS G12V</w:t>
            </w:r>
          </w:p>
        </w:tc>
        <w:tc>
          <w:tcPr>
            <w:tcW w:type="dxa" w:w="3840"/>
            <w:tcBorders>
              <w:top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42" w:after="0"/>
              <w:ind w:left="0" w:right="300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bevacizumab + chemotherapy</w:t>
            </w:r>
          </w:p>
        </w:tc>
        <w:tc>
          <w:tcPr>
            <w:tcW w:type="dxa" w:w="2880"/>
            <w:tcBorders>
              <w:top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42" w:after="0"/>
              <w:ind w:left="300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333333"/>
                <w:sz w:val="18"/>
              </w:rPr>
              <w:t>avutometinib + defactinib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2"/>
              </w:rPr>
              <w:t xml:space="preserve"> 1</w:t>
            </w:r>
          </w:p>
        </w:tc>
        <w:tc>
          <w:tcPr>
            <w:tcW w:type="dxa" w:w="1440"/>
            <w:tcBorders>
              <w:top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42" w:after="0"/>
              <w:ind w:left="0" w:right="420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264" w:lineRule="auto" w:before="4" w:after="0"/>
        <w:ind w:left="380" w:right="0" w:firstLine="0"/>
        <w:jc w:val="left"/>
      </w:pPr>
      <w:r>
        <w:rPr>
          <w:rFonts w:ascii="Roboto" w:hAnsi="Roboto" w:eastAsia="Roboto"/>
          <w:b w:val="0"/>
          <w:i w:val="0"/>
          <w:color w:val="333333"/>
          <w:sz w:val="14"/>
        </w:rPr>
        <w:t>Allele Frequency: 16.72%</w:t>
      </w:r>
    </w:p>
    <w:p>
      <w:pPr>
        <w:autoSpaceDN w:val="0"/>
        <w:autoSpaceDE w:val="0"/>
        <w:widowControl/>
        <w:spacing w:line="264" w:lineRule="auto" w:before="164" w:after="0"/>
        <w:ind w:left="20" w:right="0" w:firstLine="0"/>
        <w:jc w:val="left"/>
      </w:pPr>
      <w:r>
        <w:rPr>
          <w:rFonts w:ascii="Roboto" w:hAnsi="Roboto" w:eastAsia="Roboto"/>
          <w:b/>
          <w:i w:val="0"/>
          <w:color w:val="333333"/>
          <w:sz w:val="14"/>
        </w:rPr>
        <w:t>* Public data sources included in relevant therapies:</w:t>
      </w:r>
      <w:r>
        <w:rPr>
          <w:rFonts w:ascii="Roboto" w:hAnsi="Roboto" w:eastAsia="Roboto"/>
          <w:b w:val="0"/>
          <w:i w:val="0"/>
          <w:color w:val="333333"/>
          <w:sz w:val="14"/>
        </w:rPr>
        <w:t xml:space="preserve"> NCCN, ESMO, </w:t>
      </w:r>
      <w:r>
        <w:rPr>
          <w:rFonts w:ascii="Roboto" w:hAnsi="Roboto" w:eastAsia="Roboto"/>
          <w:b/>
          <w:i w:val="0"/>
          <w:color w:val="333333"/>
          <w:sz w:val="14"/>
        </w:rPr>
        <w:t>FDA</w:t>
      </w:r>
      <w:r>
        <w:rPr>
          <w:rFonts w:ascii="Roboto" w:hAnsi="Roboto" w:eastAsia="Roboto"/>
          <w:b w:val="0"/>
          <w:i w:val="0"/>
          <w:color w:val="333333"/>
          <w:sz w:val="12"/>
        </w:rPr>
        <w:t>1</w:t>
      </w:r>
    </w:p>
    <w:p>
      <w:pPr>
        <w:autoSpaceDN w:val="0"/>
        <w:autoSpaceDE w:val="0"/>
        <w:widowControl/>
        <w:spacing w:line="250" w:lineRule="auto" w:before="230" w:after="54"/>
        <w:ind w:left="20" w:right="0" w:firstLine="0"/>
        <w:jc w:val="left"/>
      </w:pPr>
      <w:r>
        <w:rPr>
          <w:rFonts w:ascii="FontAwesome" w:hAnsi="FontAwesome" w:eastAsia="FontAwesome"/>
          <w:b w:val="0"/>
          <w:i w:val="0"/>
          <w:color w:val="FF0000"/>
          <w:sz w:val="24"/>
        </w:rPr>
        <w:t></w:t>
      </w:r>
      <w:r>
        <w:rPr>
          <w:rFonts w:ascii="Roboto" w:hAnsi="Roboto" w:eastAsia="Roboto"/>
          <w:b/>
          <w:i w:val="0"/>
          <w:color w:val="333333"/>
          <w:sz w:val="18"/>
        </w:rPr>
        <w:t>Alerts informed by public data sources:</w:t>
      </w:r>
      <w:r>
        <w:rPr>
          <w:rFonts w:ascii="FontAwesome" w:hAnsi="FontAwesome" w:eastAsia="FontAwesome"/>
          <w:b w:val="0"/>
          <w:i w:val="0"/>
          <w:color w:val="FF0000"/>
          <w:sz w:val="16"/>
        </w:rPr>
        <w:t>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 Contraindicated,   </w:t>
      </w:r>
      <w:r>
        <w:rPr>
          <w:rFonts w:ascii="FontAwesome" w:hAnsi="FontAwesome" w:eastAsia="FontAwesome"/>
          <w:b w:val="0"/>
          <w:i w:val="0"/>
          <w:color w:val="ED7700"/>
          <w:sz w:val="16"/>
        </w:rPr>
        <w:t>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 Resistance,   </w:t>
      </w:r>
      <w:r>
        <w:rPr>
          <w:rFonts w:ascii="FontAwesome" w:hAnsi="FontAwesome" w:eastAsia="FontAwesome"/>
          <w:b w:val="0"/>
          <w:i w:val="0"/>
          <w:color w:val="555759"/>
          <w:sz w:val="16"/>
        </w:rPr>
        <w:t>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 Breakthrough,   </w:t>
      </w:r>
      <w:r>
        <w:rPr>
          <w:rFonts w:ascii="FontAwesome" w:hAnsi="FontAwesome" w:eastAsia="FontAwesome"/>
          <w:b w:val="0"/>
          <w:i w:val="0"/>
          <w:color w:val="555759"/>
          <w:sz w:val="16"/>
        </w:rPr>
        <w:t>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 Fast Track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430"/>
        <w:gridCol w:w="5430"/>
      </w:tblGrid>
      <w:tr>
        <w:trPr>
          <w:trHeight w:hRule="exact" w:val="420"/>
        </w:trPr>
        <w:tc>
          <w:tcPr>
            <w:tcW w:type="dxa" w:w="2010"/>
            <w:tcBorders>
              <w:top w:sz="8.0" w:val="single" w:color="#CBCCCB"/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0" w:after="0"/>
              <w:ind w:left="10" w:right="0" w:firstLine="0"/>
              <w:jc w:val="left"/>
            </w:pPr>
            <w:r>
              <w:rPr>
                <w:rFonts w:ascii="Roboto" w:hAnsi="Roboto" w:eastAsia="Roboto"/>
                <w:b w:val="0"/>
                <w:i/>
                <w:color w:val="333333"/>
                <w:sz w:val="20"/>
              </w:rPr>
              <w:t>KRAS G12V</w:t>
            </w:r>
          </w:p>
        </w:tc>
        <w:tc>
          <w:tcPr>
            <w:tcW w:type="dxa" w:w="8810"/>
            <w:tcBorders>
              <w:top w:sz="8.0" w:val="single" w:color="#CBCCCB"/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4" w:after="0"/>
              <w:ind w:left="1000" w:right="0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0000"/>
                <w:sz w:val="16"/>
              </w:rPr>
              <w:t></w:t>
            </w:r>
            <w:r>
              <w:rPr>
                <w:rFonts w:ascii="Roboto" w:hAnsi="Roboto" w:eastAsia="Roboto"/>
                <w:b/>
                <w:i w:val="0"/>
                <w:color w:val="333333"/>
                <w:sz w:val="18"/>
              </w:rPr>
              <w:t>cetuximab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2"/>
              </w:rPr>
              <w:t xml:space="preserve"> 1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, </w:t>
            </w:r>
            <w:r>
              <w:rPr>
                <w:rFonts w:ascii="Roboto" w:hAnsi="Roboto" w:eastAsia="Roboto"/>
                <w:b/>
                <w:i w:val="0"/>
                <w:color w:val="333333"/>
                <w:sz w:val="18"/>
              </w:rPr>
              <w:t>panitumumab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2"/>
              </w:rPr>
              <w:t xml:space="preserve"> 1</w:t>
            </w:r>
          </w:p>
        </w:tc>
      </w:tr>
    </w:tbl>
    <w:p>
      <w:pPr>
        <w:autoSpaceDN w:val="0"/>
        <w:autoSpaceDE w:val="0"/>
        <w:widowControl/>
        <w:spacing w:line="266" w:lineRule="auto" w:before="52" w:after="0"/>
        <w:ind w:left="20" w:right="0" w:firstLine="0"/>
        <w:jc w:val="left"/>
      </w:pPr>
      <w:r>
        <w:rPr>
          <w:rFonts w:ascii="Roboto" w:hAnsi="Roboto" w:eastAsia="Roboto"/>
          <w:b/>
          <w:i w:val="0"/>
          <w:color w:val="333333"/>
          <w:sz w:val="14"/>
        </w:rPr>
        <w:t>Public data sources included in alerts:</w:t>
      </w:r>
      <w:r>
        <w:rPr>
          <w:rFonts w:ascii="Roboto" w:hAnsi="Roboto" w:eastAsia="Roboto"/>
          <w:b w:val="0"/>
          <w:i w:val="0"/>
          <w:color w:val="333333"/>
          <w:sz w:val="14"/>
        </w:rPr>
        <w:t xml:space="preserve"> NCCN, ESMO, </w:t>
      </w:r>
      <w:r>
        <w:rPr>
          <w:rFonts w:ascii="Roboto" w:hAnsi="Roboto" w:eastAsia="Roboto"/>
          <w:b/>
          <w:i w:val="0"/>
          <w:color w:val="333333"/>
          <w:sz w:val="14"/>
        </w:rPr>
        <w:t>FDA</w:t>
      </w:r>
      <w:r>
        <w:rPr>
          <w:rFonts w:ascii="Roboto" w:hAnsi="Roboto" w:eastAsia="Roboto"/>
          <w:b w:val="0"/>
          <w:i w:val="0"/>
          <w:color w:val="333333"/>
          <w:sz w:val="12"/>
        </w:rPr>
        <w:t>1</w:t>
      </w:r>
    </w:p>
    <w:p>
      <w:pPr>
        <w:autoSpaceDN w:val="0"/>
        <w:autoSpaceDE w:val="0"/>
        <w:widowControl/>
        <w:spacing w:line="264" w:lineRule="auto" w:before="258" w:after="0"/>
        <w:ind w:left="20" w:right="0" w:firstLine="0"/>
        <w:jc w:val="left"/>
      </w:pPr>
      <w:r>
        <w:rPr>
          <w:rFonts w:ascii="Roboto" w:hAnsi="Roboto" w:eastAsia="Roboto"/>
          <w:b/>
          <w:i w:val="0"/>
          <w:color w:val="124B82"/>
          <w:sz w:val="26"/>
        </w:rPr>
        <w:t>Biomarker Descriptions</w:t>
      </w:r>
    </w:p>
    <w:p>
      <w:pPr>
        <w:autoSpaceDN w:val="0"/>
        <w:autoSpaceDE w:val="0"/>
        <w:widowControl/>
        <w:spacing w:line="264" w:lineRule="auto" w:before="200" w:after="0"/>
        <w:ind w:left="20" w:right="0" w:firstLine="0"/>
        <w:jc w:val="left"/>
      </w:pPr>
      <w:r>
        <w:rPr>
          <w:rFonts w:ascii="Roboto" w:hAnsi="Roboto" w:eastAsia="Roboto"/>
          <w:b/>
          <w:i w:val="0"/>
          <w:color w:val="333333"/>
          <w:sz w:val="18"/>
        </w:rPr>
        <w:t>KRAS G12V</w:t>
      </w:r>
    </w:p>
    <w:p>
      <w:pPr>
        <w:autoSpaceDN w:val="0"/>
        <w:autoSpaceDE w:val="0"/>
        <w:widowControl/>
        <w:spacing w:line="264" w:lineRule="auto" w:before="178" w:after="0"/>
        <w:ind w:left="20" w:right="0" w:firstLine="0"/>
        <w:jc w:val="left"/>
      </w:pPr>
      <w:r>
        <w:rPr>
          <w:rFonts w:ascii="Roboto" w:hAnsi="Roboto" w:eastAsia="Roboto"/>
          <w:b w:val="0"/>
          <w:i/>
          <w:color w:val="333333"/>
          <w:sz w:val="18"/>
        </w:rPr>
        <w:t>KRAS proto-oncogene, GTPase</w:t>
      </w:r>
    </w:p>
    <w:p>
      <w:pPr>
        <w:autoSpaceDN w:val="0"/>
        <w:autoSpaceDE w:val="0"/>
        <w:widowControl/>
        <w:spacing w:line="245" w:lineRule="auto" w:before="178" w:after="0"/>
        <w:ind w:left="20" w:right="144" w:firstLine="0"/>
        <w:jc w:val="left"/>
      </w:pPr>
      <w:r>
        <w:rPr>
          <w:u w:val="single" w:color="333332"/>
          <w:rFonts w:ascii="Roboto" w:hAnsi="Roboto" w:eastAsia="Roboto"/>
          <w:b w:val="0"/>
          <w:i w:val="0"/>
          <w:color w:val="333333"/>
          <w:sz w:val="18"/>
        </w:rPr>
        <w:t>Background: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 The KRAS proto-oncogene encodes a GTPase that functions in signal transduction and is a member of the RAS </w:t>
      </w:r>
      <w:r>
        <w:rPr>
          <w:u w:val="single" w:color="333332"/>
          <w:rFonts w:ascii="Roboto" w:hAnsi="Roboto" w:eastAsia="Roboto"/>
          <w:b w:val="0"/>
          <w:i w:val="0"/>
          <w:color w:val="333333"/>
          <w:sz w:val="18"/>
        </w:rPr>
        <w:t xml:space="preserve">superfamily </w:t>
      </w:r>
      <w:r>
        <w:rPr>
          <w:rFonts w:ascii="Roboto" w:hAnsi="Roboto" w:eastAsia="Roboto"/>
          <w:b w:val="0"/>
          <w:i w:val="0"/>
          <w:color w:val="333333"/>
          <w:sz w:val="18"/>
        </w:rPr>
        <w:t>which also includes NRAS and HRAS</w:t>
      </w:r>
      <w:r>
        <w:rPr>
          <w:rFonts w:ascii="Roboto" w:hAnsi="Roboto" w:eastAsia="Roboto"/>
          <w:b w:val="0"/>
          <w:i w:val="0"/>
          <w:color w:val="333333"/>
          <w:sz w:val="12"/>
        </w:rPr>
        <w:t>1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. RAS proteins mediate the transmission of growth signals from the cell surface to </w:t>
      </w:r>
      <w:r>
        <w:rPr>
          <w:rFonts w:ascii="Roboto" w:hAnsi="Roboto" w:eastAsia="Roboto"/>
          <w:b w:val="0"/>
          <w:i w:val="0"/>
          <w:color w:val="333333"/>
          <w:sz w:val="18"/>
        </w:rPr>
        <w:t>the nucleus via the PI3K/AKT/MTOR and RAS/RAF/MEK/ERK pathways, which regulate cell division, differentiation, and survival</w:t>
      </w:r>
      <w:r>
        <w:rPr>
          <w:rFonts w:ascii="Roboto" w:hAnsi="Roboto" w:eastAsia="Roboto"/>
          <w:b w:val="0"/>
          <w:i w:val="0"/>
          <w:color w:val="333333"/>
          <w:sz w:val="12"/>
        </w:rPr>
        <w:t>2,3,4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. 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Germline mutations in KRAS lead to several genetic disorders known as RASopathies, including Noonan syndrome, which results in </w:t>
      </w:r>
      <w:r>
        <w:rPr>
          <w:rFonts w:ascii="Roboto" w:hAnsi="Roboto" w:eastAsia="Roboto"/>
          <w:b w:val="0"/>
          <w:i w:val="0"/>
          <w:color w:val="333333"/>
          <w:sz w:val="18"/>
        </w:rPr>
        <w:t>heart and congenital defects, growth inhibition, and facial dysmorphic features</w:t>
      </w:r>
      <w:r>
        <w:rPr>
          <w:rFonts w:ascii="Roboto" w:hAnsi="Roboto" w:eastAsia="Roboto"/>
          <w:b w:val="0"/>
          <w:i w:val="0"/>
          <w:color w:val="333333"/>
          <w:sz w:val="12"/>
        </w:rPr>
        <w:t>5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. Somatic mutations in KRAS are commonly altered in </w:t>
      </w:r>
      <w:r>
        <w:rPr>
          <w:rFonts w:ascii="Roboto" w:hAnsi="Roboto" w:eastAsia="Roboto"/>
          <w:b w:val="0"/>
          <w:i w:val="0"/>
          <w:color w:val="333333"/>
          <w:sz w:val="18"/>
        </w:rPr>
        <w:t>several cancers including non-small cell lung cancer, pancreatic cancer, and multiple myeloma</w:t>
      </w:r>
      <w:r>
        <w:rPr>
          <w:rFonts w:ascii="Roboto" w:hAnsi="Roboto" w:eastAsia="Roboto"/>
          <w:b w:val="0"/>
          <w:i w:val="0"/>
          <w:color w:val="333333"/>
          <w:sz w:val="12"/>
        </w:rPr>
        <w:t>5</w:t>
      </w:r>
      <w:r>
        <w:rPr>
          <w:rFonts w:ascii="Roboto" w:hAnsi="Roboto" w:eastAsia="Roboto"/>
          <w:b w:val="0"/>
          <w:i w:val="0"/>
          <w:color w:val="333333"/>
          <w:sz w:val="18"/>
        </w:rPr>
        <w:t>.</w:t>
      </w:r>
    </w:p>
    <w:p>
      <w:pPr>
        <w:autoSpaceDN w:val="0"/>
        <w:autoSpaceDE w:val="0"/>
        <w:widowControl/>
        <w:spacing w:line="245" w:lineRule="auto" w:before="178" w:after="0"/>
        <w:ind w:left="20" w:right="0" w:firstLine="0"/>
        <w:jc w:val="left"/>
      </w:pPr>
      <w:r>
        <w:rPr>
          <w:u w:val="single" w:color="333332"/>
          <w:rFonts w:ascii="Roboto" w:hAnsi="Roboto" w:eastAsia="Roboto"/>
          <w:b w:val="0"/>
          <w:i w:val="0"/>
          <w:color w:val="333333"/>
          <w:sz w:val="18"/>
        </w:rPr>
        <w:t>Alterations and prevalence: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 The majority of KRAS mutations consist of point mutations occurring at G12, G13, and Q61</w:t>
      </w:r>
      <w:r>
        <w:rPr>
          <w:rFonts w:ascii="Roboto" w:hAnsi="Roboto" w:eastAsia="Roboto"/>
          <w:b w:val="0"/>
          <w:i w:val="0"/>
          <w:color w:val="333333"/>
          <w:sz w:val="12"/>
        </w:rPr>
        <w:t>6,7,8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. Mutations at </w:t>
      </w:r>
      <w:r>
        <w:rPr>
          <w:u w:val="single" w:color="333332"/>
          <w:rFonts w:ascii="Roboto" w:hAnsi="Roboto" w:eastAsia="Roboto"/>
          <w:b w:val="0"/>
          <w:i w:val="0"/>
          <w:color w:val="333333"/>
          <w:sz w:val="18"/>
        </w:rPr>
        <w:t>A59, K117, and A146 have a</w:t>
      </w:r>
      <w:r>
        <w:rPr>
          <w:rFonts w:ascii="Roboto" w:hAnsi="Roboto" w:eastAsia="Roboto"/>
          <w:b w:val="0"/>
          <w:i w:val="0"/>
          <w:color w:val="333333"/>
          <w:sz w:val="18"/>
        </w:rPr>
        <w:t>lso been observed but are less frequent</w:t>
      </w:r>
      <w:r>
        <w:rPr>
          <w:rFonts w:ascii="Roboto" w:hAnsi="Roboto" w:eastAsia="Roboto"/>
          <w:b w:val="0"/>
          <w:i w:val="0"/>
          <w:color w:val="333333"/>
          <w:sz w:val="12"/>
        </w:rPr>
        <w:t>9,10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. Somatic mutations in KRAS are observed in 66% of pancreatic 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adenocarcinoma, 41% of colorectal adenocarcinoma, 30% of lung adenocarcinoma, 19% of uterine corpus endometrial carcinoma, 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12% of uterine carcinosarcoma, 9% of stomach adenocarcinoma, 8% of testicular germ cell tumors, 6% of cholangiocarcinoma, 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5% of cervical squamous cell carcinoma, acute myeloid leukemia, and diffuse large B-cell lymphoma, 4% of bladder urothelial </w:t>
      </w:r>
      <w:r>
        <w:rPr>
          <w:rFonts w:ascii="Roboto" w:hAnsi="Roboto" w:eastAsia="Roboto"/>
          <w:b w:val="0"/>
          <w:i w:val="0"/>
          <w:color w:val="333333"/>
          <w:sz w:val="18"/>
        </w:rPr>
        <w:t>carcinoma, and 2% of skin cutaneous melanoma and kidney renal papillary cell carcinoma</w:t>
      </w:r>
      <w:r>
        <w:rPr>
          <w:rFonts w:ascii="Roboto" w:hAnsi="Roboto" w:eastAsia="Roboto"/>
          <w:b w:val="0"/>
          <w:i w:val="0"/>
          <w:color w:val="333333"/>
          <w:sz w:val="12"/>
        </w:rPr>
        <w:t>6,9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. KRAS is amplified in 9% of ovarian serous 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cystadenocarcinoma and testicular germ cell tumors, 8% of stomach adenocarcinoma , 7% of esophageal adenocarcinoma and 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uterine carcinosarcoma, 6% of lung adenocarcinoma, 4% of pancreatic adenocarcinoma and bladder urothelial carcinoma, 3% of lung </w:t>
      </w:r>
      <w:r>
        <w:rPr>
          <w:rFonts w:ascii="Roboto" w:hAnsi="Roboto" w:eastAsia="Roboto"/>
          <w:b w:val="0"/>
          <w:i w:val="0"/>
          <w:color w:val="333333"/>
          <w:sz w:val="18"/>
        </w:rPr>
        <w:t>squamous cell carcinoma, and 2% of sarcoma, mesothelioma, brain lower grade glioma, and uterine corpus endometrial carcinoma</w:t>
      </w:r>
      <w:r>
        <w:rPr>
          <w:rFonts w:ascii="Roboto" w:hAnsi="Roboto" w:eastAsia="Roboto"/>
          <w:b w:val="0"/>
          <w:i w:val="0"/>
          <w:color w:val="333333"/>
          <w:sz w:val="12"/>
        </w:rPr>
        <w:t>6,9</w:t>
      </w:r>
      <w:r>
        <w:rPr>
          <w:rFonts w:ascii="Roboto" w:hAnsi="Roboto" w:eastAsia="Roboto"/>
          <w:b w:val="0"/>
          <w:i w:val="0"/>
          <w:color w:val="333333"/>
          <w:sz w:val="18"/>
        </w:rPr>
        <w:t>.</w:t>
      </w:r>
    </w:p>
    <w:p>
      <w:pPr>
        <w:autoSpaceDN w:val="0"/>
        <w:autoSpaceDE w:val="0"/>
        <w:widowControl/>
        <w:spacing w:line="264" w:lineRule="auto" w:before="0" w:after="0"/>
        <w:ind w:left="20" w:right="0" w:firstLine="0"/>
        <w:jc w:val="left"/>
      </w:pPr>
      <w:r>
        <w:rPr>
          <w:rFonts w:ascii="Roboto" w:hAnsi="Roboto" w:eastAsia="Roboto"/>
          <w:b w:val="0"/>
          <w:i w:val="0"/>
          <w:color w:val="333333"/>
          <w:sz w:val="18"/>
        </w:rPr>
        <w:t>Alterations in KRAS are also observed in pediatric cancers</w:t>
      </w:r>
      <w:r>
        <w:rPr>
          <w:rFonts w:ascii="Roboto" w:hAnsi="Roboto" w:eastAsia="Roboto"/>
          <w:b w:val="0"/>
          <w:i w:val="0"/>
          <w:color w:val="333333"/>
          <w:sz w:val="12"/>
        </w:rPr>
        <w:t>9</w:t>
      </w:r>
      <w:r>
        <w:rPr>
          <w:rFonts w:ascii="Roboto" w:hAnsi="Roboto" w:eastAsia="Roboto"/>
          <w:b w:val="0"/>
          <w:i w:val="0"/>
          <w:color w:val="333333"/>
          <w:sz w:val="18"/>
        </w:rPr>
        <w:t>. Somatic mutations in KRAS are observed in 10% of B-lymphoblastic</w:t>
      </w:r>
    </w:p>
    <w:p>
      <w:pPr>
        <w:autoSpaceDN w:val="0"/>
        <w:autoSpaceDE w:val="0"/>
        <w:widowControl/>
        <w:spacing w:line="252" w:lineRule="auto" w:before="726" w:after="0"/>
        <w:ind w:left="20" w:right="144" w:firstLine="0"/>
        <w:jc w:val="left"/>
      </w:pPr>
      <w:r>
        <w:rPr>
          <w:rFonts w:ascii="Roboto" w:hAnsi="Roboto" w:eastAsia="Roboto"/>
          <w:b w:val="0"/>
          <w:i w:val="0"/>
          <w:color w:val="333333"/>
          <w:sz w:val="14"/>
        </w:rPr>
        <w:t xml:space="preserve">Disclaimer: </w:t>
      </w:r>
      <w:r>
        <w:rPr>
          <w:rFonts w:ascii="Roboto" w:hAnsi="Roboto" w:eastAsia="Roboto"/>
          <w:b w:val="0"/>
          <w:i w:val="0"/>
          <w:color w:val="555759"/>
          <w:sz w:val="14"/>
        </w:rPr>
        <w:t xml:space="preserve">The data presented here are from a curated knowledge base of publicly available information, but may not be exhaustive. The data version is 2026.06(004). The </w:t>
      </w:r>
      <w:r>
        <w:rPr>
          <w:rFonts w:ascii="Roboto" w:hAnsi="Roboto" w:eastAsia="Roboto"/>
          <w:b w:val="0"/>
          <w:i w:val="0"/>
          <w:color w:val="555759"/>
          <w:sz w:val="14"/>
        </w:rPr>
        <w:t>content of this report has not been evaluated or approved by the FDA, EMA or other regulatory agencies.</w:t>
      </w:r>
    </w:p>
    <w:p>
      <w:pPr>
        <w:sectPr>
          <w:pgSz w:w="12240" w:h="15840"/>
          <w:pgMar w:top="370" w:right="680" w:bottom="430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13"/>
        <w:gridCol w:w="3613"/>
        <w:gridCol w:w="3613"/>
      </w:tblGrid>
      <w:tr>
        <w:trPr>
          <w:trHeight w:hRule="exact" w:val="264"/>
        </w:trPr>
        <w:tc>
          <w:tcPr>
            <w:tcW w:type="dxa" w:w="495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1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Case Number: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OQG2607020430</w:t>
            </w:r>
          </w:p>
        </w:tc>
        <w:tc>
          <w:tcPr>
            <w:tcW w:type="dxa" w:w="488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496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Report Date: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15 Jul 2026</w:t>
            </w:r>
          </w:p>
        </w:tc>
        <w:tc>
          <w:tcPr>
            <w:tcW w:type="dxa" w:w="99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10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2 of 5</w:t>
            </w:r>
          </w:p>
        </w:tc>
      </w:tr>
    </w:tbl>
    <w:p>
      <w:pPr>
        <w:autoSpaceDN w:val="0"/>
        <w:autoSpaceDE w:val="0"/>
        <w:widowControl/>
        <w:spacing w:line="266" w:lineRule="auto" w:before="220" w:after="0"/>
        <w:ind w:left="10" w:right="0" w:firstLine="0"/>
        <w:jc w:val="left"/>
      </w:pPr>
      <w:r>
        <w:rPr>
          <w:rFonts w:ascii="Roboto" w:hAnsi="Roboto" w:eastAsia="Roboto"/>
          <w:b/>
          <w:i w:val="0"/>
          <w:color w:val="124B82"/>
          <w:sz w:val="26"/>
        </w:rPr>
        <w:t>Biomarker Descriptions (continued)</w:t>
      </w:r>
    </w:p>
    <w:p>
      <w:pPr>
        <w:autoSpaceDN w:val="0"/>
        <w:autoSpaceDE w:val="0"/>
        <w:widowControl/>
        <w:spacing w:line="247" w:lineRule="auto" w:before="198" w:after="0"/>
        <w:ind w:left="10" w:right="144" w:firstLine="0"/>
        <w:jc w:val="left"/>
      </w:pPr>
      <w:r>
        <w:rPr>
          <w:rFonts w:ascii="Roboto" w:hAnsi="Roboto" w:eastAsia="Roboto"/>
          <w:b w:val="0"/>
          <w:i w:val="0"/>
          <w:color w:val="333333"/>
          <w:sz w:val="18"/>
        </w:rPr>
        <w:t xml:space="preserve">leukemia/lymphoma (24 in 252 cases), 8% of leukemia (29 in 354 cases), and in less than 1% of embryonal tumors (2 in 332 cases), </w:t>
      </w:r>
      <w:r>
        <w:rPr>
          <w:rFonts w:ascii="Roboto" w:hAnsi="Roboto" w:eastAsia="Roboto"/>
          <w:b w:val="0"/>
          <w:i w:val="0"/>
          <w:color w:val="333333"/>
          <w:sz w:val="18"/>
        </w:rPr>
        <w:t>glioma (1 in 297 cases), Wilms tumor (1 in 710 cases), and peripheral nervous system cancers (1 in 1158 cases)</w:t>
      </w:r>
      <w:r>
        <w:rPr>
          <w:rFonts w:ascii="Roboto" w:hAnsi="Roboto" w:eastAsia="Roboto"/>
          <w:b w:val="0"/>
          <w:i w:val="0"/>
          <w:color w:val="333333"/>
          <w:sz w:val="12"/>
        </w:rPr>
        <w:t>9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. KRAS is amplified in </w:t>
      </w:r>
      <w:r>
        <w:rPr>
          <w:rFonts w:ascii="Roboto" w:hAnsi="Roboto" w:eastAsia="Roboto"/>
          <w:b w:val="0"/>
          <w:i w:val="0"/>
          <w:color w:val="333333"/>
          <w:sz w:val="18"/>
        </w:rPr>
        <w:t>less than 1% of B-lymphoblastic leukemia/lymphoma (1 in 731 cases)</w:t>
      </w:r>
      <w:r>
        <w:rPr>
          <w:rFonts w:ascii="Roboto" w:hAnsi="Roboto" w:eastAsia="Roboto"/>
          <w:b w:val="0"/>
          <w:i w:val="0"/>
          <w:color w:val="333333"/>
          <w:sz w:val="12"/>
        </w:rPr>
        <w:t>9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. Structural alterations in KRAS are observed in less than 1% of </w:t>
      </w:r>
      <w:r>
        <w:rPr>
          <w:rFonts w:ascii="Roboto" w:hAnsi="Roboto" w:eastAsia="Roboto"/>
          <w:b w:val="0"/>
          <w:i w:val="0"/>
          <w:color w:val="333333"/>
          <w:sz w:val="18"/>
        </w:rPr>
        <w:t>acute lymphoblastic leukemia (1 in 85 cases)</w:t>
      </w:r>
      <w:r>
        <w:rPr>
          <w:rFonts w:ascii="Roboto" w:hAnsi="Roboto" w:eastAsia="Roboto"/>
          <w:b w:val="0"/>
          <w:i w:val="0"/>
          <w:color w:val="333333"/>
          <w:sz w:val="12"/>
        </w:rPr>
        <w:t>9</w:t>
      </w:r>
      <w:r>
        <w:rPr>
          <w:rFonts w:ascii="Roboto" w:hAnsi="Roboto" w:eastAsia="Roboto"/>
          <w:b w:val="0"/>
          <w:i w:val="0"/>
          <w:color w:val="333333"/>
          <w:sz w:val="18"/>
        </w:rPr>
        <w:t>.</w:t>
      </w:r>
    </w:p>
    <w:p>
      <w:pPr>
        <w:autoSpaceDN w:val="0"/>
        <w:autoSpaceDE w:val="0"/>
        <w:widowControl/>
        <w:spacing w:line="245" w:lineRule="auto" w:before="176" w:after="0"/>
        <w:ind w:left="10" w:right="0" w:firstLine="0"/>
        <w:jc w:val="left"/>
      </w:pPr>
      <w:r>
        <w:rPr>
          <w:u w:val="single" w:color="333332"/>
          <w:rFonts w:ascii="Roboto" w:hAnsi="Roboto" w:eastAsia="Roboto"/>
          <w:b w:val="0"/>
          <w:i w:val="0"/>
          <w:color w:val="333333"/>
          <w:sz w:val="18"/>
        </w:rPr>
        <w:t>Potential relevance: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 The FDA has approved the small molecule inhibitors, sotorasib</w:t>
      </w:r>
      <w:r>
        <w:rPr>
          <w:rFonts w:ascii="Roboto" w:hAnsi="Roboto" w:eastAsia="Roboto"/>
          <w:b w:val="0"/>
          <w:i w:val="0"/>
          <w:color w:val="333333"/>
          <w:sz w:val="12"/>
        </w:rPr>
        <w:t>11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 (2021) and adagrasib</w:t>
      </w:r>
      <w:r>
        <w:rPr>
          <w:rFonts w:ascii="Roboto" w:hAnsi="Roboto" w:eastAsia="Roboto"/>
          <w:b w:val="0"/>
          <w:i w:val="0"/>
          <w:color w:val="333333"/>
          <w:sz w:val="12"/>
        </w:rPr>
        <w:t>12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 (2022), for the treatment </w:t>
      </w:r>
      <w:r>
        <w:rPr>
          <w:u w:val="single" w:color="333332"/>
          <w:rFonts w:ascii="Roboto" w:hAnsi="Roboto" w:eastAsia="Roboto"/>
          <w:b w:val="0"/>
          <w:i w:val="0"/>
          <w:color w:val="333333"/>
          <w:sz w:val="18"/>
        </w:rPr>
        <w:t>of adult patients wit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h KRAS G12C-mutated locally advanced or metastatic non-small cell lung cancer (NSCLC). Sotorasib and adagrasib </w:t>
      </w:r>
      <w:r>
        <w:rPr>
          <w:rFonts w:ascii="Roboto" w:hAnsi="Roboto" w:eastAsia="Roboto"/>
          <w:b w:val="0"/>
          <w:i w:val="0"/>
          <w:color w:val="333333"/>
          <w:sz w:val="18"/>
        </w:rPr>
        <w:t>are also useful in certain circumstances for KRAS G12C-mutated pancreatic adenocarcinoma</w:t>
      </w:r>
      <w:r>
        <w:rPr>
          <w:rFonts w:ascii="Roboto" w:hAnsi="Roboto" w:eastAsia="Roboto"/>
          <w:b w:val="0"/>
          <w:i w:val="0"/>
          <w:color w:val="333333"/>
          <w:sz w:val="12"/>
        </w:rPr>
        <w:t>13</w:t>
      </w:r>
      <w:r>
        <w:rPr>
          <w:rFonts w:ascii="Roboto" w:hAnsi="Roboto" w:eastAsia="Roboto"/>
          <w:b w:val="0"/>
          <w:i w:val="0"/>
          <w:color w:val="333333"/>
          <w:sz w:val="18"/>
        </w:rPr>
        <w:t>. The FDA has approved adagrasib</w:t>
      </w:r>
      <w:r>
        <w:rPr>
          <w:rFonts w:ascii="Roboto" w:hAnsi="Roboto" w:eastAsia="Roboto"/>
          <w:b w:val="0"/>
          <w:i w:val="0"/>
          <w:color w:val="333333"/>
          <w:sz w:val="12"/>
        </w:rPr>
        <w:t>12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 in </w:t>
      </w:r>
      <w:r>
        <w:rPr>
          <w:rFonts w:ascii="Roboto" w:hAnsi="Roboto" w:eastAsia="Roboto"/>
          <w:b w:val="0"/>
          <w:i w:val="0"/>
          <w:color w:val="333333"/>
          <w:sz w:val="18"/>
        </w:rPr>
        <w:t>combination with cetuximab (2024), and sotorasib</w:t>
      </w:r>
      <w:r>
        <w:rPr>
          <w:rFonts w:ascii="Roboto" w:hAnsi="Roboto" w:eastAsia="Roboto"/>
          <w:b w:val="0"/>
          <w:i w:val="0"/>
          <w:color w:val="333333"/>
          <w:sz w:val="12"/>
        </w:rPr>
        <w:t>11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 in combination with panitumumab</w:t>
      </w:r>
      <w:r>
        <w:rPr>
          <w:rFonts w:ascii="Roboto" w:hAnsi="Roboto" w:eastAsia="Roboto"/>
          <w:b w:val="0"/>
          <w:i w:val="0"/>
          <w:color w:val="333333"/>
          <w:sz w:val="12"/>
        </w:rPr>
        <w:t>14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 (2025) for KRAS G12C-mutated colorectal </w:t>
      </w:r>
      <w:r>
        <w:rPr>
          <w:rFonts w:ascii="Roboto" w:hAnsi="Roboto" w:eastAsia="Roboto"/>
          <w:b w:val="0"/>
          <w:i w:val="0"/>
          <w:color w:val="333333"/>
          <w:sz w:val="18"/>
        </w:rPr>
        <w:t>cancer (CRC) after prior fluoropyrimidine-, oxaliplatin-, and irinotecan-based chemotherapy. The EGFR antagonists, cetuximab</w:t>
      </w:r>
      <w:r>
        <w:rPr>
          <w:rFonts w:ascii="Roboto" w:hAnsi="Roboto" w:eastAsia="Roboto"/>
          <w:b w:val="0"/>
          <w:i w:val="0"/>
          <w:color w:val="333333"/>
          <w:sz w:val="12"/>
        </w:rPr>
        <w:t xml:space="preserve">15 </w:t>
      </w:r>
      <w:r>
        <w:rPr>
          <w:rFonts w:ascii="Roboto" w:hAnsi="Roboto" w:eastAsia="Roboto"/>
          <w:b w:val="0"/>
          <w:i w:val="0"/>
          <w:color w:val="333333"/>
          <w:sz w:val="18"/>
        </w:rPr>
        <w:t>and panitumumab</w:t>
      </w:r>
      <w:r>
        <w:rPr>
          <w:rFonts w:ascii="Roboto" w:hAnsi="Roboto" w:eastAsia="Roboto"/>
          <w:b w:val="0"/>
          <w:i w:val="0"/>
          <w:color w:val="333333"/>
          <w:sz w:val="12"/>
        </w:rPr>
        <w:t>14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, are contraindicated for treatment of colorectal cancer patients with KRAS mutations in exon 2 (codons 12 and </w:t>
      </w:r>
      <w:r>
        <w:rPr>
          <w:rFonts w:ascii="Roboto" w:hAnsi="Roboto" w:eastAsia="Roboto"/>
          <w:b w:val="0"/>
          <w:i w:val="0"/>
          <w:color w:val="333333"/>
          <w:sz w:val="18"/>
        </w:rPr>
        <w:t>13), exon 3 (codons 59 and 61), and exon 4 (codons 117 and 146)</w:t>
      </w:r>
      <w:r>
        <w:rPr>
          <w:rFonts w:ascii="Roboto" w:hAnsi="Roboto" w:eastAsia="Roboto"/>
          <w:b w:val="0"/>
          <w:i w:val="0"/>
          <w:color w:val="333333"/>
          <w:sz w:val="12"/>
        </w:rPr>
        <w:t>10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. The FDA has approved the combination of kinase inhibitors, </w:t>
      </w:r>
      <w:r>
        <w:rPr>
          <w:rFonts w:ascii="Roboto" w:hAnsi="Roboto" w:eastAsia="Roboto"/>
          <w:b w:val="0"/>
          <w:i w:val="0"/>
          <w:color w:val="333333"/>
          <w:sz w:val="18"/>
        </w:rPr>
        <w:t>avutometinib and defactinib</w:t>
      </w:r>
      <w:r>
        <w:rPr>
          <w:rFonts w:ascii="Roboto" w:hAnsi="Roboto" w:eastAsia="Roboto"/>
          <w:b w:val="0"/>
          <w:i w:val="0"/>
          <w:color w:val="333333"/>
          <w:sz w:val="12"/>
        </w:rPr>
        <w:t>16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 (2025), for the treatment of adult patients with KRAS-mutated recurrent low-grade serous ovarian 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cancer (LGSOC) after prior systemic therapy. The FDA has granted breakthrough therapy designation (2022) to the KRAS G12C </w:t>
      </w:r>
      <w:r>
        <w:rPr>
          <w:rFonts w:ascii="Roboto" w:hAnsi="Roboto" w:eastAsia="Roboto"/>
          <w:b w:val="0"/>
          <w:i w:val="0"/>
          <w:color w:val="333333"/>
          <w:sz w:val="18"/>
        </w:rPr>
        <w:t>inhibitor, GDC-6036</w:t>
      </w:r>
      <w:r>
        <w:rPr>
          <w:rFonts w:ascii="Roboto" w:hAnsi="Roboto" w:eastAsia="Roboto"/>
          <w:b w:val="0"/>
          <w:i w:val="0"/>
          <w:color w:val="333333"/>
          <w:sz w:val="12"/>
        </w:rPr>
        <w:t>17</w:t>
      </w:r>
      <w:r>
        <w:rPr>
          <w:rFonts w:ascii="Roboto" w:hAnsi="Roboto" w:eastAsia="Roboto"/>
          <w:b w:val="0"/>
          <w:i w:val="0"/>
          <w:color w:val="333333"/>
          <w:sz w:val="18"/>
        </w:rPr>
        <w:t>, for KRAS G12C-mutated NSCLC. The KRAS-G12C/NRAS-G12C dual inhibitor, elironrasib</w:t>
      </w:r>
      <w:r>
        <w:rPr>
          <w:rFonts w:ascii="Roboto" w:hAnsi="Roboto" w:eastAsia="Roboto"/>
          <w:b w:val="0"/>
          <w:i w:val="0"/>
          <w:color w:val="333333"/>
          <w:sz w:val="12"/>
        </w:rPr>
        <w:t>18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, and the KRAS </w:t>
      </w:r>
      <w:r>
        <w:rPr>
          <w:rFonts w:ascii="Roboto" w:hAnsi="Roboto" w:eastAsia="Roboto"/>
          <w:b w:val="0"/>
          <w:i w:val="0"/>
          <w:color w:val="333333"/>
          <w:sz w:val="18"/>
        </w:rPr>
        <w:t>G12C inhibitor, D3S-001</w:t>
      </w:r>
      <w:r>
        <w:rPr>
          <w:rFonts w:ascii="Roboto" w:hAnsi="Roboto" w:eastAsia="Roboto"/>
          <w:b w:val="0"/>
          <w:i w:val="0"/>
          <w:color w:val="333333"/>
          <w:sz w:val="12"/>
        </w:rPr>
        <w:t>19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, were both granted breakthrough therapy designation (2025) for KRAS G12C-mutated locally advanced or </w:t>
      </w:r>
      <w:r>
        <w:rPr>
          <w:rFonts w:ascii="Roboto" w:hAnsi="Roboto" w:eastAsia="Roboto"/>
          <w:b w:val="0"/>
          <w:i w:val="0"/>
          <w:color w:val="333333"/>
          <w:sz w:val="18"/>
        </w:rPr>
        <w:t>metastatic NSCLC in adults previously treated with chemotherapy and immunotherapy, excluding KRAS G12C inhibitors. The KRAS-</w:t>
      </w:r>
      <w:r>
        <w:rPr>
          <w:rFonts w:ascii="Roboto" w:hAnsi="Roboto" w:eastAsia="Roboto"/>
          <w:b w:val="0"/>
          <w:i w:val="0"/>
          <w:color w:val="333333"/>
          <w:sz w:val="18"/>
        </w:rPr>
        <w:t>G12C inhibitor, olomorasib</w:t>
      </w:r>
      <w:r>
        <w:rPr>
          <w:rFonts w:ascii="Roboto" w:hAnsi="Roboto" w:eastAsia="Roboto"/>
          <w:b w:val="0"/>
          <w:i w:val="0"/>
          <w:color w:val="333333"/>
          <w:sz w:val="12"/>
        </w:rPr>
        <w:t>20</w:t>
      </w:r>
      <w:r>
        <w:rPr>
          <w:rFonts w:ascii="Roboto" w:hAnsi="Roboto" w:eastAsia="Roboto"/>
          <w:b w:val="0"/>
          <w:i w:val="0"/>
          <w:color w:val="333333"/>
          <w:sz w:val="18"/>
        </w:rPr>
        <w:t>, was granted breakthrough designation (2025) in combination with pembrolizumab</w:t>
      </w:r>
      <w:r>
        <w:rPr>
          <w:rFonts w:ascii="Roboto" w:hAnsi="Roboto" w:eastAsia="Roboto"/>
          <w:b w:val="0"/>
          <w:i w:val="0"/>
          <w:color w:val="333333"/>
          <w:sz w:val="12"/>
        </w:rPr>
        <w:t>21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 for unresectable </w:t>
      </w:r>
      <w:r>
        <w:rPr>
          <w:rFonts w:ascii="Roboto" w:hAnsi="Roboto" w:eastAsia="Roboto"/>
          <w:b w:val="0"/>
          <w:i w:val="0"/>
          <w:color w:val="333333"/>
          <w:sz w:val="18"/>
        </w:rPr>
        <w:t>advanced or metastatic NSCLC with a KRAS G12C mutation and PD-L1 expression ≥ 50%. The RAF/MEK clamp, avutometinib</w:t>
      </w:r>
      <w:r>
        <w:rPr>
          <w:rFonts w:ascii="Roboto" w:hAnsi="Roboto" w:eastAsia="Roboto"/>
          <w:b w:val="0"/>
          <w:i w:val="0"/>
          <w:color w:val="333333"/>
          <w:sz w:val="12"/>
        </w:rPr>
        <w:t>22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 was 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also granted fast track designation (2024) in combination with sotorasib for KRAS G12C-mutated metastatic NSCLC in patients 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who have received at least one prior systemic therapy and have not been previously treated with a KRAS G12C inhibitor. The KRAS </w:t>
      </w:r>
      <w:r>
        <w:rPr>
          <w:rFonts w:ascii="Roboto" w:hAnsi="Roboto" w:eastAsia="Roboto"/>
          <w:b w:val="0"/>
          <w:i w:val="0"/>
          <w:color w:val="333333"/>
          <w:sz w:val="18"/>
        </w:rPr>
        <w:t>G12C inhibitor, BBO-8520</w:t>
      </w:r>
      <w:r>
        <w:rPr>
          <w:rFonts w:ascii="Roboto" w:hAnsi="Roboto" w:eastAsia="Roboto"/>
          <w:b w:val="0"/>
          <w:i w:val="0"/>
          <w:color w:val="333333"/>
          <w:sz w:val="12"/>
        </w:rPr>
        <w:t>23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, was granted fast track designation in 2025 for previously treated KRAS G12C-mutated patients with </w:t>
      </w:r>
      <w:r>
        <w:rPr>
          <w:rFonts w:ascii="Roboto" w:hAnsi="Roboto" w:eastAsia="Roboto"/>
          <w:b w:val="0"/>
          <w:i w:val="0"/>
          <w:color w:val="333333"/>
          <w:sz w:val="18"/>
        </w:rPr>
        <w:t>metastatic NSCLC. The RAS(ON) G12D-selective inhibitor, zoldonrasib</w:t>
      </w:r>
      <w:r>
        <w:rPr>
          <w:rFonts w:ascii="Roboto" w:hAnsi="Roboto" w:eastAsia="Roboto"/>
          <w:b w:val="0"/>
          <w:i w:val="0"/>
          <w:color w:val="333333"/>
          <w:sz w:val="12"/>
        </w:rPr>
        <w:t>24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, was granted breakthrough designation (2026) for patients 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with KRAS G12D-mutated locally advanced or metastatic NSCLC who have been previously treated with anti-PD-1/PD-L1 therapy and </w:t>
      </w:r>
      <w:r>
        <w:rPr>
          <w:rFonts w:ascii="Roboto" w:hAnsi="Roboto" w:eastAsia="Roboto"/>
          <w:b w:val="0"/>
          <w:i w:val="0"/>
          <w:color w:val="333333"/>
          <w:sz w:val="18"/>
        </w:rPr>
        <w:t>platinum-based chemotherapy. The RAS inhibitor, daraxonrasib</w:t>
      </w:r>
      <w:r>
        <w:rPr>
          <w:rFonts w:ascii="Roboto" w:hAnsi="Roboto" w:eastAsia="Roboto"/>
          <w:b w:val="0"/>
          <w:i w:val="0"/>
          <w:color w:val="333333"/>
          <w:sz w:val="12"/>
        </w:rPr>
        <w:t>25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, was granted breakthrough designation (2025) for previously treated </w:t>
      </w:r>
      <w:r>
        <w:rPr>
          <w:rFonts w:ascii="Roboto" w:hAnsi="Roboto" w:eastAsia="Roboto"/>
          <w:b w:val="0"/>
          <w:i w:val="0"/>
          <w:color w:val="333333"/>
          <w:sz w:val="18"/>
        </w:rPr>
        <w:t>metastatic pancreatic ductal adenocarcinoma (PDAC) with KRAS G12 mutations. The KRAS G12D (ON/OFF) inhibitor, GFH-375</w:t>
      </w:r>
      <w:r>
        <w:rPr>
          <w:rFonts w:ascii="Roboto" w:hAnsi="Roboto" w:eastAsia="Roboto"/>
          <w:b w:val="0"/>
          <w:i w:val="0"/>
          <w:color w:val="333333"/>
          <w:sz w:val="12"/>
        </w:rPr>
        <w:t>26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, was 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also granted fast track designation (2025) for first-line and previously treated KRAS G12D-mutated locally advanced or metastatic </w:t>
      </w:r>
      <w:r>
        <w:rPr>
          <w:rFonts w:ascii="Roboto" w:hAnsi="Roboto" w:eastAsia="Roboto"/>
          <w:b w:val="0"/>
          <w:i w:val="0"/>
          <w:color w:val="333333"/>
          <w:sz w:val="18"/>
        </w:rPr>
        <w:t>PDAC. The pan-KRAS inhibitor, BBO-11818</w:t>
      </w:r>
      <w:r>
        <w:rPr>
          <w:rFonts w:ascii="Roboto" w:hAnsi="Roboto" w:eastAsia="Roboto"/>
          <w:b w:val="0"/>
          <w:i w:val="0"/>
          <w:color w:val="333333"/>
          <w:sz w:val="12"/>
        </w:rPr>
        <w:t>27</w:t>
      </w:r>
      <w:r>
        <w:rPr>
          <w:rFonts w:ascii="Roboto" w:hAnsi="Roboto" w:eastAsia="Roboto"/>
          <w:b w:val="0"/>
          <w:i w:val="0"/>
          <w:color w:val="333333"/>
          <w:sz w:val="18"/>
        </w:rPr>
        <w:t>, was also granted fast track designation (2026) for adult patients with advanced KRAS-</w:t>
      </w:r>
      <w:r>
        <w:rPr>
          <w:rFonts w:ascii="Roboto" w:hAnsi="Roboto" w:eastAsia="Roboto"/>
          <w:b w:val="0"/>
          <w:i w:val="0"/>
          <w:color w:val="333333"/>
          <w:sz w:val="18"/>
        </w:rPr>
        <w:t>mutant PDAC. The KRAS G12C inhibitor, D3S-001</w:t>
      </w:r>
      <w:r>
        <w:rPr>
          <w:rFonts w:ascii="Roboto" w:hAnsi="Roboto" w:eastAsia="Roboto"/>
          <w:b w:val="0"/>
          <w:i w:val="0"/>
          <w:color w:val="333333"/>
          <w:sz w:val="12"/>
        </w:rPr>
        <w:t>28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, was granted fast track designation in 2024 for KRAS G12C-mutated patients with </w:t>
      </w:r>
      <w:r>
        <w:rPr>
          <w:rFonts w:ascii="Roboto" w:hAnsi="Roboto" w:eastAsia="Roboto"/>
          <w:b w:val="0"/>
          <w:i w:val="0"/>
          <w:color w:val="333333"/>
          <w:sz w:val="18"/>
        </w:rPr>
        <w:t>advanced unresectable or metastatic CRC. The PLK1 inhibitor, onvansertib</w:t>
      </w:r>
      <w:r>
        <w:rPr>
          <w:rFonts w:ascii="Roboto" w:hAnsi="Roboto" w:eastAsia="Roboto"/>
          <w:b w:val="0"/>
          <w:i w:val="0"/>
          <w:color w:val="333333"/>
          <w:sz w:val="12"/>
        </w:rPr>
        <w:t>29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, was granted fast track designation (2020) in combination 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with bevacizumab and FOLFIRI for second-line treatment of patients with KRAS-mutated metastatic CRC. The immuno-oncolytic </w:t>
      </w:r>
      <w:r>
        <w:rPr>
          <w:rFonts w:ascii="Roboto" w:hAnsi="Roboto" w:eastAsia="Roboto"/>
          <w:b w:val="0"/>
          <w:i w:val="0"/>
          <w:color w:val="333333"/>
          <w:sz w:val="18"/>
        </w:rPr>
        <w:t>virus, pelareorep</w:t>
      </w:r>
      <w:r>
        <w:rPr>
          <w:rFonts w:ascii="Roboto" w:hAnsi="Roboto" w:eastAsia="Roboto"/>
          <w:b w:val="0"/>
          <w:i w:val="0"/>
          <w:color w:val="333333"/>
          <w:sz w:val="12"/>
        </w:rPr>
        <w:t>30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, was also granted fast track designation (2026) in combination with bevacizumab and FOLFIRI for second-line 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treatment of patients with KRAS-mutated microsatellite-stable metastatic CRC. Additionally, KRAS mutations are associated with poor </w:t>
      </w:r>
      <w:r>
        <w:rPr>
          <w:rFonts w:ascii="Roboto" w:hAnsi="Roboto" w:eastAsia="Roboto"/>
          <w:b w:val="0"/>
          <w:i w:val="0"/>
          <w:color w:val="333333"/>
          <w:sz w:val="18"/>
        </w:rPr>
        <w:t>prognosis in NSCLC</w:t>
      </w:r>
      <w:r>
        <w:rPr>
          <w:rFonts w:ascii="Roboto" w:hAnsi="Roboto" w:eastAsia="Roboto"/>
          <w:b w:val="0"/>
          <w:i w:val="0"/>
          <w:color w:val="333333"/>
          <w:sz w:val="12"/>
        </w:rPr>
        <w:t>31</w:t>
      </w:r>
      <w:r>
        <w:rPr>
          <w:rFonts w:ascii="Roboto" w:hAnsi="Roboto" w:eastAsia="Roboto"/>
          <w:b w:val="0"/>
          <w:i w:val="0"/>
          <w:color w:val="333333"/>
          <w:sz w:val="18"/>
        </w:rPr>
        <w:t xml:space="preserve">. Mutations in the RAS pathway, including KRAS, are ancillary diagnostic markers in pediatric gene fusion-negative </w:t>
      </w:r>
      <w:r>
        <w:rPr>
          <w:rFonts w:ascii="Roboto" w:hAnsi="Roboto" w:eastAsia="Roboto"/>
          <w:b w:val="0"/>
          <w:i w:val="0"/>
          <w:color w:val="333333"/>
          <w:sz w:val="18"/>
        </w:rPr>
        <w:t>rhabdomyosarcoma (RMS)</w:t>
      </w:r>
      <w:r>
        <w:rPr>
          <w:rFonts w:ascii="Roboto" w:hAnsi="Roboto" w:eastAsia="Roboto"/>
          <w:b w:val="0"/>
          <w:i w:val="0"/>
          <w:color w:val="333333"/>
          <w:sz w:val="12"/>
        </w:rPr>
        <w:t>32</w:t>
      </w:r>
      <w:r>
        <w:rPr>
          <w:rFonts w:ascii="Roboto" w:hAnsi="Roboto" w:eastAsia="Roboto"/>
          <w:b w:val="0"/>
          <w:i w:val="0"/>
          <w:color w:val="333333"/>
          <w:sz w:val="18"/>
        </w:rPr>
        <w:t>.</w:t>
      </w:r>
    </w:p>
    <w:p>
      <w:pPr>
        <w:autoSpaceDN w:val="0"/>
        <w:autoSpaceDE w:val="0"/>
        <w:widowControl/>
        <w:spacing w:line="266" w:lineRule="auto" w:before="676" w:after="236"/>
        <w:ind w:left="10" w:right="0" w:firstLine="0"/>
        <w:jc w:val="left"/>
      </w:pPr>
      <w:r>
        <w:rPr>
          <w:rFonts w:ascii="Roboto" w:hAnsi="Roboto" w:eastAsia="Roboto"/>
          <w:b/>
          <w:i w:val="0"/>
          <w:color w:val="124B82"/>
          <w:sz w:val="26"/>
        </w:rPr>
        <w:t>Clinical Trials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13"/>
        <w:gridCol w:w="3613"/>
        <w:gridCol w:w="3613"/>
      </w:tblGrid>
      <w:tr>
        <w:trPr>
          <w:trHeight w:hRule="exact" w:val="348"/>
        </w:trPr>
        <w:tc>
          <w:tcPr>
            <w:tcW w:type="dxa" w:w="1530"/>
            <w:tcBorders/>
            <w:shd w:fill="1d8a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" w:after="0"/>
              <w:ind w:left="21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FFFFFF"/>
                <w:sz w:val="24"/>
              </w:rPr>
              <w:t>KRAS G12V</w:t>
            </w:r>
          </w:p>
        </w:tc>
        <w:tc>
          <w:tcPr>
            <w:tcW w:type="dxa" w:w="8380"/>
            <w:tcBorders/>
            <w:shd w:fill="1d8ae7"/>
            <w:tcMar>
              <w:start w:w="0" w:type="dxa"/>
              <w:end w:w="0" w:type="dxa"/>
            </w:tcMar>
          </w:tcPr>
          <w:p/>
        </w:tc>
        <w:tc>
          <w:tcPr>
            <w:tcW w:type="dxa" w:w="910"/>
            <w:tcBorders/>
            <w:shd w:fill="1d8ae7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153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36" w:after="0"/>
              <w:ind w:left="170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333333"/>
                <w:sz w:val="16"/>
              </w:rPr>
              <w:t>NCT ID</w:t>
            </w:r>
          </w:p>
        </w:tc>
        <w:tc>
          <w:tcPr>
            <w:tcW w:type="dxa" w:w="838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36" w:after="0"/>
              <w:ind w:left="100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333333"/>
                <w:sz w:val="16"/>
              </w:rPr>
              <w:t>Title</w:t>
            </w:r>
          </w:p>
        </w:tc>
        <w:tc>
          <w:tcPr>
            <w:tcW w:type="dxa" w:w="91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36" w:after="0"/>
              <w:ind w:left="144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333333"/>
                <w:sz w:val="16"/>
              </w:rPr>
              <w:t>Phase</w:t>
            </w:r>
          </w:p>
        </w:tc>
      </w:tr>
      <w:tr>
        <w:trPr>
          <w:trHeight w:hRule="exact" w:val="566"/>
        </w:trPr>
        <w:tc>
          <w:tcPr>
            <w:tcW w:type="dxa" w:w="1530"/>
            <w:tcBorders>
              <w:top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4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1A3D85"/>
                <w:sz w:val="18"/>
              </w:rPr>
              <w:hyperlink r:id="rId21" w:history="1">
                <w:r>
                  <w:rPr>
                    <w:rStyle w:val="Hyperlink"/>
                  </w:rPr>
                  <w:t>NCT06947811</w:t>
                </w:r>
              </w:hyperlink>
            </w:r>
          </w:p>
        </w:tc>
        <w:tc>
          <w:tcPr>
            <w:tcW w:type="dxa" w:w="8380"/>
            <w:tcBorders>
              <w:top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2" w:after="0"/>
              <w:ind w:left="0" w:right="576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A Multicenter, Open-Label, Single-Arm, Phase Ib/II Clinical Study of Almonertinib Combined With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Palbociclib in the Treatment of Patients With KRAS Mutations-Positive Advanced Solid Tumors</w:t>
            </w:r>
          </w:p>
        </w:tc>
        <w:tc>
          <w:tcPr>
            <w:tcW w:type="dxa" w:w="910"/>
            <w:tcBorders>
              <w:top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42" w:after="0"/>
              <w:ind w:left="14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I/II</w:t>
            </w:r>
          </w:p>
        </w:tc>
      </w:tr>
      <w:tr>
        <w:trPr>
          <w:trHeight w:hRule="exact" w:val="600"/>
        </w:trPr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8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1A3D85"/>
                <w:sz w:val="18"/>
              </w:rPr>
              <w:hyperlink r:id="rId22" w:history="1">
                <w:r>
                  <w:rPr>
                    <w:rStyle w:val="Hyperlink"/>
                  </w:rPr>
                  <w:t>NCT07353645</w:t>
                </w:r>
              </w:hyperlink>
            </w:r>
          </w:p>
        </w:tc>
        <w:tc>
          <w:tcPr>
            <w:tcW w:type="dxa" w:w="8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8" w:after="0"/>
              <w:ind w:left="100" w:right="144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Phase I/II Clinical Study of KRAS Neoantigen Nanovaccine as Adjuvant Therapy for Colorectal Cancer/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Pancreatic Cancer With High Risk of Recurrence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8" w:after="0"/>
              <w:ind w:left="14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I/II</w:t>
            </w:r>
          </w:p>
        </w:tc>
      </w:tr>
      <w:tr>
        <w:trPr>
          <w:trHeight w:hRule="exact" w:val="580"/>
        </w:trPr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1A3D85"/>
                <w:sz w:val="18"/>
              </w:rPr>
              <w:hyperlink r:id="rId23" w:history="1">
                <w:r>
                  <w:rPr>
                    <w:rStyle w:val="Hyperlink"/>
                  </w:rPr>
                  <w:t>NCT05173805</w:t>
                </w:r>
              </w:hyperlink>
            </w:r>
          </w:p>
        </w:tc>
        <w:tc>
          <w:tcPr>
            <w:tcW w:type="dxa" w:w="8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0" w:after="0"/>
              <w:ind w:left="10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Phase I Clinical Study on the Safety, Tolerance, Pharmacokinetics and Efficacy of YL-15293 in Patients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With Advanced Solid Tumor With KRAS Mutation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0" w:after="0"/>
              <w:ind w:left="14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I/II</w:t>
            </w:r>
          </w:p>
        </w:tc>
      </w:tr>
      <w:tr>
        <w:trPr>
          <w:trHeight w:hRule="exact" w:val="848"/>
        </w:trPr>
        <w:tc>
          <w:tcPr>
            <w:tcW w:type="dxa" w:w="153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8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1A3D85"/>
                <w:sz w:val="18"/>
              </w:rPr>
              <w:hyperlink r:id="rId24" w:history="1">
                <w:r>
                  <w:rPr>
                    <w:rStyle w:val="Hyperlink"/>
                  </w:rPr>
                  <w:t>NCT07455617</w:t>
                </w:r>
              </w:hyperlink>
            </w:r>
          </w:p>
        </w:tc>
        <w:tc>
          <w:tcPr>
            <w:tcW w:type="dxa" w:w="838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82" w:after="0"/>
              <w:ind w:left="100" w:right="144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A Phase I Clinical Study to Evaluate the Safety, Tolerability, Immunogenicity, Pharmacokinetics,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Pharmacodynamics and Preliminary Anti-tumor Activity of ABO2102 in Participants With KRAS Mutant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Solid Tumors</w:t>
            </w:r>
          </w:p>
        </w:tc>
        <w:tc>
          <w:tcPr>
            <w:tcW w:type="dxa" w:w="91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82" w:after="0"/>
              <w:ind w:left="14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64" w:lineRule="auto" w:before="720" w:after="0"/>
        <w:ind w:left="10" w:right="0" w:firstLine="0"/>
        <w:jc w:val="left"/>
      </w:pPr>
      <w:r>
        <w:rPr>
          <w:rFonts w:ascii="Roboto" w:hAnsi="Roboto" w:eastAsia="Roboto"/>
          <w:b w:val="0"/>
          <w:i w:val="0"/>
          <w:color w:val="333333"/>
          <w:sz w:val="14"/>
        </w:rPr>
        <w:t xml:space="preserve">Disclaimer: </w:t>
      </w:r>
      <w:r>
        <w:rPr>
          <w:rFonts w:ascii="Roboto" w:hAnsi="Roboto" w:eastAsia="Roboto"/>
          <w:b w:val="0"/>
          <w:i w:val="0"/>
          <w:color w:val="555759"/>
          <w:sz w:val="14"/>
        </w:rPr>
        <w:t>The data presented here are from a curated knowledge base of publicly available information, but may not be exhaustive. The data version is 2026.06(004).</w:t>
      </w:r>
    </w:p>
    <w:p>
      <w:pPr>
        <w:sectPr>
          <w:pgSz w:w="12240" w:h="15840"/>
          <w:pgMar w:top="340" w:right="690" w:bottom="424" w:left="7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13"/>
        <w:gridCol w:w="3613"/>
        <w:gridCol w:w="3613"/>
      </w:tblGrid>
      <w:tr>
        <w:trPr>
          <w:trHeight w:hRule="exact" w:val="264"/>
        </w:trPr>
        <w:tc>
          <w:tcPr>
            <w:tcW w:type="dxa" w:w="495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1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Case Number: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OQG2607020430</w:t>
            </w:r>
          </w:p>
        </w:tc>
        <w:tc>
          <w:tcPr>
            <w:tcW w:type="dxa" w:w="488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496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Report Date: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15 Jul 2026</w:t>
            </w:r>
          </w:p>
        </w:tc>
        <w:tc>
          <w:tcPr>
            <w:tcW w:type="dxa" w:w="99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10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3 of 5</w:t>
            </w:r>
          </w:p>
        </w:tc>
      </w:tr>
    </w:tbl>
    <w:p>
      <w:pPr>
        <w:autoSpaceDN w:val="0"/>
        <w:autoSpaceDE w:val="0"/>
        <w:widowControl/>
        <w:spacing w:line="266" w:lineRule="auto" w:before="220" w:after="236"/>
        <w:ind w:left="10" w:right="0" w:firstLine="0"/>
        <w:jc w:val="left"/>
      </w:pPr>
      <w:r>
        <w:rPr>
          <w:rFonts w:ascii="Roboto" w:hAnsi="Roboto" w:eastAsia="Roboto"/>
          <w:b/>
          <w:i w:val="0"/>
          <w:color w:val="124B82"/>
          <w:sz w:val="26"/>
        </w:rPr>
        <w:t>Clinical Trials Summary (continued)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13"/>
        <w:gridCol w:w="3613"/>
        <w:gridCol w:w="3613"/>
      </w:tblGrid>
      <w:tr>
        <w:trPr>
          <w:trHeight w:hRule="exact" w:val="348"/>
        </w:trPr>
        <w:tc>
          <w:tcPr>
            <w:tcW w:type="dxa" w:w="9950"/>
            <w:gridSpan w:val="2"/>
            <w:tcBorders/>
            <w:shd w:fill="1d8ae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" w:after="0"/>
              <w:ind w:left="21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FFFFFF"/>
                <w:sz w:val="24"/>
              </w:rPr>
              <w:t>KRAS G12V (continued)</w:t>
            </w:r>
          </w:p>
        </w:tc>
        <w:tc>
          <w:tcPr>
            <w:tcW w:type="dxa" w:w="870"/>
            <w:tcBorders/>
            <w:shd w:fill="1d8ae7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147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36" w:after="0"/>
              <w:ind w:left="170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333333"/>
                <w:sz w:val="16"/>
              </w:rPr>
              <w:t>NCT ID</w:t>
            </w:r>
          </w:p>
        </w:tc>
        <w:tc>
          <w:tcPr>
            <w:tcW w:type="dxa" w:w="848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36" w:after="0"/>
              <w:ind w:left="160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333333"/>
                <w:sz w:val="16"/>
              </w:rPr>
              <w:t>Title</w:t>
            </w:r>
          </w:p>
        </w:tc>
        <w:tc>
          <w:tcPr>
            <w:tcW w:type="dxa" w:w="87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36" w:after="0"/>
              <w:ind w:left="104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333333"/>
                <w:sz w:val="16"/>
              </w:rPr>
              <w:t>Phase</w:t>
            </w:r>
          </w:p>
        </w:tc>
      </w:tr>
      <w:tr>
        <w:trPr>
          <w:trHeight w:hRule="exact" w:val="574"/>
        </w:trPr>
        <w:tc>
          <w:tcPr>
            <w:tcW w:type="dxa" w:w="1470"/>
            <w:tcBorders>
              <w:top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4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1A3D85"/>
                <w:sz w:val="18"/>
              </w:rPr>
              <w:hyperlink r:id="rId25" w:history="1">
                <w:r>
                  <w:rPr>
                    <w:rStyle w:val="Hyperlink"/>
                  </w:rPr>
                  <w:t>NCT07094204</w:t>
                </w:r>
              </w:hyperlink>
            </w:r>
          </w:p>
        </w:tc>
        <w:tc>
          <w:tcPr>
            <w:tcW w:type="dxa" w:w="8480"/>
            <w:tcBorders>
              <w:top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2" w:after="0"/>
              <w:ind w:left="160" w:right="144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A Phase I Study of ASP5834 in Participants With Locally Advanced (Unresectable) or Metastatic Solid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Tumor Malignancies With KRAS Mutations or KRAS Amplifications</w:t>
            </w:r>
          </w:p>
        </w:tc>
        <w:tc>
          <w:tcPr>
            <w:tcW w:type="dxa" w:w="870"/>
            <w:vMerge w:val="restart"/>
            <w:tcBorders>
              <w:top w:sz="8.0" w:val="single" w:color="#CBCCCB"/>
              <w:bottom w:sz="8.0" w:val="single" w:color="#CBCCC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7" w:lineRule="auto" w:before="42" w:after="0"/>
              <w:ind w:left="104" w:right="432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I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I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I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I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I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I/II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I/II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I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I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II</w:t>
            </w:r>
          </w:p>
        </w:tc>
      </w:tr>
      <w:tr>
        <w:trPr>
          <w:trHeight w:hRule="exact" w:val="580"/>
        </w:trPr>
        <w:tc>
          <w:tcPr>
            <w:tcW w:type="dxa" w:w="1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1A3D85"/>
                <w:sz w:val="18"/>
              </w:rPr>
              <w:hyperlink r:id="rId26" w:history="1">
                <w:r>
                  <w:rPr>
                    <w:rStyle w:val="Hyperlink"/>
                  </w:rPr>
                  <w:t>NCT06487377</w:t>
                </w:r>
              </w:hyperlink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0" w:after="0"/>
              <w:ind w:left="16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A Clinical Study of IX001 TCR-T In the Treatment of Advanced Pancreatic Cancer and Colorectal Cancer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Induced by KRAS Mutations</w:t>
            </w:r>
          </w:p>
        </w:tc>
        <w:tc>
          <w:tcPr>
            <w:tcW w:type="dxa" w:w="3613"/>
            <w:vMerge/>
            <w:tcBorders>
              <w:top w:sz="8.0" w:val="single" w:color="#CBCCCB"/>
              <w:bottom w:sz="8.0" w:val="single" w:color="#CBCCCB"/>
            </w:tcBorders>
          </w:tcPr>
          <w:p/>
        </w:tc>
      </w:tr>
      <w:tr>
        <w:trPr>
          <w:trHeight w:hRule="exact" w:val="600"/>
        </w:trPr>
        <w:tc>
          <w:tcPr>
            <w:tcW w:type="dxa" w:w="1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8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1A3D85"/>
                <w:sz w:val="18"/>
              </w:rPr>
              <w:hyperlink r:id="rId27" w:history="1">
                <w:r>
                  <w:rPr>
                    <w:rStyle w:val="Hyperlink"/>
                  </w:rPr>
                  <w:t>NCT06478251</w:t>
                </w:r>
              </w:hyperlink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2" w:after="0"/>
              <w:ind w:left="160" w:right="576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An Open-Label, Dose-Escalation Phase I Clinical Study of T Cell Receptor Gene-Engineered T Cell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Therapy Targeting KRAS Mutations in the Treatment of Subjects With Advanced Solid Tumor</w:t>
            </w:r>
          </w:p>
        </w:tc>
        <w:tc>
          <w:tcPr>
            <w:tcW w:type="dxa" w:w="3613"/>
            <w:vMerge/>
            <w:tcBorders>
              <w:top w:sz="8.0" w:val="single" w:color="#CBCCCB"/>
              <w:bottom w:sz="8.0" w:val="single" w:color="#CBCCCB"/>
            </w:tcBorders>
          </w:tcPr>
          <w:p/>
        </w:tc>
      </w:tr>
      <w:tr>
        <w:trPr>
          <w:trHeight w:hRule="exact" w:val="580"/>
        </w:trPr>
        <w:tc>
          <w:tcPr>
            <w:tcW w:type="dxa" w:w="1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17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No NCT ID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4" w:after="0"/>
              <w:ind w:left="160" w:right="432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An open-label, multicenter Phase I clinical study to evaluate the safety, tolerability, pharmacokinetic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characteristics, and immunogenicity of RGL-232 in patients with malignant solid tumors</w:t>
            </w:r>
          </w:p>
        </w:tc>
        <w:tc>
          <w:tcPr>
            <w:tcW w:type="dxa" w:w="3613"/>
            <w:vMerge/>
            <w:tcBorders>
              <w:top w:sz="8.0" w:val="single" w:color="#CBCCCB"/>
              <w:bottom w:sz="8.0" w:val="single" w:color="#CBCCCB"/>
            </w:tcBorders>
          </w:tcPr>
          <w:p/>
        </w:tc>
      </w:tr>
      <w:tr>
        <w:trPr>
          <w:trHeight w:hRule="exact" w:val="380"/>
        </w:trPr>
        <w:tc>
          <w:tcPr>
            <w:tcW w:type="dxa" w:w="1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86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1A3D85"/>
                <w:sz w:val="18"/>
              </w:rPr>
              <w:hyperlink r:id="rId28" w:history="1">
                <w:r>
                  <w:rPr>
                    <w:rStyle w:val="Hyperlink"/>
                  </w:rPr>
                  <w:t>NCT07004244</w:t>
                </w:r>
              </w:hyperlink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86" w:after="0"/>
              <w:ind w:left="16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Safety and Efficacy of KRAS Vaccine in the Treatment of KRAS-mutant Malignancies</w:t>
            </w:r>
          </w:p>
        </w:tc>
        <w:tc>
          <w:tcPr>
            <w:tcW w:type="dxa" w:w="3613"/>
            <w:vMerge/>
            <w:tcBorders>
              <w:top w:sz="8.0" w:val="single" w:color="#CBCCCB"/>
              <w:bottom w:sz="8.0" w:val="single" w:color="#CBCCCB"/>
            </w:tcBorders>
          </w:tcPr>
          <w:p/>
        </w:tc>
      </w:tr>
      <w:tr>
        <w:trPr>
          <w:trHeight w:hRule="exact" w:val="600"/>
        </w:trPr>
        <w:tc>
          <w:tcPr>
            <w:tcW w:type="dxa" w:w="1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8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1A3D85"/>
                <w:sz w:val="18"/>
              </w:rPr>
              <w:hyperlink r:id="rId29" w:history="1">
                <w:r>
                  <w:rPr>
                    <w:rStyle w:val="Hyperlink"/>
                  </w:rPr>
                  <w:t>NCT07435038</w:t>
                </w:r>
              </w:hyperlink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2" w:after="0"/>
              <w:ind w:left="160" w:right="72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A Phase I/II Clinical Study Evaluating the Safety, Tolerability, Pharmacokinetics, and Efficacy of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BPI-572270 Capsules in Patients with RAS-mutant Advanced Solid Tumors.</w:t>
            </w:r>
          </w:p>
        </w:tc>
        <w:tc>
          <w:tcPr>
            <w:tcW w:type="dxa" w:w="3613"/>
            <w:vMerge/>
            <w:tcBorders>
              <w:top w:sz="8.0" w:val="single" w:color="#CBCCCB"/>
              <w:bottom w:sz="8.0" w:val="single" w:color="#CBCCCB"/>
            </w:tcBorders>
          </w:tcPr>
          <w:p/>
        </w:tc>
      </w:tr>
      <w:tr>
        <w:trPr>
          <w:trHeight w:hRule="exact" w:val="580"/>
        </w:trPr>
        <w:tc>
          <w:tcPr>
            <w:tcW w:type="dxa" w:w="1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1A3D85"/>
                <w:sz w:val="18"/>
              </w:rPr>
              <w:hyperlink r:id="rId30" w:history="1">
                <w:r>
                  <w:rPr>
                    <w:rStyle w:val="Hyperlink"/>
                  </w:rPr>
                  <w:t>NCT06895031</w:t>
                </w:r>
              </w:hyperlink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4" w:after="0"/>
              <w:ind w:left="160" w:right="288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A Multi-center, Open-label, Phase I/II Clinical Study to Evaluate the Safety, Tolerability,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Pharmacokinetics, and Antitumor Activity of JYP0015 in Advanced Solid Tumors With RAS Mutation</w:t>
            </w:r>
          </w:p>
        </w:tc>
        <w:tc>
          <w:tcPr>
            <w:tcW w:type="dxa" w:w="3613"/>
            <w:vMerge/>
            <w:tcBorders>
              <w:top w:sz="8.0" w:val="single" w:color="#CBCCCB"/>
              <w:bottom w:sz="8.0" w:val="single" w:color="#CBCCCB"/>
            </w:tcBorders>
          </w:tcPr>
          <w:p/>
        </w:tc>
      </w:tr>
      <w:tr>
        <w:trPr>
          <w:trHeight w:hRule="exact" w:val="380"/>
        </w:trPr>
        <w:tc>
          <w:tcPr>
            <w:tcW w:type="dxa" w:w="1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86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1A3D85"/>
                <w:sz w:val="18"/>
              </w:rPr>
              <w:hyperlink r:id="rId31" w:history="1">
                <w:r>
                  <w:rPr>
                    <w:rStyle w:val="Hyperlink"/>
                  </w:rPr>
                  <w:t>NCT05369312</w:t>
                </w:r>
              </w:hyperlink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86" w:after="0"/>
              <w:ind w:left="16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Phase I Study of BPI-442096 in Advanced Solid Tumor Patients</w:t>
            </w:r>
          </w:p>
        </w:tc>
        <w:tc>
          <w:tcPr>
            <w:tcW w:type="dxa" w:w="3613"/>
            <w:vMerge/>
            <w:tcBorders>
              <w:top w:sz="8.0" w:val="single" w:color="#CBCCCB"/>
              <w:bottom w:sz="8.0" w:val="single" w:color="#CBCCCB"/>
            </w:tcBorders>
          </w:tcPr>
          <w:p/>
        </w:tc>
      </w:tr>
      <w:tr>
        <w:trPr>
          <w:trHeight w:hRule="exact" w:val="380"/>
        </w:trPr>
        <w:tc>
          <w:tcPr>
            <w:tcW w:type="dxa" w:w="1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8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1A3D85"/>
                <w:sz w:val="18"/>
              </w:rPr>
              <w:hyperlink r:id="rId32" w:history="1">
                <w:r>
                  <w:rPr>
                    <w:rStyle w:val="Hyperlink"/>
                  </w:rPr>
                  <w:t>NCT06962254</w:t>
                </w:r>
              </w:hyperlink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82" w:after="0"/>
              <w:ind w:left="16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Treatment of Solid Tumors Harboring KRAS Mutation With Imatinib and Trametinib</w:t>
            </w:r>
          </w:p>
        </w:tc>
        <w:tc>
          <w:tcPr>
            <w:tcW w:type="dxa" w:w="3613"/>
            <w:vMerge/>
            <w:tcBorders>
              <w:top w:sz="8.0" w:val="single" w:color="#CBCCCB"/>
              <w:bottom w:sz="8.0" w:val="single" w:color="#CBCCCB"/>
            </w:tcBorders>
          </w:tcPr>
          <w:p/>
        </w:tc>
      </w:tr>
      <w:tr>
        <w:trPr>
          <w:trHeight w:hRule="exact" w:val="638"/>
        </w:trPr>
        <w:tc>
          <w:tcPr>
            <w:tcW w:type="dxa" w:w="147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8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1A3D85"/>
                <w:sz w:val="18"/>
              </w:rPr>
              <w:hyperlink r:id="rId33" w:history="1">
                <w:r>
                  <w:rPr>
                    <w:rStyle w:val="Hyperlink"/>
                  </w:rPr>
                  <w:t>NCT05004441</w:t>
                </w:r>
              </w:hyperlink>
            </w:r>
          </w:p>
        </w:tc>
        <w:tc>
          <w:tcPr>
            <w:tcW w:type="dxa" w:w="848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8" w:after="0"/>
              <w:ind w:left="160" w:right="576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Fruquintinib Combined With mFOLFOX6/FOLFIRI in First-line Treatment for Metastatic Colorectal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Cancer:HCCSC C02 Trial</w:t>
            </w:r>
          </w:p>
        </w:tc>
        <w:tc>
          <w:tcPr>
            <w:tcW w:type="dxa" w:w="3613"/>
            <w:vMerge/>
            <w:tcBorders>
              <w:top w:sz="8.0" w:val="single" w:color="#CBCCCB"/>
              <w:bottom w:sz="8.0" w:val="single" w:color="#CBCCCB"/>
            </w:tcBorders>
          </w:tcPr>
          <w:p/>
        </w:tc>
      </w:tr>
    </w:tbl>
    <w:p>
      <w:pPr>
        <w:autoSpaceDN w:val="0"/>
        <w:autoSpaceDE w:val="0"/>
        <w:widowControl/>
        <w:spacing w:line="264" w:lineRule="auto" w:before="6810" w:after="0"/>
        <w:ind w:left="10" w:right="0" w:firstLine="0"/>
        <w:jc w:val="left"/>
      </w:pPr>
      <w:r>
        <w:rPr>
          <w:rFonts w:ascii="Roboto" w:hAnsi="Roboto" w:eastAsia="Roboto"/>
          <w:b w:val="0"/>
          <w:i w:val="0"/>
          <w:color w:val="333333"/>
          <w:sz w:val="14"/>
        </w:rPr>
        <w:t xml:space="preserve">Disclaimer: </w:t>
      </w:r>
      <w:r>
        <w:rPr>
          <w:rFonts w:ascii="Roboto" w:hAnsi="Roboto" w:eastAsia="Roboto"/>
          <w:b w:val="0"/>
          <w:i w:val="0"/>
          <w:color w:val="555759"/>
          <w:sz w:val="14"/>
        </w:rPr>
        <w:t>The data presented here are from a curated knowledge base of publicly available information, but may not be exhaustive. The data version is 2026.06(004).</w:t>
      </w:r>
    </w:p>
    <w:p>
      <w:pPr>
        <w:sectPr>
          <w:pgSz w:w="12240" w:h="15840"/>
          <w:pgMar w:top="340" w:right="690" w:bottom="424" w:left="7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13"/>
        <w:gridCol w:w="3613"/>
        <w:gridCol w:w="3613"/>
      </w:tblGrid>
      <w:tr>
        <w:trPr>
          <w:trHeight w:hRule="exact" w:val="264"/>
        </w:trPr>
        <w:tc>
          <w:tcPr>
            <w:tcW w:type="dxa" w:w="495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1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Case Number: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OQG2607020430</w:t>
            </w:r>
          </w:p>
        </w:tc>
        <w:tc>
          <w:tcPr>
            <w:tcW w:type="dxa" w:w="488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496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Report Date: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15 Jul 2026</w:t>
            </w:r>
          </w:p>
        </w:tc>
        <w:tc>
          <w:tcPr>
            <w:tcW w:type="dxa" w:w="99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10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4 of 5</w:t>
            </w:r>
          </w:p>
        </w:tc>
      </w:tr>
    </w:tbl>
    <w:p>
      <w:pPr>
        <w:autoSpaceDN w:val="0"/>
        <w:autoSpaceDE w:val="0"/>
        <w:widowControl/>
        <w:spacing w:line="266" w:lineRule="auto" w:before="220" w:after="138"/>
        <w:ind w:left="10" w:right="0" w:firstLine="0"/>
        <w:jc w:val="left"/>
      </w:pPr>
      <w:r>
        <w:rPr>
          <w:rFonts w:ascii="Roboto" w:hAnsi="Roboto" w:eastAsia="Roboto"/>
          <w:b/>
          <w:i w:val="0"/>
          <w:color w:val="124B82"/>
          <w:sz w:val="26"/>
        </w:rPr>
        <w:t>References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20"/>
        <w:gridCol w:w="5420"/>
      </w:tblGrid>
      <w:tr>
        <w:trPr>
          <w:trHeight w:hRule="exact" w:val="13076"/>
        </w:trPr>
        <w:tc>
          <w:tcPr>
            <w:tcW w:type="dxa" w:w="33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1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1.</w:t>
            </w:r>
          </w:p>
          <w:p>
            <w:pPr>
              <w:autoSpaceDN w:val="0"/>
              <w:autoSpaceDE w:val="0"/>
              <w:widowControl/>
              <w:spacing w:line="307" w:lineRule="auto" w:before="272" w:after="0"/>
              <w:ind w:left="10" w:right="172" w:firstLine="0"/>
              <w:jc w:val="both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2.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3.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4.</w:t>
            </w:r>
          </w:p>
          <w:p>
            <w:pPr>
              <w:autoSpaceDN w:val="0"/>
              <w:autoSpaceDE w:val="0"/>
              <w:widowControl/>
              <w:spacing w:line="266" w:lineRule="auto" w:before="272" w:after="0"/>
              <w:ind w:left="1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5.</w:t>
            </w:r>
          </w:p>
          <w:p>
            <w:pPr>
              <w:autoSpaceDN w:val="0"/>
              <w:autoSpaceDE w:val="0"/>
              <w:widowControl/>
              <w:spacing w:line="298" w:lineRule="auto" w:before="272" w:after="0"/>
              <w:ind w:left="10" w:right="144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6.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7.</w:t>
            </w:r>
          </w:p>
          <w:p>
            <w:pPr>
              <w:autoSpaceDN w:val="0"/>
              <w:autoSpaceDE w:val="0"/>
              <w:widowControl/>
              <w:spacing w:line="266" w:lineRule="auto" w:before="272" w:after="0"/>
              <w:ind w:left="1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8.</w:t>
            </w:r>
          </w:p>
          <w:p>
            <w:pPr>
              <w:autoSpaceDN w:val="0"/>
              <w:autoSpaceDE w:val="0"/>
              <w:widowControl/>
              <w:spacing w:line="266" w:lineRule="auto" w:before="272" w:after="0"/>
              <w:ind w:left="1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9.</w:t>
            </w:r>
          </w:p>
          <w:p>
            <w:pPr>
              <w:autoSpaceDN w:val="0"/>
              <w:autoSpaceDE w:val="0"/>
              <w:widowControl/>
              <w:spacing w:line="266" w:lineRule="auto" w:before="27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10.</w:t>
            </w:r>
          </w:p>
          <w:p>
            <w:pPr>
              <w:autoSpaceDN w:val="0"/>
              <w:autoSpaceDE w:val="0"/>
              <w:widowControl/>
              <w:spacing w:line="322" w:lineRule="auto" w:before="488" w:after="0"/>
              <w:ind w:left="10" w:right="70" w:firstLine="0"/>
              <w:jc w:val="both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11.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12.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13.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14.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15.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16.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17.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18.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19.</w:t>
            </w:r>
          </w:p>
          <w:p>
            <w:pPr>
              <w:autoSpaceDN w:val="0"/>
              <w:autoSpaceDE w:val="0"/>
              <w:widowControl/>
              <w:spacing w:line="266" w:lineRule="auto" w:before="27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20.</w:t>
            </w:r>
          </w:p>
          <w:p>
            <w:pPr>
              <w:autoSpaceDN w:val="0"/>
              <w:autoSpaceDE w:val="0"/>
              <w:widowControl/>
              <w:spacing w:line="298" w:lineRule="auto" w:before="27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21.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22.</w:t>
            </w:r>
          </w:p>
          <w:p>
            <w:pPr>
              <w:autoSpaceDN w:val="0"/>
              <w:autoSpaceDE w:val="0"/>
              <w:widowControl/>
              <w:spacing w:line="319" w:lineRule="auto" w:before="272" w:after="0"/>
              <w:ind w:left="10" w:right="70" w:firstLine="0"/>
              <w:jc w:val="both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23.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24.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25.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26.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27.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28.</w:t>
            </w:r>
          </w:p>
          <w:p>
            <w:pPr>
              <w:autoSpaceDN w:val="0"/>
              <w:autoSpaceDE w:val="0"/>
              <w:widowControl/>
              <w:spacing w:line="298" w:lineRule="auto" w:before="27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29.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30.</w:t>
            </w:r>
          </w:p>
          <w:p>
            <w:pPr>
              <w:autoSpaceDN w:val="0"/>
              <w:autoSpaceDE w:val="0"/>
              <w:widowControl/>
              <w:spacing w:line="266" w:lineRule="auto" w:before="272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31.</w:t>
            </w:r>
          </w:p>
        </w:tc>
        <w:tc>
          <w:tcPr>
            <w:tcW w:type="dxa" w:w="1049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8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O'Leary et al. Reference sequence (RefSeq) database at NCBI: current status, taxonomic expansion, and functional annotation.</w:t>
            </w:r>
          </w:p>
          <w:p>
            <w:pPr>
              <w:autoSpaceDN w:val="0"/>
              <w:autoSpaceDE w:val="0"/>
              <w:widowControl/>
              <w:spacing w:line="302" w:lineRule="auto" w:before="0" w:after="0"/>
              <w:ind w:left="8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Nucleic Acids Res. 2016 Jan 4;44(D1):D733-45. PMID: 26553804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Pylayeva-Gupta et al. RAS oncogenes: weaving a tumorigenic web. Nat. Rev. Cancer. 2011 Oct 13;11(11):761-74. PMID: 21993244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Karnoub et al. Ras oncogenes: split personalities. Nat. Rev. Mol. Cell Biol. 2008 Jul;9(7):517-31. PMID: 18568040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Scott et al. Therapeutic Approaches to RAS Mutation. Cancer J. 2016 May-Jun;22(3):165-74. doi: 10.1097/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PPO.0000000000000187. PMID: 27341593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Johnson et al. Classification of KRAS-Activating Mutations and the Implications for Therapeutic Intervention. Cancer Discov. 2022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Apr 1;12(4):913-923. PMID: 35373279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Weinstein et al. The Cancer Genome Atlas Pan-Cancer analysis project. Nat. Genet. 2013 Oct;45(10):1113-20. PMID: 24071849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Román et al. KRAS oncogene in non-small cell lung cancer: clinical perspectives on the treatment of an old target. Mol Cancer.</w:t>
            </w:r>
          </w:p>
          <w:p>
            <w:pPr>
              <w:autoSpaceDN w:val="0"/>
              <w:autoSpaceDE w:val="0"/>
              <w:widowControl/>
              <w:spacing w:line="302" w:lineRule="auto" w:before="0" w:after="0"/>
              <w:ind w:left="8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2018 Feb 19;17(1):33. doi: 10.1186/s12943-018-0789-x. PMID: 29455666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Dinu et al. Prognostic significance of KRAS gene mutations in colorectal cancer--preliminary study. J Med Life. 2014 Oct-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Dec;7(4):581-7. PMID: 25713627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Cerami et al. The cBio cancer genomics portal: an open platform for exploring multidimensional cancer genomics data. Cancer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Discov. 2012 May;2(5):401-4. PMID: 22588877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Allegra et al. Extended RAS Gene Mutation Testing in Metastatic Colorectal Carcinoma to Predict Response to Anti-Epidermal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Growth Factor Receptor Monoclonal Antibody Therapy: American Society of Clinical Oncology Provisional Clinical Opinion Update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2015. J. Clin. Oncol. 2016 Jan 10;34(2):179-85. PMID: 26438111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https://www.accessdata.fda.gov/drugsatfda_docs/label/2025/214665Orig1s009correctedlbl.pdf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https://www.accessdata.fda.gov/drugsatfda_docs/label/2026/216340s009lbl.pdf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NCCN Guidelines® - NCCN-Pancreatic Adenocarcinoma [Version 2.2026]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https://www.accessdata.fda.gov/drugsatfda_docs/label/2025/125147s213lbl.pdf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https://www.accessdata.fda.gov/drugsatfda_docs/label/2021/125084s279lbl.pdf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https://www.accessdata.fda.gov/drugsatfda_docs/label/2025/219616s000lbl.pdf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https://assets.cwp.roche.com/f/126832/x/5738a7538b/irp230202.pdf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https://ir.revmed.com/node/11881/pdf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https://www.prnewswire.com/news-releases/d3-bio-inc-announces-fda-breakthrough-therapy-designation-and-orphan-drug-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designation-for-d3s-001-for-the-treatment-of-patients-with-kras-g12c-mutated-cancers-302540808.html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https://www.prnewswire.com/news-releases/lillys-olomorasib-receives-us-fdas-breakthrough-therapy-designation-for-the-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treatment-of-certain-newly-diagnosed-metastatic-kras-g12c-mutant-lung-cancers-302545643.html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https://www.accessdata.fda.gov/drugsatfda_docs/label/2026/125514s190lbl.pdf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https://investor.verastem.com/news-releases/news-release-details/verastem-oncology-granted-fast-track-designation-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combination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https://www.businesswire.com/news/home/20250109170439/en/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https://ir.revmed.com/news-releases/news-release-details/revolution-medicines-announces-fda-breakthrough-therapy-1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https://ir.revmed.com/news-releases/news-release-details/revolution-medicines-announces-fda-breakthrough-therapy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https://investor.verastem.com/news-releases/news-release-details/verastem-oncology-granted-fast-track-designation-vs-7375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https://www.targetedonc.com/view/fda-grants-fast-track-designation-to-bbo-11818-in-kras-mutant-pdac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https://www.d3bio.com/press-releases/d3-bios-d3s-001-receives-u-s-fda-fast-track-designation-for-the-treatment-of-colorectal-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cancer-with-kras-g12c-mutation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https://cardiffoncology.com/wp-content/uploads/2021/07/Cardiff_Oncology_Investor_Presentation-_July_2021.pdf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https://oncolyticsbiotech.com/press_releases/oncolytics-biotech-receives-fda-fast-track-designation-for-pelareorep-in-2l-kras-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mutant-mss-metastatic-colorectal-cancer/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Slebos et al. K-ras oncogene activation as a prognostic marker in adenocarcinoma of the lung. N. Engl. J. Med. 1990 Aug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30;323(9):561-5. PMID: 2199829</w:t>
            </w:r>
          </w:p>
        </w:tc>
      </w:tr>
    </w:tbl>
    <w:p>
      <w:pPr>
        <w:autoSpaceDN w:val="0"/>
        <w:autoSpaceDE w:val="0"/>
        <w:widowControl/>
        <w:spacing w:line="264" w:lineRule="auto" w:before="82" w:after="0"/>
        <w:ind w:left="10" w:right="0" w:firstLine="0"/>
        <w:jc w:val="left"/>
      </w:pPr>
      <w:r>
        <w:rPr>
          <w:rFonts w:ascii="Roboto" w:hAnsi="Roboto" w:eastAsia="Roboto"/>
          <w:b w:val="0"/>
          <w:i w:val="0"/>
          <w:color w:val="333333"/>
          <w:sz w:val="14"/>
        </w:rPr>
        <w:t xml:space="preserve">Disclaimer: </w:t>
      </w:r>
      <w:r>
        <w:rPr>
          <w:rFonts w:ascii="Roboto" w:hAnsi="Roboto" w:eastAsia="Roboto"/>
          <w:b w:val="0"/>
          <w:i w:val="0"/>
          <w:color w:val="555759"/>
          <w:sz w:val="14"/>
        </w:rPr>
        <w:t>The data presented here are from a curated knowledge base of publicly available information, but may not be exhaustive. The data version is 2026.06(004).</w:t>
      </w:r>
    </w:p>
    <w:p>
      <w:pPr>
        <w:sectPr>
          <w:pgSz w:w="12240" w:h="15840"/>
          <w:pgMar w:top="340" w:right="690" w:bottom="424" w:left="7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13"/>
        <w:gridCol w:w="3613"/>
        <w:gridCol w:w="3613"/>
      </w:tblGrid>
      <w:tr>
        <w:trPr>
          <w:trHeight w:hRule="exact" w:val="264"/>
        </w:trPr>
        <w:tc>
          <w:tcPr>
            <w:tcW w:type="dxa" w:w="495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1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Case Number: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OQG2607020430</w:t>
            </w:r>
          </w:p>
        </w:tc>
        <w:tc>
          <w:tcPr>
            <w:tcW w:type="dxa" w:w="488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496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 xml:space="preserve">Report Date: </w:t>
            </w: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15 Jul 2026</w:t>
            </w:r>
          </w:p>
        </w:tc>
        <w:tc>
          <w:tcPr>
            <w:tcW w:type="dxa" w:w="99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10" w:firstLine="0"/>
              <w:jc w:val="righ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5 of 5</w:t>
            </w:r>
          </w:p>
        </w:tc>
      </w:tr>
    </w:tbl>
    <w:p>
      <w:pPr>
        <w:autoSpaceDN w:val="0"/>
        <w:autoSpaceDE w:val="0"/>
        <w:widowControl/>
        <w:spacing w:line="266" w:lineRule="auto" w:before="220" w:after="138"/>
        <w:ind w:left="10" w:right="0" w:firstLine="0"/>
        <w:jc w:val="left"/>
      </w:pPr>
      <w:r>
        <w:rPr>
          <w:rFonts w:ascii="Roboto" w:hAnsi="Roboto" w:eastAsia="Roboto"/>
          <w:b/>
          <w:i w:val="0"/>
          <w:color w:val="124B82"/>
          <w:sz w:val="26"/>
        </w:rPr>
        <w:t>References (continued)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20"/>
        <w:gridCol w:w="5420"/>
      </w:tblGrid>
      <w:tr>
        <w:trPr>
          <w:trHeight w:hRule="exact" w:val="13076"/>
        </w:trPr>
        <w:tc>
          <w:tcPr>
            <w:tcW w:type="dxa" w:w="33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0" w:right="0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32.</w:t>
            </w:r>
          </w:p>
        </w:tc>
        <w:tc>
          <w:tcPr>
            <w:tcW w:type="dxa" w:w="10490"/>
            <w:tcBorders>
              <w:bottom w:sz="8.0" w:val="single" w:color="#CBCCC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8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333333"/>
                <w:sz w:val="18"/>
              </w:rPr>
              <w:t>NCCN Guidelines® - NCCN-Pediatric Soft Tissue Sarcoma [Version 1.2026]</w:t>
            </w:r>
          </w:p>
        </w:tc>
      </w:tr>
    </w:tbl>
    <w:p>
      <w:pPr>
        <w:autoSpaceDN w:val="0"/>
        <w:autoSpaceDE w:val="0"/>
        <w:widowControl/>
        <w:spacing w:line="264" w:lineRule="auto" w:before="82" w:after="0"/>
        <w:ind w:left="10" w:right="0" w:firstLine="0"/>
        <w:jc w:val="left"/>
      </w:pPr>
      <w:r>
        <w:rPr>
          <w:rFonts w:ascii="Roboto" w:hAnsi="Roboto" w:eastAsia="Roboto"/>
          <w:b w:val="0"/>
          <w:i w:val="0"/>
          <w:color w:val="333333"/>
          <w:sz w:val="14"/>
        </w:rPr>
        <w:t xml:space="preserve">Disclaimer: </w:t>
      </w:r>
      <w:r>
        <w:rPr>
          <w:rFonts w:ascii="Roboto" w:hAnsi="Roboto" w:eastAsia="Roboto"/>
          <w:b w:val="0"/>
          <w:i w:val="0"/>
          <w:color w:val="555759"/>
          <w:sz w:val="14"/>
        </w:rPr>
        <w:t>The data presented here are from a curated knowledge base of publicly available information, but may not be exhaustive. The data version is 2026.06(004).</w:t>
      </w:r>
    </w:p>
    <w:sectPr w:rsidR="00FC693F" w:rsidRPr="0006063C" w:rsidSect="00034616">
      <w:pgSz w:w="12240" w:h="15840"/>
      <w:pgMar w:top="340" w:right="690" w:bottom="424" w:left="7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hyperlink" Target="https://clinicaltrials.gov/study/NCT06947811" TargetMode="External"/><Relationship Id="rId22" Type="http://schemas.openxmlformats.org/officeDocument/2006/relationships/hyperlink" Target="https://clinicaltrials.gov/study/NCT07353645" TargetMode="External"/><Relationship Id="rId23" Type="http://schemas.openxmlformats.org/officeDocument/2006/relationships/hyperlink" Target="https://clinicaltrials.gov/study/NCT05173805" TargetMode="External"/><Relationship Id="rId24" Type="http://schemas.openxmlformats.org/officeDocument/2006/relationships/hyperlink" Target="https://clinicaltrials.gov/study/NCT07455617" TargetMode="External"/><Relationship Id="rId25" Type="http://schemas.openxmlformats.org/officeDocument/2006/relationships/hyperlink" Target="https://clinicaltrials.gov/study/NCT07094204" TargetMode="External"/><Relationship Id="rId26" Type="http://schemas.openxmlformats.org/officeDocument/2006/relationships/hyperlink" Target="https://clinicaltrials.gov/study/NCT06487377" TargetMode="External"/><Relationship Id="rId27" Type="http://schemas.openxmlformats.org/officeDocument/2006/relationships/hyperlink" Target="https://clinicaltrials.gov/study/NCT06478251" TargetMode="External"/><Relationship Id="rId28" Type="http://schemas.openxmlformats.org/officeDocument/2006/relationships/hyperlink" Target="https://clinicaltrials.gov/study/NCT07004244" TargetMode="External"/><Relationship Id="rId29" Type="http://schemas.openxmlformats.org/officeDocument/2006/relationships/hyperlink" Target="https://clinicaltrials.gov/study/NCT07435038" TargetMode="External"/><Relationship Id="rId30" Type="http://schemas.openxmlformats.org/officeDocument/2006/relationships/hyperlink" Target="https://clinicaltrials.gov/study/NCT06895031" TargetMode="External"/><Relationship Id="rId31" Type="http://schemas.openxmlformats.org/officeDocument/2006/relationships/hyperlink" Target="https://clinicaltrials.gov/study/NCT05369312" TargetMode="External"/><Relationship Id="rId32" Type="http://schemas.openxmlformats.org/officeDocument/2006/relationships/hyperlink" Target="https://clinicaltrials.gov/study/NCT06962254" TargetMode="External"/><Relationship Id="rId33" Type="http://schemas.openxmlformats.org/officeDocument/2006/relationships/hyperlink" Target="https://clinicaltrials.gov/study/NCT050044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