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after="80" w:before="160"/>
      </w:pPr>
      <w:r>
        <w:rPr>
          <w:rFonts w:ascii="Cambria" w:hAnsi="Cambria"/>
          <w:b/>
          <w:color w:val="1F497D"/>
          <w:sz w:val="22"/>
        </w:rPr>
        <w:t>Brainseq Genomic Profiling Panel – Advance</w:t>
      </w:r>
    </w:p>
    <w:p>
      <w:pPr>
        <w:keepNext/>
        <w:spacing w:before="160" w:after="40"/>
      </w:pPr>
      <w:r>
        <w:rPr>
          <w:rFonts w:ascii="Cambria" w:hAnsi="Cambria"/>
          <w:b/>
          <w:color w:val="1F497D"/>
          <w:sz w:val="20"/>
        </w:rPr>
        <w:t>On Illumina Novaseq 6000 Platform</w:t>
      </w:r>
    </w:p>
    <w:p>
      <w:pPr>
        <w:spacing w:line="276" w:lineRule="auto" w:after="80"/>
      </w:pPr>
      <w:r>
        <w:rPr>
          <w:rFonts w:ascii="Cambria" w:hAnsi="Cambria"/>
          <w:b/>
          <w:color w:val="1F497D"/>
          <w:sz w:val="20"/>
        </w:rPr>
        <w:t xml:space="preserve">Clinical Indication: </w:t>
      </w:r>
      <w:r>
        <w:rPr>
          <w:rFonts w:ascii="Cambria" w:hAnsi="Cambria"/>
          <w:color w:val="000000"/>
          <w:sz w:val="20"/>
        </w:rPr>
        <w:t>Features are consistent with recurrent astrocytoma, IDH - mutant, CNS WHO grade 4 Block No.: 24-4733-B2</w:t>
      </w:r>
    </w:p>
    <w:p>
      <w:pPr>
        <w:keepNext/>
        <w:spacing w:line="276" w:lineRule="auto" w:after="80" w:before="160"/>
      </w:pPr>
      <w:r>
        <w:rPr>
          <w:rFonts w:ascii="Cambria" w:hAnsi="Cambria"/>
          <w:b/>
          <w:color w:val="1F497D"/>
          <w:sz w:val="22"/>
        </w:rPr>
        <w:t>Positive (Clinically significant Variant detected)</w:t>
      </w:r>
    </w:p>
    <w:p>
      <w:pPr>
        <w:keepNext/>
        <w:spacing w:line="276" w:lineRule="auto" w:after="80" w:before="160"/>
      </w:pPr>
      <w:r>
        <w:rPr>
          <w:rFonts w:ascii="Cambria" w:hAnsi="Cambria"/>
          <w:b/>
          <w:color w:val="1F497D"/>
          <w:sz w:val="22"/>
        </w:rPr>
        <w:t>Report Highlights:</w:t>
      </w:r>
    </w:p>
    <w:tbl>
      <w:tblPr>
        <w:tblW w:type="auto" w:w="0"/>
        <w:jc w:val="center"/>
        <w:tblLayout w:type="fixed"/>
        <w:tblLook w:firstColumn="1" w:firstRow="1" w:lastColumn="0" w:lastRow="0" w:noHBand="0" w:noVBand="1" w:val="04A0"/>
      </w:tblPr>
      <w:tblGrid>
        <w:gridCol w:w="1800"/>
        <w:gridCol w:w="1800"/>
        <w:gridCol w:w="1800"/>
        <w:gridCol w:w="1800"/>
        <w:gridCol w:w="1800"/>
        <w:gridCol w:w="1800"/>
      </w:tblGrid>
      <w:tr>
        <w:trPr>
          <w:tblHeader/>
        </w:trPr>
        <w:tc>
          <w:tcPr>
            <w:tcW w:type="dxa" w:w="1800"/>
            <w:tcW w:w="127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Tier I</w:t>
            </w:r>
          </w:p>
        </w:tc>
        <w:tc>
          <w:tcPr>
            <w:tcW w:type="dxa" w:w="1800"/>
            <w:tcW w:w="1482"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Tier II</w:t>
            </w:r>
          </w:p>
        </w:tc>
        <w:tc>
          <w:tcPr>
            <w:tcW w:type="dxa" w:w="1800"/>
            <w:tcW w:w="1694"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Tier III</w:t>
            </w:r>
          </w:p>
        </w:tc>
        <w:tc>
          <w:tcPr>
            <w:tcW w:type="dxa" w:w="1800"/>
            <w:tcW w:w="127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MSI</w:t>
            </w:r>
          </w:p>
        </w:tc>
        <w:tc>
          <w:tcPr>
            <w:tcW w:type="dxa" w:w="1800"/>
            <w:tcW w:w="1905"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Therapies</w:t>
            </w:r>
          </w:p>
        </w:tc>
        <w:tc>
          <w:tcPr>
            <w:tcW w:type="dxa" w:w="1800"/>
            <w:tcW w:w="3176"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Clinical Trials</w:t>
            </w:r>
          </w:p>
        </w:tc>
      </w:tr>
      <w:tr>
        <w:trPr>
          <w:cantSplit/>
        </w:trPr>
        <w:tc>
          <w:tcPr>
            <w:tcW w:type="dxa" w:w="1800"/>
            <w:tcW w:w="127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2</w:t>
            </w:r>
          </w:p>
        </w:tc>
        <w:tc>
          <w:tcPr>
            <w:tcW w:type="dxa" w:w="1800"/>
            <w:tcW w:w="1482"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0</w:t>
            </w:r>
          </w:p>
        </w:tc>
        <w:tc>
          <w:tcPr>
            <w:tcW w:type="dxa" w:w="1800"/>
            <w:tcW w:w="1694"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0</w:t>
            </w:r>
          </w:p>
        </w:tc>
        <w:tc>
          <w:tcPr>
            <w:tcW w:type="dxa" w:w="1800"/>
            <w:tcW w:w="127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Stable</w:t>
            </w:r>
          </w:p>
        </w:tc>
        <w:tc>
          <w:tcPr>
            <w:tcW w:type="dxa" w:w="1800"/>
            <w:tcW w:w="1905"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2</w:t>
            </w:r>
          </w:p>
        </w:tc>
        <w:tc>
          <w:tcPr>
            <w:tcW w:type="dxa" w:w="1800"/>
            <w:tcW w:w="3176"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18</w:t>
            </w:r>
          </w:p>
        </w:tc>
      </w:tr>
    </w:tbl>
    <w:p>
      <w:pPr>
        <w:keepNext/>
        <w:spacing w:before="160" w:after="40"/>
      </w:pPr>
      <w:r>
        <w:rPr>
          <w:rFonts w:ascii="Cambria" w:hAnsi="Cambria"/>
          <w:b/>
          <w:color w:val="1F497D"/>
          <w:sz w:val="20"/>
        </w:rPr>
        <w:t>Key Findings:</w:t>
      </w:r>
    </w:p>
    <w:p>
      <w:pPr>
        <w:spacing w:line="276" w:lineRule="auto" w:after="80"/>
        <w:ind w:left="360"/>
        <w:jc w:val="both"/>
      </w:pPr>
      <w:r>
        <w:rPr>
          <w:rFonts w:ascii="Cambria" w:hAnsi="Cambria"/>
          <w:color w:val="000000"/>
          <w:sz w:val="20"/>
        </w:rPr>
        <w:t>*Genetic test results are reported based on the recommendations of AMP-ASCO-CAP guidelines. **Public data sources included in relevant targeted therapies, guidelines: EMA, FDA, ESMO, NCCN.</w:t>
      </w:r>
    </w:p>
    <w:tbl>
      <w:tblPr>
        <w:tblW w:type="auto" w:w="0"/>
        <w:jc w:val="center"/>
        <w:tblLayout w:type="fixed"/>
        <w:tblLook w:firstColumn="1" w:firstRow="1" w:lastColumn="0" w:lastRow="0" w:noHBand="0" w:noVBand="1" w:val="04A0"/>
      </w:tblPr>
      <w:tblGrid>
        <w:gridCol w:w="2160"/>
        <w:gridCol w:w="2160"/>
        <w:gridCol w:w="2160"/>
        <w:gridCol w:w="2160"/>
        <w:gridCol w:w="2160"/>
      </w:tblGrid>
      <w:tr>
        <w:trPr>
          <w:tblHeader/>
        </w:trPr>
        <w:tc>
          <w:tcPr>
            <w:tcW w:type="dxa" w:w="2160"/>
            <w:tcW w:w="8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Tier</w:t>
            </w:r>
          </w:p>
        </w:tc>
        <w:tc>
          <w:tcPr>
            <w:tcW w:type="dxa" w:w="2160"/>
            <w:tcW w:w="2858"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Gene &amp; Transcript</w:t>
            </w:r>
          </w:p>
        </w:tc>
        <w:tc>
          <w:tcPr>
            <w:tcW w:type="dxa" w:w="2160"/>
            <w:tcW w:w="4605"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Variant</w:t>
            </w:r>
          </w:p>
        </w:tc>
        <w:tc>
          <w:tcPr>
            <w:tcW w:type="dxa" w:w="2160"/>
            <w:tcW w:w="8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Exon</w:t>
            </w:r>
          </w:p>
        </w:tc>
        <w:tc>
          <w:tcPr>
            <w:tcW w:type="dxa" w:w="2160"/>
            <w:tcW w:w="2064"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Coverage/VAF</w:t>
            </w:r>
          </w:p>
        </w:tc>
      </w:tr>
      <w:tr>
        <w:trPr>
          <w:cantSplit/>
        </w:trPr>
        <w:tc>
          <w:tcPr>
            <w:tcW w:type="dxa" w:w="2160"/>
            <w:tcW w:w="8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IA</w:t>
            </w:r>
          </w:p>
        </w:tc>
        <w:tc>
          <w:tcPr>
            <w:tcW w:type="dxa" w:w="2160"/>
            <w:tcW w:w="285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IDH1 NM 005896.4 _</w:t>
            </w:r>
          </w:p>
        </w:tc>
        <w:tc>
          <w:tcPr>
            <w:tcW w:type="dxa" w:w="2160"/>
            <w:tcW w:w="4605"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c.395G&gt;A p.(R132H)</w:t>
            </w:r>
          </w:p>
        </w:tc>
        <w:tc>
          <w:tcPr>
            <w:tcW w:type="dxa" w:w="2160"/>
            <w:tcW w:w="8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4</w:t>
            </w:r>
          </w:p>
        </w:tc>
        <w:tc>
          <w:tcPr>
            <w:tcW w:type="dxa" w:w="2160"/>
            <w:tcW w:w="2064"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890x / 47.19%</w:t>
            </w:r>
          </w:p>
        </w:tc>
      </w:tr>
      <w:tr>
        <w:trPr>
          <w:cantSplit/>
        </w:trPr>
        <w:tc>
          <w:tcPr>
            <w:tcW w:type="dxa" w:w="2160"/>
            <w:tcW w:w="8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IA</w:t>
            </w:r>
          </w:p>
        </w:tc>
        <w:tc>
          <w:tcPr>
            <w:tcW w:type="dxa" w:w="2160"/>
            <w:tcW w:w="285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TERT NM 198253.3 _</w:t>
            </w:r>
          </w:p>
        </w:tc>
        <w:tc>
          <w:tcPr>
            <w:tcW w:type="dxa" w:w="2160"/>
            <w:tcW w:w="4605"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c.-124C&gt;T (Upstream Mutation)</w:t>
            </w:r>
          </w:p>
        </w:tc>
        <w:tc>
          <w:tcPr>
            <w:tcW w:type="dxa" w:w="2160"/>
            <w:tcW w:w="8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w:t>
            </w:r>
          </w:p>
        </w:tc>
        <w:tc>
          <w:tcPr>
            <w:tcW w:type="dxa" w:w="2160"/>
            <w:tcW w:w="2064"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410x / 36.36%</w:t>
            </w:r>
          </w:p>
        </w:tc>
      </w:tr>
    </w:tbl>
    <w:p>
      <w:r>
        <w:br w:type="page"/>
      </w:r>
    </w:p>
    <w:p>
      <w:pPr>
        <w:keepNext/>
        <w:spacing w:line="276" w:lineRule="auto" w:after="80" w:before="160"/>
      </w:pPr>
      <w:r>
        <w:rPr>
          <w:rFonts w:ascii="Cambria" w:hAnsi="Cambria"/>
          <w:b/>
          <w:color w:val="1F497D"/>
          <w:sz w:val="22"/>
        </w:rPr>
        <w:t>Biomarkers Results:</w:t>
      </w:r>
    </w:p>
    <w:tbl>
      <w:tblPr>
        <w:tblW w:type="auto" w:w="0"/>
        <w:jc w:val="center"/>
        <w:tblLayout w:type="fixed"/>
        <w:tblLook w:firstColumn="1" w:firstRow="1" w:lastColumn="0" w:lastRow="0" w:noHBand="0" w:noVBand="1" w:val="04A0"/>
      </w:tblPr>
      <w:tblGrid>
        <w:gridCol w:w="3600"/>
        <w:gridCol w:w="3600"/>
        <w:gridCol w:w="3600"/>
      </w:tblGrid>
      <w:tr>
        <w:trPr>
          <w:tblHeader/>
        </w:trPr>
        <w:tc>
          <w:tcPr>
            <w:tcW w:type="dxa" w:w="3600"/>
            <w:tcW w:w="2229"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Assay Biomarker</w:t>
            </w:r>
          </w:p>
        </w:tc>
        <w:tc>
          <w:tcPr>
            <w:tcW w:type="dxa" w:w="3600"/>
            <w:tcW w:w="8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Result</w:t>
            </w:r>
          </w:p>
        </w:tc>
        <w:tc>
          <w:tcPr>
            <w:tcW w:type="dxa" w:w="3600"/>
            <w:tcW w:w="8012"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Interpretation</w:t>
            </w:r>
          </w:p>
        </w:tc>
      </w:tr>
      <w:tr>
        <w:trPr>
          <w:cantSplit/>
        </w:trPr>
        <w:tc>
          <w:tcPr>
            <w:tcW w:type="dxa" w:w="3600"/>
            <w:tcW w:w="2229"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Microsatellite Instability (MSI)</w:t>
            </w:r>
          </w:p>
        </w:tc>
        <w:tc>
          <w:tcPr>
            <w:tcW w:type="dxa" w:w="3600"/>
            <w:tcW w:w="8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Stable</w:t>
            </w:r>
          </w:p>
        </w:tc>
        <w:tc>
          <w:tcPr>
            <w:tcW w:type="dxa" w:w="3600"/>
            <w:tcW w:w="8012"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Stable Microsatellite detected</w:t>
            </w:r>
          </w:p>
        </w:tc>
      </w:tr>
      <w:tr>
        <w:trPr>
          <w:cantSplit/>
        </w:trPr>
        <w:tc>
          <w:tcPr>
            <w:tcW w:type="dxa" w:w="3600"/>
            <w:tcW w:w="2229"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MGMT Methylation Status</w:t>
            </w:r>
          </w:p>
        </w:tc>
        <w:tc>
          <w:tcPr>
            <w:tcW w:type="dxa" w:w="3600"/>
            <w:tcW w:w="8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Positive</w:t>
            </w:r>
          </w:p>
        </w:tc>
        <w:tc>
          <w:tcPr>
            <w:tcW w:type="dxa" w:w="3600"/>
            <w:tcW w:w="8012"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MGMT Methylation and TERT C228T, IDH1 R132H Mutation Detected</w:t>
            </w:r>
          </w:p>
        </w:tc>
      </w:tr>
      <w:tr>
        <w:trPr>
          <w:cantSplit/>
        </w:trPr>
        <w:tc>
          <w:tcPr>
            <w:tcW w:type="dxa" w:w="3600"/>
            <w:tcW w:w="2229"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FISH 1p19q Co-Deletion</w:t>
            </w:r>
          </w:p>
        </w:tc>
        <w:tc>
          <w:tcPr>
            <w:tcW w:type="dxa" w:w="3600"/>
            <w:tcW w:w="8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Positive</w:t>
            </w:r>
          </w:p>
        </w:tc>
        <w:tc>
          <w:tcPr>
            <w:tcW w:type="dxa" w:w="3600"/>
            <w:tcW w:w="8012"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nuc ish(1p36×1,1q25×2)[45] / nuc ish(1p36×2,1q25×2)[05] nuc ish(19q13×1,19p13×2)[48] / nuc ish(19q13×2,19p13×2)[03]</w:t>
            </w:r>
          </w:p>
        </w:tc>
      </w:tr>
    </w:tbl>
    <w:p>
      <w:pPr>
        <w:keepNext/>
        <w:spacing w:line="276" w:lineRule="auto" w:after="80" w:before="160"/>
      </w:pPr>
      <w:r>
        <w:rPr>
          <w:rFonts w:ascii="Cambria" w:hAnsi="Cambria"/>
          <w:b/>
          <w:color w:val="1F497D"/>
          <w:sz w:val="22"/>
        </w:rPr>
        <w:t>MLPA Findings:</w:t>
      </w:r>
    </w:p>
    <w:p>
      <w:pPr>
        <w:keepNext/>
        <w:spacing w:line="276" w:lineRule="auto" w:after="80" w:before="160"/>
      </w:pPr>
      <w:r>
        <w:rPr>
          <w:rFonts w:ascii="Cambria" w:hAnsi="Cambria"/>
          <w:b/>
          <w:color w:val="1F497D"/>
          <w:sz w:val="22"/>
        </w:rPr>
        <w:t>Data from Clinical Sample</w:t>
      </w:r>
    </w:p>
    <w:p>
      <w:r>
        <w:br w:type="page"/>
      </w:r>
    </w:p>
    <w:p>
      <w:pPr>
        <w:keepNext/>
        <w:spacing w:line="276" w:lineRule="auto" w:after="80" w:before="160"/>
      </w:pPr>
      <w:r>
        <w:rPr>
          <w:rFonts w:ascii="Cambria" w:hAnsi="Cambria"/>
          <w:b/>
          <w:color w:val="1F497D"/>
          <w:sz w:val="22"/>
        </w:rPr>
        <w:t>FISH Findings:</w:t>
      </w:r>
    </w:p>
    <w:p>
      <w:pPr>
        <w:keepNext/>
        <w:spacing w:line="276" w:lineRule="auto" w:after="80" w:before="160"/>
      </w:pPr>
      <w:r>
        <w:rPr>
          <w:rFonts w:ascii="Cambria" w:hAnsi="Cambria"/>
          <w:b/>
          <w:color w:val="1F497D"/>
          <w:sz w:val="22"/>
        </w:rPr>
        <w:t>Data from Clinical Sample</w:t>
      </w:r>
    </w:p>
    <w:p>
      <w:pPr>
        <w:jc w:val="center"/>
      </w:pPr>
      <w:r>
        <w:drawing>
          <wp:inline xmlns:a="http://schemas.openxmlformats.org/drawingml/2006/main" xmlns:pic="http://schemas.openxmlformats.org/drawingml/2006/picture">
            <wp:extent cx="4114800" cy="2265994"/>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2265994"/>
                    </a:xfrm>
                    <a:prstGeom prst="rect"/>
                  </pic:spPr>
                </pic:pic>
              </a:graphicData>
            </a:graphic>
          </wp:inline>
        </w:drawing>
      </w:r>
    </w:p>
    <w:p>
      <w:pPr>
        <w:keepNext/>
        <w:spacing w:line="276" w:lineRule="auto" w:after="80" w:before="160"/>
      </w:pPr>
      <w:r>
        <w:rPr>
          <w:rFonts w:ascii="Cambria" w:hAnsi="Cambria"/>
          <w:b/>
          <w:color w:val="1F497D"/>
          <w:sz w:val="22"/>
        </w:rPr>
        <w:t>Clinical Significance:</w:t>
      </w:r>
    </w:p>
    <w:p>
      <w:pPr>
        <w:keepNext/>
        <w:spacing w:line="276" w:lineRule="auto" w:after="80" w:before="160"/>
      </w:pPr>
      <w:r>
        <w:rPr>
          <w:rFonts w:ascii="Cambria" w:hAnsi="Cambria"/>
          <w:b/>
          <w:color w:val="1F497D"/>
          <w:sz w:val="22"/>
        </w:rPr>
        <w:t>Variant Therapy</w:t>
      </w:r>
    </w:p>
    <w:p>
      <w:pPr>
        <w:keepNext/>
        <w:spacing w:line="276" w:lineRule="auto" w:after="80" w:before="160"/>
      </w:pPr>
      <w:r>
        <w:rPr>
          <w:rFonts w:ascii="Cambria" w:hAnsi="Cambria"/>
          <w:b/>
          <w:color w:val="1F497D"/>
          <w:sz w:val="22"/>
        </w:rPr>
        <w:t>In This Cancer In Other Cancer</w:t>
      </w:r>
    </w:p>
    <w:p>
      <w:r>
        <w:br w:type="page"/>
      </w:r>
    </w:p>
    <w:p>
      <w:pPr>
        <w:keepNext/>
        <w:spacing w:line="276" w:lineRule="auto" w:after="80" w:before="160"/>
      </w:pPr>
      <w:r>
        <w:rPr>
          <w:rFonts w:ascii="Cambria" w:hAnsi="Cambria"/>
          <w:b/>
          <w:color w:val="1F497D"/>
          <w:sz w:val="22"/>
        </w:rPr>
        <w:t>Biomarker Description:</w:t>
      </w:r>
    </w:p>
    <w:p>
      <w:pPr>
        <w:keepNext/>
        <w:spacing w:before="160" w:after="40"/>
      </w:pPr>
      <w:r>
        <w:rPr>
          <w:rFonts w:ascii="Cambria" w:hAnsi="Cambria"/>
          <w:b/>
          <w:color w:val="1F497D"/>
          <w:sz w:val="20"/>
        </w:rPr>
        <w:t>Variant Biomarker Description</w:t>
      </w:r>
    </w:p>
    <w:p>
      <w:pPr>
        <w:spacing w:line="276" w:lineRule="auto" w:after="80"/>
      </w:pPr>
      <w:r>
        <w:rPr>
          <w:rFonts w:ascii="Cambria" w:hAnsi="Cambria"/>
          <w:color w:val="000000"/>
          <w:sz w:val="20"/>
        </w:rPr>
        <w:t>IDH1 NM_005896.4 chr2:209113112 c.395G&gt;A p.(R132H)</w:t>
      </w:r>
    </w:p>
    <w:p>
      <w:pPr>
        <w:spacing w:line="276" w:lineRule="auto" w:after="80"/>
        <w:jc w:val="both"/>
      </w:pPr>
      <w:r>
        <w:rPr>
          <w:rFonts w:ascii="Cambria" w:hAnsi="Cambria"/>
          <w:color w:val="000000"/>
          <w:sz w:val="20"/>
        </w:rPr>
        <w:t>The IDH1 and IDH2 genes encode homologous isocitrate dehydrogenase enzymes that catalyze the conversion of isocitrate to α-ketoglutarate (α-KG)[1]. The IDH1 gene encodes the NADP+ dependent cytoplasmic isocitrate dehydrogenase enzyme; IDH2 encodes the mitochondrial isoform[1]. Recurrent somatic mutations in IDH1 and IDH2 are mutually exclusive and observed in several malignancies, including glioma, chondrosarcoma, intrahepatic cholangiocarcinoma, acute myeloid leukemia (AML), and myelodysplastic syndrome (MDS)[2]. Recurrent IDH1 variants include predominantly R132H/C plus other substitutions at lower frequencies[3]. These gain-of-function variants confer neomorphic enzyme activity[4]. Although wild-type enzymatic activity is ablated, recurrent IDH1 variants catalyze the conversion of α-KG to D-2-hydroxyglutarate, an oncometabolite with diverse effects on cellular metabolism, epigenetic regulation, redox states, and DNA repair[1,5]. Recurrent IDH1 mutations are present in 5-10% of patients with AML and 5% of patients with MDS[6,7,8]. Recurrent IDH1 mutations are present in nearly 80% of lower-grade diffuse gliomas[9,10]. Alterations in IDH1 are rare in pediatric cancers[9,10]. Somatic mutations in IDH1 are observed in 2% of glioma and less than 1% of leukemia (2 in 311 cases), B-lymphoblastic leukemia/lymphoma (1 in 252 cases), embryonal tumor (1 in 332 cases), and Wilms tumor (1 in 710 cases)[9,10]. The IDH1 and IDH2 inhibitor vorasidenib[11] is FDA-approved (2024) for the treatment of adults and children with Grade 2 astrocytoma and oligodendroglioma with IDH1 R132C/G/H/L/S mutations. Additionally, olutasidenib[12] (2022) and ivosidenib[13] (2018) are FDA-approved for treating IDH1 R132C/G/H/L/S variants in AML. Ivosidenib is also approved for treating myelodysplastic syndrome (MDS) and cholangiocarcinoma patients with the same IDH1 variants[14]. IDH1 mutations are associated with favorable outcome in lower-grade gliomas, astrocytoma, and oligodendroglioma with 1p/19 codeletion[15,16,17]. Conversely, IDH1 mutations are associated with inferior leukemia-free survival in primary myelofibrosis (PMF)[18,19]. Mutations in IDH1 are diagnostic of IDH-mutated astrocytoma and oligodendroglioma with 1p/19q- codeletion subtypes of central nervous system (CNS) tumors[15,20].</w:t>
      </w:r>
    </w:p>
    <w:p>
      <w:pPr>
        <w:spacing w:line="276" w:lineRule="auto" w:after="80"/>
        <w:jc w:val="both"/>
      </w:pPr>
      <w:r>
        <w:rPr>
          <w:rFonts w:ascii="Cambria" w:hAnsi="Cambria"/>
          <w:color w:val="000000"/>
          <w:sz w:val="20"/>
        </w:rPr>
        <w:t>ivosidenib TIBSOVO® is an isocitrate dehydrogenase-1 (IDH1) inhibitor indicated for the treatment of adult patients with a susceptible IDH1 mutation as detected by an FDA-approved test with:</w:t>
      </w:r>
    </w:p>
    <w:p>
      <w:pPr>
        <w:spacing w:line="276" w:lineRule="auto" w:after="80"/>
      </w:pPr>
      <w:r>
        <w:rPr>
          <w:rFonts w:ascii="Cambria" w:hAnsi="Cambria"/>
          <w:color w:val="000000"/>
          <w:sz w:val="20"/>
        </w:rPr>
        <w:t>Newly Diagnosed Acute Myeloid Leukemia (AML)</w:t>
      </w:r>
    </w:p>
    <w:p>
      <w:r>
        <w:br w:type="page"/>
      </w:r>
    </w:p>
    <w:p>
      <w:pPr>
        <w:spacing w:line="276" w:lineRule="auto" w:after="80"/>
      </w:pPr>
      <w:r>
        <w:rPr>
          <w:rFonts w:ascii="Cambria" w:hAnsi="Cambria"/>
          <w:color w:val="000000"/>
          <w:sz w:val="20"/>
        </w:rPr>
        <w:t>chemotherapy.</w:t>
      </w:r>
    </w:p>
    <w:p>
      <w:pPr>
        <w:spacing w:line="276" w:lineRule="auto" w:after="80"/>
      </w:pPr>
      <w:r>
        <w:rPr>
          <w:rFonts w:ascii="Cambria" w:hAnsi="Cambria"/>
          <w:color w:val="000000"/>
          <w:sz w:val="20"/>
        </w:rPr>
        <w:t>Relapsed or refractory AML</w:t>
      </w:r>
    </w:p>
    <w:p>
      <w:pPr>
        <w:spacing w:line="276" w:lineRule="auto" w:after="80"/>
        <w:ind w:left="360"/>
        <w:jc w:val="both"/>
      </w:pPr>
      <w:r>
        <w:rPr>
          <w:rFonts w:ascii="Cambria" w:hAnsi="Cambria"/>
          <w:color w:val="000000"/>
          <w:sz w:val="20"/>
        </w:rPr>
        <w:t>• For the treatment of adult patients with relapsed or refractory AML.</w:t>
      </w:r>
    </w:p>
    <w:p>
      <w:pPr>
        <w:spacing w:line="276" w:lineRule="auto" w:after="80"/>
      </w:pPr>
      <w:r>
        <w:rPr>
          <w:rFonts w:ascii="Cambria" w:hAnsi="Cambria"/>
          <w:color w:val="000000"/>
          <w:sz w:val="20"/>
        </w:rPr>
        <w:t>Relapsed or refractory Myelodysplastic Syndromes (MDS)</w:t>
      </w:r>
    </w:p>
    <w:p>
      <w:pPr>
        <w:spacing w:line="276" w:lineRule="auto" w:after="80"/>
        <w:ind w:left="360"/>
        <w:jc w:val="both"/>
      </w:pPr>
      <w:r>
        <w:rPr>
          <w:rFonts w:ascii="Cambria" w:hAnsi="Cambria"/>
          <w:color w:val="000000"/>
          <w:sz w:val="20"/>
        </w:rPr>
        <w:t>• For the treatment of adult patients with relapsed or refractory myelodysplastic syndromes.</w:t>
      </w:r>
    </w:p>
    <w:p>
      <w:pPr>
        <w:spacing w:line="276" w:lineRule="auto" w:after="80"/>
      </w:pPr>
      <w:r>
        <w:rPr>
          <w:rFonts w:ascii="Cambria" w:hAnsi="Cambria"/>
          <w:color w:val="000000"/>
          <w:sz w:val="20"/>
        </w:rPr>
        <w:t>Locally Advanced or Metastatic Cholangiocarcinoma</w:t>
      </w:r>
    </w:p>
    <w:p>
      <w:pPr>
        <w:spacing w:line="276" w:lineRule="auto" w:after="80"/>
        <w:ind w:left="360"/>
        <w:jc w:val="both"/>
      </w:pPr>
      <w:r>
        <w:rPr>
          <w:rFonts w:ascii="Cambria" w:hAnsi="Cambria"/>
          <w:color w:val="000000"/>
          <w:sz w:val="20"/>
        </w:rPr>
        <w:t>• For the treatment of adult patients with locally advanced or metastatic cholangiocarcinoma who have been previously treated. Cancer type: Cholangiocarcinoma</w:t>
      </w:r>
    </w:p>
    <w:p>
      <w:pPr>
        <w:spacing w:line="276" w:lineRule="auto" w:after="80"/>
      </w:pPr>
      <w:r>
        <w:rPr>
          <w:rFonts w:ascii="Cambria" w:hAnsi="Cambria"/>
          <w:color w:val="000000"/>
          <w:sz w:val="20"/>
        </w:rPr>
        <w:t>TERT NM_198253.3 chr5:1295228 c.-124C&gt;T (Upstream Mutation)</w:t>
      </w:r>
    </w:p>
    <w:p>
      <w:pPr>
        <w:spacing w:line="276" w:lineRule="auto" w:after="80"/>
        <w:jc w:val="both"/>
      </w:pPr>
      <w:r>
        <w:rPr>
          <w:rFonts w:ascii="Cambria" w:hAnsi="Cambria"/>
          <w:color w:val="000000"/>
          <w:sz w:val="20"/>
        </w:rPr>
        <w:t>The TERT gene encodes telomerase reverse transcriptase, a component of the telomerase core enzyme along with the internal telomerase RNA template (TERC)[21]. TERT is repressed in most differentiated cells, resulting in telomerase silencing[21]. In cancer, telomerase reactivation is known to contribute to cellular immortalization[21,22]. Increased TERT expression results in telomerase activation, allowing for unlimited cancer cell proliferation through telomere stabilization[21]. In addition to its role in telomere maintenance, TERT has RNA-dependent RNA polymerase activity, which, when deregulated, can promote oncogenesis by facilitating mitotic progression and cancer cell stemness[21].</w:t>
      </w:r>
    </w:p>
    <w:p>
      <w:r>
        <w:br w:type="page"/>
      </w:r>
    </w:p>
    <w:p>
      <w:pPr>
        <w:spacing w:line="276" w:lineRule="auto" w:after="80"/>
        <w:jc w:val="both"/>
      </w:pPr>
      <w:r>
        <w:rPr>
          <w:rFonts w:ascii="Cambria" w:hAnsi="Cambria"/>
          <w:color w:val="000000"/>
          <w:sz w:val="20"/>
        </w:rPr>
        <w:t>system cancers (2 in 91 cases), leukemia (2 in 250 cases), and B-lymphoblastic leukemia/lymphoma (5 in 731 cases)[9,10].</w:t>
      </w:r>
    </w:p>
    <w:p>
      <w:pPr>
        <w:spacing w:line="276" w:lineRule="auto" w:after="80"/>
        <w:jc w:val="both"/>
      </w:pPr>
      <w:r>
        <w:rPr>
          <w:rFonts w:ascii="Cambria" w:hAnsi="Cambria"/>
          <w:color w:val="000000"/>
          <w:sz w:val="20"/>
        </w:rPr>
        <w:t>Potential relevance Currently, no therapies are approved for TERT aberrations. TERT promoter mutations are diagnostic of oligodendroglioma IDH-mutant with 1p/19q co-deletion, while the absence of promoter mutations combined with an IDH mutation is characteristic of astrocytoma[15,24]. Due to its immunogenicity and near-universal expression on cancer cells, TERT has been a focus of immunotherapy research, including peptide, dendritic, and DNA vaccines as well as T-cell therapy[23].</w:t>
      </w:r>
    </w:p>
    <w:p>
      <w:pPr>
        <w:keepNext/>
        <w:spacing w:line="276" w:lineRule="auto" w:after="80" w:before="160"/>
      </w:pPr>
      <w:r>
        <w:rPr>
          <w:rFonts w:ascii="Cambria" w:hAnsi="Cambria"/>
          <w:b/>
          <w:color w:val="1F497D"/>
          <w:sz w:val="22"/>
        </w:rPr>
        <w:t>Therapy &amp; Clinical Trials:</w:t>
      </w:r>
    </w:p>
    <w:p>
      <w:pPr>
        <w:keepNext/>
        <w:spacing w:line="276" w:lineRule="auto" w:after="80" w:before="160"/>
      </w:pPr>
      <w:r>
        <w:rPr>
          <w:rFonts w:ascii="Cambria" w:hAnsi="Cambria"/>
          <w:b/>
          <w:color w:val="1F497D"/>
          <w:sz w:val="22"/>
        </w:rPr>
        <w:t>IDH1 p.(R132H) c.395G&gt;A</w:t>
      </w:r>
    </w:p>
    <w:p>
      <w:pPr>
        <w:keepNext/>
        <w:spacing w:line="276" w:lineRule="auto" w:after="80" w:before="160"/>
      </w:pPr>
      <w:r>
        <w:rPr>
          <w:rFonts w:ascii="Cambria" w:hAnsi="Cambria"/>
          <w:b/>
          <w:color w:val="1F497D"/>
          <w:sz w:val="22"/>
        </w:rPr>
        <w:t>Therapy FDA NCCN EMA ESMO Trials</w:t>
      </w:r>
    </w:p>
    <w:p>
      <w:pPr>
        <w:keepNext/>
        <w:spacing w:line="276" w:lineRule="auto" w:after="80" w:before="160"/>
      </w:pPr>
      <w:r>
        <w:rPr>
          <w:rFonts w:ascii="Cambria" w:hAnsi="Cambria"/>
          <w:b/>
          <w:color w:val="1F497D"/>
          <w:sz w:val="22"/>
        </w:rPr>
        <w:t>ivosidenib ✓ ✓ ✓ ✓ ✓</w:t>
      </w:r>
    </w:p>
    <w:p>
      <w:pPr>
        <w:keepNext/>
        <w:spacing w:line="276" w:lineRule="auto" w:after="80" w:before="160"/>
      </w:pPr>
      <w:r>
        <w:rPr>
          <w:rFonts w:ascii="Cambria" w:hAnsi="Cambria"/>
          <w:b/>
          <w:color w:val="1F497D"/>
          <w:sz w:val="22"/>
        </w:rPr>
        <w:t>vorasidenib ✓ ✓ ✓ X X</w:t>
      </w:r>
    </w:p>
    <w:p>
      <w:pPr>
        <w:keepNext/>
        <w:spacing w:line="276" w:lineRule="auto" w:after="80" w:before="160"/>
      </w:pPr>
      <w:r>
        <w:rPr>
          <w:rFonts w:ascii="Cambria" w:hAnsi="Cambria"/>
          <w:b/>
          <w:color w:val="1F497D"/>
          <w:sz w:val="22"/>
        </w:rPr>
        <w:t>olaparib, durvalumab X X X X II</w:t>
      </w:r>
    </w:p>
    <w:p>
      <w:pPr>
        <w:keepNext/>
        <w:spacing w:line="276" w:lineRule="auto" w:after="80" w:before="160"/>
      </w:pPr>
      <w:r>
        <w:rPr>
          <w:rFonts w:ascii="Cambria" w:hAnsi="Cambria"/>
          <w:b/>
          <w:color w:val="1F497D"/>
          <w:sz w:val="22"/>
        </w:rPr>
        <w:t>olutasidenib, chemotherapy X X X X II</w:t>
      </w:r>
    </w:p>
    <w:p>
      <w:pPr>
        <w:keepNext/>
        <w:spacing w:line="276" w:lineRule="auto" w:after="80" w:before="160"/>
      </w:pPr>
      <w:r>
        <w:rPr>
          <w:rFonts w:ascii="Cambria" w:hAnsi="Cambria"/>
          <w:b/>
          <w:color w:val="1F497D"/>
          <w:sz w:val="22"/>
        </w:rPr>
        <w:t>supplement, retifanlimab X X X X II</w:t>
      </w:r>
    </w:p>
    <w:p>
      <w:pPr>
        <w:keepNext/>
        <w:spacing w:line="276" w:lineRule="auto" w:after="80" w:before="160"/>
      </w:pPr>
      <w:r>
        <w:rPr>
          <w:rFonts w:ascii="Cambria" w:hAnsi="Cambria"/>
          <w:b/>
          <w:color w:val="1F497D"/>
          <w:sz w:val="22"/>
        </w:rPr>
        <w:t>talazoparib X X X X II</w:t>
      </w:r>
    </w:p>
    <w:p>
      <w:pPr>
        <w:keepNext/>
        <w:spacing w:line="276" w:lineRule="auto" w:after="80" w:before="160"/>
      </w:pPr>
      <w:r>
        <w:rPr>
          <w:rFonts w:ascii="Cambria" w:hAnsi="Cambria"/>
          <w:b/>
          <w:color w:val="1F497D"/>
          <w:sz w:val="22"/>
        </w:rPr>
        <w:t>avutometinib, defactinib X X X X I/II</w:t>
      </w:r>
    </w:p>
    <w:p>
      <w:pPr>
        <w:keepNext/>
        <w:spacing w:line="276" w:lineRule="auto" w:after="80" w:before="160"/>
      </w:pPr>
      <w:r>
        <w:rPr>
          <w:rFonts w:ascii="Cambria" w:hAnsi="Cambria"/>
          <w:b/>
          <w:color w:val="1F497D"/>
          <w:sz w:val="22"/>
        </w:rPr>
        <w:t>AZD-9574, chemotherapy X X X X I/II</w:t>
      </w:r>
    </w:p>
    <w:p>
      <w:pPr>
        <w:keepNext/>
        <w:spacing w:line="276" w:lineRule="auto" w:after="80" w:before="160"/>
      </w:pPr>
      <w:r>
        <w:rPr>
          <w:rFonts w:ascii="Cambria" w:hAnsi="Cambria"/>
          <w:b/>
          <w:color w:val="1F497D"/>
          <w:sz w:val="22"/>
        </w:rPr>
        <w:t>NEO-212 X X X X I/II</w:t>
      </w:r>
    </w:p>
    <w:p>
      <w:pPr>
        <w:keepNext/>
        <w:spacing w:line="276" w:lineRule="auto" w:after="80" w:before="160"/>
      </w:pPr>
      <w:r>
        <w:rPr>
          <w:rFonts w:ascii="Cambria" w:hAnsi="Cambria"/>
          <w:b/>
          <w:color w:val="1F497D"/>
          <w:sz w:val="22"/>
        </w:rPr>
        <w:t>ribociclib, chemotherapy X X X X I/II</w:t>
      </w:r>
    </w:p>
    <w:p>
      <w:pPr>
        <w:keepNext/>
        <w:spacing w:line="276" w:lineRule="auto" w:after="80" w:before="160"/>
      </w:pPr>
      <w:r>
        <w:rPr>
          <w:rFonts w:ascii="Cambria" w:hAnsi="Cambria"/>
          <w:b/>
          <w:color w:val="1F497D"/>
          <w:sz w:val="22"/>
        </w:rPr>
        <w:t>vorasidenib, chemotherapy X X X X I/II</w:t>
      </w:r>
    </w:p>
    <w:p>
      <w:pPr>
        <w:keepNext/>
        <w:spacing w:line="276" w:lineRule="auto" w:after="80" w:before="160"/>
      </w:pPr>
      <w:r>
        <w:rPr>
          <w:rFonts w:ascii="Cambria" w:hAnsi="Cambria"/>
          <w:b/>
          <w:color w:val="1F497D"/>
          <w:sz w:val="22"/>
        </w:rPr>
        <w:t>zotiraciclib X X X X I/II</w:t>
      </w:r>
    </w:p>
    <w:p>
      <w:r>
        <w:br w:type="page"/>
      </w:r>
    </w:p>
    <w:p>
      <w:pPr>
        <w:keepNext/>
        <w:spacing w:line="276" w:lineRule="auto" w:after="80" w:before="160"/>
      </w:pPr>
      <w:r>
        <w:rPr>
          <w:rFonts w:ascii="Cambria" w:hAnsi="Cambria"/>
          <w:b/>
          <w:color w:val="1F497D"/>
          <w:sz w:val="22"/>
        </w:rPr>
        <w:t>amivantamab X X X X I</w:t>
      </w:r>
    </w:p>
    <w:p>
      <w:pPr>
        <w:keepNext/>
        <w:spacing w:line="276" w:lineRule="auto" w:after="80" w:before="160"/>
      </w:pPr>
      <w:r>
        <w:rPr>
          <w:rFonts w:ascii="Cambria" w:hAnsi="Cambria"/>
          <w:b/>
          <w:color w:val="1F497D"/>
          <w:sz w:val="22"/>
        </w:rPr>
        <w:t>ASKC-202 X X X X I</w:t>
      </w:r>
    </w:p>
    <w:p>
      <w:pPr>
        <w:keepNext/>
        <w:spacing w:line="276" w:lineRule="auto" w:after="80" w:before="160"/>
      </w:pPr>
      <w:r>
        <w:rPr>
          <w:rFonts w:ascii="Cambria" w:hAnsi="Cambria"/>
          <w:b/>
          <w:color w:val="1F497D"/>
          <w:sz w:val="22"/>
        </w:rPr>
        <w:t>chemotherapy, pamiparib X X X X I</w:t>
      </w:r>
    </w:p>
    <w:p>
      <w:pPr>
        <w:keepNext/>
        <w:spacing w:line="276" w:lineRule="auto" w:after="80" w:before="160"/>
      </w:pPr>
      <w:r>
        <w:rPr>
          <w:rFonts w:ascii="Cambria" w:hAnsi="Cambria"/>
          <w:b/>
          <w:color w:val="1F497D"/>
          <w:sz w:val="22"/>
        </w:rPr>
        <w:t>MT-001 (Meton Pharmaceuticals) X X X X I</w:t>
      </w:r>
    </w:p>
    <w:p>
      <w:pPr>
        <w:keepNext/>
        <w:spacing w:line="276" w:lineRule="auto" w:after="80" w:before="160"/>
      </w:pPr>
      <w:r>
        <w:rPr>
          <w:rFonts w:ascii="Cambria" w:hAnsi="Cambria"/>
          <w:b/>
          <w:color w:val="1F497D"/>
          <w:sz w:val="22"/>
        </w:rPr>
        <w:t>MVR-C5252 X X X X I</w:t>
      </w:r>
    </w:p>
    <w:p>
      <w:pPr>
        <w:keepNext/>
        <w:spacing w:line="276" w:lineRule="auto" w:after="80" w:before="160"/>
      </w:pPr>
      <w:r>
        <w:rPr>
          <w:rFonts w:ascii="Cambria" w:hAnsi="Cambria"/>
          <w:b/>
          <w:color w:val="1F497D"/>
          <w:sz w:val="22"/>
        </w:rPr>
        <w:t>tasadenoturev X X X X I</w:t>
      </w:r>
    </w:p>
    <w:p>
      <w:pPr>
        <w:keepNext/>
        <w:spacing w:before="160" w:after="40"/>
      </w:pPr>
      <w:r>
        <w:rPr>
          <w:rFonts w:ascii="Cambria" w:hAnsi="Cambria"/>
          <w:b/>
          <w:color w:val="1F497D"/>
          <w:sz w:val="20"/>
        </w:rPr>
        <w:t>TGFβR2KO/IL13Rα2 CAR T-cells X X X X I</w:t>
      </w:r>
    </w:p>
    <w:p>
      <w:pPr>
        <w:spacing w:line="276" w:lineRule="auto" w:after="80"/>
        <w:jc w:val="both"/>
      </w:pPr>
      <w:r>
        <w:rPr>
          <w:rFonts w:ascii="Cambria" w:hAnsi="Cambria"/>
          <w:color w:val="000000"/>
          <w:sz w:val="20"/>
        </w:rPr>
        <w:t>📝Note:  ✓ : In this Cancer Type,  ✓ : In Other Cancer Type,  ✓ ✓ : both In this and Other Cancer Type,  X  : No Evidence. ⚠️ : Caution for Use</w:t>
      </w:r>
    </w:p>
    <w:p>
      <w:pPr>
        <w:keepNext/>
        <w:spacing w:before="160" w:after="40"/>
      </w:pPr>
      <w:r>
        <w:rPr>
          <w:rFonts w:ascii="Cambria" w:hAnsi="Cambria"/>
          <w:b/>
          <w:color w:val="1F497D"/>
          <w:sz w:val="20"/>
        </w:rPr>
        <w:t>Test Description</w:t>
      </w:r>
    </w:p>
    <w:p>
      <w:pPr>
        <w:spacing w:line="276" w:lineRule="auto" w:after="80"/>
        <w:jc w:val="both"/>
      </w:pPr>
      <w:r>
        <w:rPr>
          <w:rFonts w:ascii="Cambria" w:hAnsi="Cambria"/>
          <w:color w:val="000000"/>
          <w:sz w:val="20"/>
        </w:rPr>
        <w:t>Brainseq Genomic Profiling Panel - Advance is advancing precision oncology research through the analysis of multiple relevant biomarkers in a single next-generation sequencing (NGS) test.</w:t>
      </w:r>
    </w:p>
    <w:p>
      <w:pPr>
        <w:spacing w:line="276" w:lineRule="auto" w:after="80"/>
        <w:jc w:val="both"/>
      </w:pPr>
      <w:r>
        <w:rPr>
          <w:rFonts w:ascii="Cambria" w:hAnsi="Cambria"/>
          <w:color w:val="000000"/>
          <w:sz w:val="20"/>
        </w:rPr>
        <w:t>The Brainseq Genomic Profiling Panel – Advance assay analyses 89 unique genes ( 62 DNA + 27 RNA) for single gene and multiple gene biomarker insights, detects single gene biomarkers from all variant types including  SNVs, indels, CNVs, known and novel fusions, and splice variants , analyze complex multi-gene biomarkers for mutational signatures, microsatellite instability ( MSI ) for immunotherapy research, MGMT methylation  status &amp; FISH for  1p19q co-deletion .</w:t>
      </w:r>
    </w:p>
    <w:p>
      <w:pPr>
        <w:spacing w:line="276" w:lineRule="auto" w:after="80"/>
        <w:jc w:val="both"/>
      </w:pPr>
      <w:r>
        <w:rPr>
          <w:rFonts w:ascii="Cambria" w:hAnsi="Cambria"/>
          <w:color w:val="000000"/>
          <w:sz w:val="20"/>
        </w:rPr>
        <w:t>The performance of the panel was verified using both commercially sourced reference controls and FFPE samples.</w:t>
      </w:r>
    </w:p>
    <w:p>
      <w:pPr>
        <w:spacing w:line="276" w:lineRule="auto" w:after="80"/>
        <w:jc w:val="both"/>
      </w:pPr>
      <w:r>
        <w:rPr>
          <w:rFonts w:ascii="Cambria" w:hAnsi="Cambria"/>
          <w:color w:val="000000"/>
          <w:sz w:val="20"/>
        </w:rPr>
        <w:t>Test Methodology Extraction &amp; Library Preparation: DNA &amp; RNA extracted from FFPE tissue block sample is used for targeted gene capture using a custom designed hybrid capture panel. In process quality controls were determined for prepared library.</w:t>
      </w:r>
    </w:p>
    <w:p>
      <w:r>
        <w:br w:type="page"/>
      </w:r>
    </w:p>
    <w:p>
      <w:pPr>
        <w:spacing w:line="276" w:lineRule="auto" w:after="80"/>
      </w:pPr>
      <w:r>
        <w:rPr>
          <w:rFonts w:ascii="Cambria" w:hAnsi="Cambria"/>
          <w:b/>
          <w:color w:val="1F497D"/>
          <w:sz w:val="20"/>
        </w:rPr>
        <w:t xml:space="preserve">Data Analysis: </w:t>
      </w:r>
      <w:r>
        <w:rPr>
          <w:rFonts w:ascii="Cambria" w:hAnsi="Cambria"/>
          <w:color w:val="000000"/>
          <w:sz w:val="20"/>
        </w:rPr>
        <w:t>Sequencing data are analyzed using a customized and validated bioinformatics pipeline capable of detecting various classes of genomic alterations, including single nucleotide variants ( SNVs ), Indels , copy number variations ( CNVs ) and fusions. As part of the streamlined bioinformatics workflow, Multi-gene Biomarkers such as Microsatellite Instability ( MSI ) Score is calculated. Reportable genomic alterations and fusions are prioritized, classified, and reported based on AMP-ASCO-CAP guidelines and NCCN guidelines.</w:t>
      </w:r>
    </w:p>
    <w:p>
      <w:pPr>
        <w:spacing w:line="276" w:lineRule="auto" w:after="80"/>
        <w:jc w:val="both"/>
      </w:pPr>
      <w:r>
        <w:rPr>
          <w:rFonts w:ascii="Cambria" w:hAnsi="Cambria"/>
          <w:color w:val="000000"/>
          <w:sz w:val="20"/>
        </w:rPr>
        <w:t>Limit of Detection (LOD): The LOD for SNVs and InDels is 5% Variant allele Frequency (VAF) and for Fusions is ≥10 supporting reads.</w:t>
      </w:r>
    </w:p>
    <w:p>
      <w:pPr>
        <w:keepNext/>
        <w:spacing w:before="160" w:after="40"/>
      </w:pPr>
      <w:r>
        <w:rPr>
          <w:rFonts w:ascii="Cambria" w:hAnsi="Cambria"/>
          <w:b/>
          <w:color w:val="1F497D"/>
          <w:sz w:val="20"/>
        </w:rPr>
        <w:t>MLPA:</w:t>
      </w:r>
    </w:p>
    <w:p>
      <w:pPr>
        <w:spacing w:line="276" w:lineRule="auto" w:after="80"/>
        <w:jc w:val="both"/>
      </w:pPr>
      <w:r>
        <w:rPr>
          <w:rFonts w:ascii="Cambria" w:hAnsi="Cambria"/>
          <w:color w:val="000000"/>
          <w:sz w:val="20"/>
        </w:rPr>
        <w:t>MGMT Methylation Analysis is based on the MS-MLPA technology (Methylation Specific Multiplex Ligation- dependent Probe Amplification) and employs the SALSA® MLPA® probe mixes available from MRC (Holland).</w:t>
      </w:r>
    </w:p>
    <w:p>
      <w:pPr>
        <w:keepNext/>
        <w:spacing w:before="160" w:after="40"/>
      </w:pPr>
      <w:r>
        <w:rPr>
          <w:rFonts w:ascii="Cambria" w:hAnsi="Cambria"/>
          <w:b/>
          <w:color w:val="1F497D"/>
          <w:sz w:val="20"/>
        </w:rPr>
        <w:t>FISH :</w:t>
      </w:r>
    </w:p>
    <w:p>
      <w:pPr>
        <w:spacing w:line="276" w:lineRule="auto" w:after="80"/>
        <w:jc w:val="both"/>
      </w:pPr>
      <w:r>
        <w:rPr>
          <w:rFonts w:ascii="Cambria" w:hAnsi="Cambria"/>
          <w:color w:val="000000"/>
          <w:sz w:val="20"/>
        </w:rPr>
        <w:t>1p36 and 19q13 – co-deletion By Fluorescence in situ Hybridization (FISH).</w:t>
      </w:r>
    </w:p>
    <w:p>
      <w:pPr>
        <w:spacing w:line="276" w:lineRule="auto" w:after="80"/>
        <w:jc w:val="both"/>
      </w:pPr>
      <w:r>
        <w:rPr>
          <w:rFonts w:ascii="Cambria" w:hAnsi="Cambria"/>
          <w:color w:val="000000"/>
          <w:sz w:val="20"/>
        </w:rPr>
        <w:t>Healthcare 1p Dual color gene detection Probes Orange: 1p36, Green: 1q25.</w:t>
      </w:r>
    </w:p>
    <w:p>
      <w:pPr>
        <w:spacing w:line="276" w:lineRule="auto" w:after="80"/>
        <w:jc w:val="both"/>
      </w:pPr>
      <w:r>
        <w:rPr>
          <w:rFonts w:ascii="Cambria" w:hAnsi="Cambria"/>
          <w:color w:val="000000"/>
          <w:sz w:val="20"/>
        </w:rPr>
        <w:t>Healthcare 19q Dual color gene detection Probes Orange: 19q13, Green: 19p13</w:t>
      </w:r>
    </w:p>
    <w:p>
      <w:r>
        <w:br w:type="page"/>
      </w:r>
    </w:p>
    <w:p>
      <w:pPr>
        <w:spacing w:line="276" w:lineRule="auto" w:after="80"/>
        <w:jc w:val="both"/>
      </w:pPr>
      <w:r>
        <w:rPr>
          <w:rFonts w:ascii="Cambria" w:hAnsi="Cambria"/>
          <w:color w:val="000000"/>
          <w:sz w:val="20"/>
        </w:rPr>
        <w:t>Epigenetic silencing of the MGMT (O6‐methylguanine–DNA methyltransferase) DNA repair gene by promoter methylation compromises DNA repair mechanism and has been associated with better response to treatment and longer overall survival in glioma patients treated with alkylating agents.</w:t>
      </w:r>
    </w:p>
    <w:p>
      <w:pPr>
        <w:spacing w:line="276" w:lineRule="auto" w:after="80"/>
      </w:pPr>
      <w:r>
        <w:rPr>
          <w:rFonts w:ascii="Cambria" w:hAnsi="Cambria"/>
          <w:b/>
          <w:color w:val="1F497D"/>
          <w:sz w:val="20"/>
        </w:rPr>
        <w:t xml:space="preserve">Biology of the process: </w:t>
      </w:r>
      <w:r>
        <w:rPr>
          <w:rFonts w:ascii="Cambria" w:hAnsi="Cambria"/>
          <w:color w:val="000000"/>
          <w:sz w:val="20"/>
        </w:rPr>
        <w:t>MGMT is a DNA repair enzyme that reverses alkylation of guanine by transferring the alkyl group to the active site of the enzyme. Diminished MGMT expression due to methylation of CpG sites in the 5’ portion of the MGMT gene allows accumulation of alkylguanine DNA which, following incorrect base pairing with thymine, triggers DNA damage signalling and cell death. MGMT methylation is associated with increased sensitivity of glioblastoma to alkylating agents such as BCNU (carmustine), and it also correlates with prolonged progression-free survival in glioma patients treated with temozolomide.</w:t>
      </w:r>
    </w:p>
    <w:p>
      <w:pPr>
        <w:spacing w:line="276" w:lineRule="auto" w:after="80"/>
        <w:jc w:val="both"/>
      </w:pPr>
      <w:r>
        <w:rPr>
          <w:rFonts w:ascii="Cambria" w:hAnsi="Cambria"/>
          <w:color w:val="000000"/>
          <w:sz w:val="20"/>
        </w:rPr>
        <w:t>Clinical indications for MGMT promoter methylation testing include high grade glioma (anaplastic astrocytoma or glioblastoma) patient being considered for therapy with an alkylating agent, or glioma patient being considered for temozolomide therapy.</w:t>
      </w:r>
    </w:p>
    <w:p>
      <w:pPr>
        <w:keepNext/>
        <w:spacing w:before="160" w:after="40"/>
      </w:pPr>
      <w:r>
        <w:rPr>
          <w:rFonts w:ascii="Cambria" w:hAnsi="Cambria"/>
          <w:b/>
          <w:color w:val="1F497D"/>
          <w:sz w:val="20"/>
        </w:rPr>
        <w:t>FISH 1p/19q co-deletion:</w:t>
      </w:r>
    </w:p>
    <w:p>
      <w:pPr>
        <w:spacing w:line="276" w:lineRule="auto" w:after="80"/>
        <w:jc w:val="both"/>
      </w:pPr>
      <w:r>
        <w:rPr>
          <w:rFonts w:ascii="Cambria" w:hAnsi="Cambria"/>
          <w:color w:val="000000"/>
          <w:sz w:val="20"/>
        </w:rPr>
        <w:t>The presence of 1p/19q co-deletion predicts a better response to chemotherapy (such as temozolomide) and radiotherapy, which are standard treatments for oligodendrogliomas.</w:t>
      </w:r>
    </w:p>
    <w:p>
      <w:pPr>
        <w:spacing w:line="276" w:lineRule="auto" w:after="80"/>
        <w:jc w:val="both"/>
      </w:pPr>
      <w:r>
        <w:rPr>
          <w:rFonts w:ascii="Cambria" w:hAnsi="Cambria"/>
          <w:color w:val="000000"/>
          <w:sz w:val="20"/>
        </w:rPr>
        <w:t>Patients with 1p/19q co-deletion generally have a better prognosis, meaning a longer survival and slower disease progression. The World Health Organization (WHO) classification of gliomas considers 1p/19q co- deletion status essential for a complete diagnosis of oligodendrogliomas.</w:t>
      </w:r>
    </w:p>
    <w:p>
      <w:pPr>
        <w:keepNext/>
        <w:spacing w:before="160" w:after="40"/>
      </w:pPr>
      <w:r>
        <w:rPr>
          <w:rFonts w:ascii="Cambria" w:hAnsi="Cambria"/>
          <w:b/>
          <w:color w:val="1F497D"/>
          <w:sz w:val="20"/>
        </w:rPr>
        <w:t>Notes</w:t>
      </w:r>
    </w:p>
    <w:p>
      <w:pPr>
        <w:spacing w:line="276" w:lineRule="auto" w:after="80"/>
        <w:jc w:val="both"/>
      </w:pPr>
      <w:r>
        <w:rPr>
          <w:rFonts w:ascii="Cambria" w:hAnsi="Cambria"/>
          <w:color w:val="000000"/>
          <w:sz w:val="20"/>
        </w:rPr>
        <w:t>Treatment decisions should not be based solely on the results of this test. Findings must be interpreted in the context of the patient’s complete clinical profile—including pathological, radiological, and family history—to guide diagnosis, prognosis, and therapeutic decisions.</w:t>
      </w:r>
    </w:p>
    <w:p>
      <w:r>
        <w:br w:type="page"/>
      </w:r>
    </w:p>
    <w:p>
      <w:pPr>
        <w:spacing w:line="276" w:lineRule="auto" w:after="80"/>
        <w:jc w:val="both"/>
      </w:pPr>
      <w:r>
        <w:rPr>
          <w:rFonts w:ascii="Cambria" w:hAnsi="Cambria"/>
          <w:color w:val="000000"/>
          <w:sz w:val="20"/>
        </w:rPr>
        <w:t>SN Genelab Pvt Ltd does not guarantee completeness, accuracy, or eligibility for trial enrollment. Physicians must verify eligibility criteria for specific trials independently.</w:t>
      </w:r>
    </w:p>
    <w:p>
      <w:pPr>
        <w:spacing w:line="276" w:lineRule="auto" w:after="80"/>
        <w:jc w:val="both"/>
      </w:pPr>
      <w:r>
        <w:rPr>
          <w:rFonts w:ascii="Cambria" w:hAnsi="Cambria"/>
          <w:color w:val="000000"/>
          <w:sz w:val="20"/>
        </w:rPr>
        <w:t>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w:t>
      </w:r>
    </w:p>
    <w:p>
      <w:pPr>
        <w:spacing w:line="276" w:lineRule="auto" w:after="80"/>
        <w:jc w:val="both"/>
      </w:pPr>
      <w:r>
        <w:rPr>
          <w:rFonts w:ascii="Cambria" w:hAnsi="Cambria"/>
          <w:color w:val="000000"/>
          <w:sz w:val="20"/>
        </w:rPr>
        <w:t>All variant classifications and related clinical information are based on the latest evidence from peer- reviewed publications, public clinical databases, and medical guidelines (e.g., NCCN, ASCO, AMP) available at the time of report generation. However, literature is continuously evolving, and classification may change with emerging evidence.</w:t>
      </w:r>
    </w:p>
    <w:p>
      <w:pPr>
        <w:spacing w:line="276" w:lineRule="auto" w:after="80"/>
        <w:jc w:val="both"/>
      </w:pPr>
      <w:r>
        <w:rPr>
          <w:rFonts w:ascii="Cambria" w:hAnsi="Cambria"/>
          <w:color w:val="000000"/>
          <w:sz w:val="20"/>
        </w:rPr>
        <w:t>This test is performed on tumor tissue without a matched normal (e.g., blood) sample. Therefore, some variants may be of germline origin. While the assay is designed and validated for somatic variant detection, it does not differentiate between somatic and germline variants. If indicated, germline testing and genetic counselling are recommended.</w:t>
      </w:r>
    </w:p>
    <w:p>
      <w:pPr>
        <w:spacing w:line="276" w:lineRule="auto" w:after="80"/>
        <w:jc w:val="both"/>
      </w:pPr>
      <w:r>
        <w:rPr>
          <w:rFonts w:ascii="Cambria" w:hAnsi="Cambria"/>
          <w:color w:val="000000"/>
          <w:sz w:val="20"/>
        </w:rPr>
        <w:t>FFPE-derived samples often pose challenges due to degradation. Poor-quality DNA or RNA may fail QC thresholds at various stages such as extraction, library preparation, or bioinformatics, and may result in assay failure or compromised results, such as low gene coverage or shallow variant depth. TMB score may be influenced by cytosine deamination artifacts (C&gt;T transitions), especially in poorly fixed tissues.</w:t>
      </w:r>
    </w:p>
    <w:p>
      <w:pPr>
        <w:spacing w:line="276" w:lineRule="auto" w:after="80"/>
        <w:jc w:val="both"/>
      </w:pPr>
      <w:r>
        <w:rPr>
          <w:rFonts w:ascii="Cambria" w:hAnsi="Cambria"/>
          <w:color w:val="000000"/>
          <w:sz w:val="20"/>
        </w:rPr>
        <w:t>Variants with allele frequencies between 3–5% may be reported if they are of strong or potential clinical relevance, or if previously detected in the same patient. False positives or negatives below assay sensitivity cannot be ruled out.</w:t>
      </w:r>
    </w:p>
    <w:p>
      <w:pPr>
        <w:spacing w:line="276" w:lineRule="auto" w:after="80"/>
        <w:jc w:val="both"/>
      </w:pPr>
      <w:r>
        <w:rPr>
          <w:rFonts w:ascii="Cambria" w:hAnsi="Cambria"/>
          <w:color w:val="000000"/>
          <w:sz w:val="20"/>
        </w:rPr>
        <w:t>CNVs/gene amplifications have &gt;80% detection sensitivity in this assay. Confirmation using orthogonal methods such as FISH/DDPCR is recommended when clinically indicated.</w:t>
      </w:r>
    </w:p>
    <w:p>
      <w:pPr>
        <w:spacing w:line="276" w:lineRule="auto" w:after="80"/>
        <w:jc w:val="both"/>
      </w:pPr>
      <w:r>
        <w:rPr>
          <w:rFonts w:ascii="Cambria" w:hAnsi="Cambria"/>
          <w:color w:val="000000"/>
          <w:sz w:val="20"/>
        </w:rPr>
        <w:t>Variants in non-coding regions or deep intronic sequences are not assessed in this assay.</w:t>
      </w:r>
    </w:p>
    <w:p>
      <w:r>
        <w:br w:type="page"/>
      </w:r>
    </w:p>
    <w:tbl>
      <w:tblPr>
        <w:tblW w:type="auto" w:w="0"/>
        <w:jc w:val="center"/>
        <w:tblLayout w:type="fixed"/>
        <w:tblLook w:firstColumn="1" w:firstRow="1" w:lastColumn="0" w:lastRow="0" w:noHBand="0" w:noVBand="1" w:val="04A0"/>
      </w:tblPr>
      <w:tblGrid>
        <w:gridCol w:w="2160"/>
        <w:gridCol w:w="2160"/>
        <w:gridCol w:w="2160"/>
        <w:gridCol w:w="2160"/>
        <w:gridCol w:w="2160"/>
      </w:tblGrid>
      <w:tr>
        <w:trPr>
          <w:tblHeader/>
        </w:trPr>
        <w:tc>
          <w:tcPr>
            <w:tcW w:type="dxa" w:w="2160"/>
            <w:tcW w:w="36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DNA Gene List</w:t>
            </w:r>
          </w:p>
        </w:tc>
        <w:tc>
          <w:tcPr>
            <w:tcW w:type="dxa" w:w="2160"/>
            <w:tcW w:w="1938"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r>
          </w:p>
        </w:tc>
        <w:tc>
          <w:tcPr>
            <w:tcW w:type="dxa" w:w="2160"/>
            <w:tcW w:w="1938"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r>
          </w:p>
        </w:tc>
        <w:tc>
          <w:tcPr>
            <w:tcW w:type="dxa" w:w="2160"/>
            <w:tcW w:w="1661"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r>
          </w:p>
        </w:tc>
        <w:tc>
          <w:tcPr>
            <w:tcW w:type="dxa" w:w="2160"/>
            <w:tcW w:w="1661"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r>
          </w:p>
        </w:tc>
      </w:tr>
      <w:tr>
        <w:trPr>
          <w:cantSplit/>
        </w:trPr>
        <w:tc>
          <w:tcPr>
            <w:tcW w:type="dxa" w:w="2160"/>
            <w:tcW w:w="36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AKT1</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APC</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ATRX</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BAP1</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BCOR</w:t>
            </w:r>
          </w:p>
        </w:tc>
      </w:tr>
      <w:tr>
        <w:trPr>
          <w:cantSplit/>
        </w:trPr>
        <w:tc>
          <w:tcPr>
            <w:tcW w:type="dxa" w:w="2160"/>
            <w:tcW w:w="36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BCORL1</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BRAF</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CDK6</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CDKN2A</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CDKN2B</w:t>
            </w:r>
          </w:p>
        </w:tc>
      </w:tr>
      <w:tr>
        <w:trPr>
          <w:cantSplit/>
        </w:trPr>
        <w:tc>
          <w:tcPr>
            <w:tcW w:type="dxa" w:w="2160"/>
            <w:tcW w:w="36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CIC</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CTNNB1</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DICER1</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EED</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EGFR</w:t>
            </w:r>
          </w:p>
        </w:tc>
      </w:tr>
      <w:tr>
        <w:trPr>
          <w:cantSplit/>
        </w:trPr>
        <w:tc>
          <w:tcPr>
            <w:tcW w:type="dxa" w:w="2160"/>
            <w:tcW w:w="36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EPCAM</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ERBB2</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ERBB4</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FGFR1</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FGFR2</w:t>
            </w:r>
          </w:p>
        </w:tc>
      </w:tr>
      <w:tr>
        <w:trPr>
          <w:cantSplit/>
        </w:trPr>
        <w:tc>
          <w:tcPr>
            <w:tcW w:type="dxa" w:w="2160"/>
            <w:tcW w:w="36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FGFR3</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FUBP1</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GNA11</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GNAQ</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H3F3A</w:t>
            </w:r>
          </w:p>
        </w:tc>
      </w:tr>
      <w:tr>
        <w:trPr>
          <w:cantSplit/>
        </w:trPr>
        <w:tc>
          <w:tcPr>
            <w:tcW w:type="dxa" w:w="2160"/>
            <w:tcW w:w="36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HIST1H3C</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HRAS</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IDH1</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IDH2</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KDM6A</w:t>
            </w:r>
          </w:p>
        </w:tc>
      </w:tr>
      <w:tr>
        <w:trPr>
          <w:cantSplit/>
        </w:trPr>
        <w:tc>
          <w:tcPr>
            <w:tcW w:type="dxa" w:w="2160"/>
            <w:tcW w:w="36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KRAS</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MAP2K1</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MET</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MLH1</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MSH2</w:t>
            </w:r>
          </w:p>
        </w:tc>
      </w:tr>
      <w:tr>
        <w:trPr>
          <w:cantSplit/>
        </w:trPr>
        <w:tc>
          <w:tcPr>
            <w:tcW w:type="dxa" w:w="2160"/>
            <w:tcW w:w="36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MSH6</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MYC</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MYCN</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NF1</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NF2</w:t>
            </w:r>
          </w:p>
        </w:tc>
      </w:tr>
      <w:tr>
        <w:trPr>
          <w:cantSplit/>
        </w:trPr>
        <w:tc>
          <w:tcPr>
            <w:tcW w:type="dxa" w:w="2160"/>
            <w:tcW w:w="36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NOTCH1</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NRAS</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PDGFRA</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PIK3CA</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PMS2</w:t>
            </w:r>
          </w:p>
        </w:tc>
      </w:tr>
      <w:tr>
        <w:trPr>
          <w:cantSplit/>
        </w:trPr>
        <w:tc>
          <w:tcPr>
            <w:tcW w:type="dxa" w:w="2160"/>
            <w:tcW w:w="36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PTCH1</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PTEN</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RB1</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SETD2</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SF3B1</w:t>
            </w:r>
          </w:p>
        </w:tc>
      </w:tr>
      <w:tr>
        <w:trPr>
          <w:cantSplit/>
        </w:trPr>
        <w:tc>
          <w:tcPr>
            <w:tcW w:type="dxa" w:w="2160"/>
            <w:tcW w:w="36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SMAD4</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SMARCA4</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SMARCB1</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SMO</w:t>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SRC</w:t>
            </w:r>
          </w:p>
        </w:tc>
      </w:tr>
      <w:tr>
        <w:trPr>
          <w:cantSplit/>
        </w:trPr>
        <w:tc>
          <w:tcPr>
            <w:tcW w:type="dxa" w:w="2160"/>
            <w:tcW w:w="36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SUFU</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SUZ12</w:t>
            </w:r>
          </w:p>
        </w:tc>
        <w:tc>
          <w:tcPr>
            <w:tcW w:type="dxa" w:w="2160"/>
            <w:tcW w:w="193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TERT</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TP53</w:t>
            </w:r>
          </w:p>
        </w:tc>
        <w:tc>
          <w:tcPr>
            <w:tcW w:type="dxa" w:w="2160"/>
            <w:tcW w:w="16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TSC1</w:t>
            </w:r>
          </w:p>
        </w:tc>
      </w:tr>
      <w:tr>
        <w:trPr>
          <w:cantSplit/>
        </w:trPr>
        <w:tc>
          <w:tcPr>
            <w:tcW w:type="dxa" w:w="2160"/>
            <w:tcW w:w="36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TSC2</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VHL</w:t>
            </w:r>
          </w:p>
        </w:tc>
        <w:tc>
          <w:tcPr>
            <w:tcW w:type="dxa" w:w="2160"/>
            <w:tcW w:w="193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r>
          </w:p>
        </w:tc>
        <w:tc>
          <w:tcPr>
            <w:tcW w:type="dxa" w:w="2160"/>
            <w:tcW w:w="16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r>
          </w:p>
        </w:tc>
      </w:tr>
    </w:tbl>
    <w:tbl>
      <w:tblPr>
        <w:tblW w:type="auto" w:w="0"/>
        <w:jc w:val="center"/>
        <w:tblLayout w:type="fixed"/>
        <w:tblLook w:firstColumn="1" w:firstRow="1" w:lastColumn="0" w:lastRow="0" w:noHBand="0" w:noVBand="1" w:val="04A0"/>
      </w:tblPr>
      <w:tblGrid>
        <w:gridCol w:w="2160"/>
        <w:gridCol w:w="2160"/>
        <w:gridCol w:w="2160"/>
        <w:gridCol w:w="2160"/>
        <w:gridCol w:w="2160"/>
      </w:tblGrid>
      <w:tr>
        <w:trPr>
          <w:tblHeader/>
        </w:trPr>
        <w:tc>
          <w:tcPr>
            <w:tcW w:type="dxa" w:w="2160"/>
            <w:tcW w:w="39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RNA Gene List</w:t>
            </w:r>
          </w:p>
        </w:tc>
        <w:tc>
          <w:tcPr>
            <w:tcW w:type="dxa" w:w="2160"/>
            <w:tcW w:w="24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r>
          </w:p>
        </w:tc>
        <w:tc>
          <w:tcPr>
            <w:tcW w:type="dxa" w:w="2160"/>
            <w:tcW w:w="15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r>
          </w:p>
        </w:tc>
        <w:tc>
          <w:tcPr>
            <w:tcW w:type="dxa" w:w="2160"/>
            <w:tcW w:w="15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r>
          </w:p>
        </w:tc>
        <w:tc>
          <w:tcPr>
            <w:tcW w:type="dxa" w:w="2160"/>
            <w:tcW w:w="15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r>
          </w:p>
        </w:tc>
      </w:tr>
      <w:tr>
        <w:trPr>
          <w:cantSplit/>
        </w:trPr>
        <w:tc>
          <w:tcPr>
            <w:tcW w:type="dxa" w:w="2160"/>
            <w:tcW w:w="39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ALK</w:t>
            </w:r>
          </w:p>
        </w:tc>
        <w:tc>
          <w:tcPr>
            <w:tcW w:type="dxa" w:w="2160"/>
            <w:tcW w:w="24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BRAF</w:t>
            </w:r>
          </w:p>
        </w:tc>
        <w:tc>
          <w:tcPr>
            <w:tcW w:type="dxa" w:w="2160"/>
            <w:tcW w:w="15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CIC</w:t>
            </w:r>
          </w:p>
        </w:tc>
        <w:tc>
          <w:tcPr>
            <w:tcW w:type="dxa" w:w="2160"/>
            <w:tcW w:w="15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EGFR</w:t>
            </w:r>
          </w:p>
        </w:tc>
        <w:tc>
          <w:tcPr>
            <w:tcW w:type="dxa" w:w="2160"/>
            <w:tcW w:w="15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EML4</w:t>
            </w:r>
          </w:p>
        </w:tc>
      </w:tr>
      <w:tr>
        <w:trPr>
          <w:cantSplit/>
        </w:trPr>
        <w:tc>
          <w:tcPr>
            <w:tcW w:type="dxa" w:w="2160"/>
            <w:tcW w:w="39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ETV6</w:t>
            </w:r>
          </w:p>
        </w:tc>
        <w:tc>
          <w:tcPr>
            <w:tcW w:type="dxa" w:w="2160"/>
            <w:tcW w:w="24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EWSR1</w:t>
            </w:r>
          </w:p>
        </w:tc>
        <w:tc>
          <w:tcPr>
            <w:tcW w:type="dxa" w:w="2160"/>
            <w:tcW w:w="15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FGFR1</w:t>
            </w:r>
          </w:p>
        </w:tc>
        <w:tc>
          <w:tcPr>
            <w:tcW w:type="dxa" w:w="2160"/>
            <w:tcW w:w="15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FGFR2</w:t>
            </w:r>
          </w:p>
        </w:tc>
        <w:tc>
          <w:tcPr>
            <w:tcW w:type="dxa" w:w="2160"/>
            <w:tcW w:w="15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FGFR3</w:t>
            </w:r>
          </w:p>
        </w:tc>
      </w:tr>
      <w:tr>
        <w:trPr>
          <w:cantSplit/>
        </w:trPr>
        <w:tc>
          <w:tcPr>
            <w:tcW w:type="dxa" w:w="2160"/>
            <w:tcW w:w="39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FUS</w:t>
            </w:r>
          </w:p>
        </w:tc>
        <w:tc>
          <w:tcPr>
            <w:tcW w:type="dxa" w:w="2160"/>
            <w:tcW w:w="24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KIAA1549</w:t>
            </w:r>
          </w:p>
        </w:tc>
        <w:tc>
          <w:tcPr>
            <w:tcW w:type="dxa" w:w="2160"/>
            <w:tcW w:w="15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MAML2</w:t>
            </w:r>
          </w:p>
        </w:tc>
        <w:tc>
          <w:tcPr>
            <w:tcW w:type="dxa" w:w="2160"/>
            <w:tcW w:w="15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MET</w:t>
            </w:r>
          </w:p>
        </w:tc>
        <w:tc>
          <w:tcPr>
            <w:tcW w:type="dxa" w:w="2160"/>
            <w:tcW w:w="15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MN1</w:t>
            </w:r>
          </w:p>
        </w:tc>
      </w:tr>
      <w:tr>
        <w:trPr>
          <w:cantSplit/>
        </w:trPr>
        <w:tc>
          <w:tcPr>
            <w:tcW w:type="dxa" w:w="2160"/>
            <w:tcW w:w="39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MYB</w:t>
            </w:r>
          </w:p>
        </w:tc>
        <w:tc>
          <w:tcPr>
            <w:tcW w:type="dxa" w:w="2160"/>
            <w:tcW w:w="24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MYBL1</w:t>
            </w:r>
          </w:p>
        </w:tc>
        <w:tc>
          <w:tcPr>
            <w:tcW w:type="dxa" w:w="2160"/>
            <w:tcW w:w="15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NTRK1</w:t>
            </w:r>
          </w:p>
        </w:tc>
        <w:tc>
          <w:tcPr>
            <w:tcW w:type="dxa" w:w="2160"/>
            <w:tcW w:w="15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NTRK2</w:t>
            </w:r>
          </w:p>
        </w:tc>
        <w:tc>
          <w:tcPr>
            <w:tcW w:type="dxa" w:w="2160"/>
            <w:tcW w:w="15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NTRK3</w:t>
            </w:r>
          </w:p>
        </w:tc>
      </w:tr>
      <w:tr>
        <w:trPr>
          <w:cantSplit/>
        </w:trPr>
        <w:tc>
          <w:tcPr>
            <w:tcW w:type="dxa" w:w="2160"/>
            <w:tcW w:w="39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PRKCA</w:t>
            </w:r>
          </w:p>
        </w:tc>
        <w:tc>
          <w:tcPr>
            <w:tcW w:type="dxa" w:w="2160"/>
            <w:tcW w:w="24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RAF1</w:t>
            </w:r>
          </w:p>
        </w:tc>
        <w:tc>
          <w:tcPr>
            <w:tcW w:type="dxa" w:w="2160"/>
            <w:tcW w:w="15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ROS1</w:t>
            </w:r>
          </w:p>
        </w:tc>
        <w:tc>
          <w:tcPr>
            <w:tcW w:type="dxa" w:w="2160"/>
            <w:tcW w:w="15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STAT6</w:t>
            </w:r>
          </w:p>
        </w:tc>
        <w:tc>
          <w:tcPr>
            <w:tcW w:type="dxa" w:w="2160"/>
            <w:tcW w:w="15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TACC3</w:t>
            </w:r>
          </w:p>
        </w:tc>
      </w:tr>
      <w:tr>
        <w:trPr>
          <w:cantSplit/>
        </w:trPr>
        <w:tc>
          <w:tcPr>
            <w:tcW w:type="dxa" w:w="2160"/>
            <w:tcW w:w="39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TFG</w:t>
            </w:r>
          </w:p>
        </w:tc>
        <w:tc>
          <w:tcPr>
            <w:tcW w:type="dxa" w:w="2160"/>
            <w:tcW w:w="24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YAP1</w:t>
            </w:r>
          </w:p>
        </w:tc>
        <w:tc>
          <w:tcPr>
            <w:tcW w:type="dxa" w:w="2160"/>
            <w:tcW w:w="15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r>
          </w:p>
        </w:tc>
        <w:tc>
          <w:tcPr>
            <w:tcW w:type="dxa" w:w="2160"/>
            <w:tcW w:w="15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r>
          </w:p>
        </w:tc>
        <w:tc>
          <w:tcPr>
            <w:tcW w:type="dxa" w:w="2160"/>
            <w:tcW w:w="15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r>
          </w:p>
        </w:tc>
      </w:tr>
    </w:tbl>
    <w:tbl>
      <w:tblPr>
        <w:tblW w:type="auto" w:w="0"/>
        <w:jc w:val="center"/>
        <w:tblLayout w:type="fixed"/>
        <w:tblLook w:firstColumn="1" w:firstRow="1" w:lastColumn="0" w:lastRow="0" w:noHBand="0" w:noVBand="1" w:val="04A0"/>
      </w:tblPr>
      <w:tblGrid>
        <w:gridCol w:w="5400"/>
        <w:gridCol w:w="5400"/>
      </w:tblGrid>
      <w:tr>
        <w:trPr>
          <w:tblHeader/>
        </w:trPr>
        <w:tc>
          <w:tcPr>
            <w:tcW w:type="dxa" w:w="5400"/>
            <w:tcW w:w="6171"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MSI</w:t>
            </w:r>
          </w:p>
        </w:tc>
        <w:tc>
          <w:tcPr>
            <w:tcW w:type="dxa" w:w="5400"/>
            <w:tcW w:w="4628"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 of Unstable Loci</w:t>
            </w:r>
          </w:p>
        </w:tc>
      </w:tr>
      <w:tr>
        <w:trPr>
          <w:cantSplit/>
        </w:trPr>
        <w:tc>
          <w:tcPr>
            <w:tcW w:type="dxa" w:w="5400"/>
            <w:tcW w:w="617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MSI - Stable</w:t>
            </w:r>
          </w:p>
        </w:tc>
        <w:tc>
          <w:tcPr>
            <w:tcW w:type="dxa" w:w="5400"/>
            <w:tcW w:w="462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0-19%</w:t>
            </w:r>
          </w:p>
        </w:tc>
      </w:tr>
      <w:tr>
        <w:trPr>
          <w:cantSplit/>
        </w:trPr>
        <w:tc>
          <w:tcPr>
            <w:tcW w:type="dxa" w:w="5400"/>
            <w:tcW w:w="617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MSI - Low / Intermediate</w:t>
            </w:r>
          </w:p>
        </w:tc>
        <w:tc>
          <w:tcPr>
            <w:tcW w:type="dxa" w:w="5400"/>
            <w:tcW w:w="4628"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20-30%</w:t>
            </w:r>
          </w:p>
        </w:tc>
      </w:tr>
      <w:tr>
        <w:trPr>
          <w:cantSplit/>
        </w:trPr>
        <w:tc>
          <w:tcPr>
            <w:tcW w:type="dxa" w:w="5400"/>
            <w:tcW w:w="617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MSI - High</w:t>
            </w:r>
          </w:p>
        </w:tc>
        <w:tc>
          <w:tcPr>
            <w:tcW w:type="dxa" w:w="5400"/>
            <w:tcW w:w="4628"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&gt;30%</w:t>
            </w:r>
          </w:p>
        </w:tc>
      </w:tr>
    </w:tbl>
    <w:tbl>
      <w:tblPr>
        <w:tblW w:type="auto" w:w="0"/>
        <w:jc w:val="center"/>
        <w:tblLayout w:type="fixed"/>
        <w:tblLook w:firstColumn="1" w:firstRow="1" w:lastColumn="0" w:lastRow="0" w:noHBand="0" w:noVBand="1" w:val="04A0"/>
      </w:tblPr>
      <w:tblGrid>
        <w:gridCol w:w="5400"/>
        <w:gridCol w:w="5400"/>
      </w:tblGrid>
      <w:tr>
        <w:trPr>
          <w:tblHeader/>
        </w:trPr>
        <w:tc>
          <w:tcPr>
            <w:tcW w:type="dxa" w:w="5400"/>
            <w:tcW w:w="7112"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MGMT Methylation</w:t>
            </w:r>
          </w:p>
        </w:tc>
        <w:tc>
          <w:tcPr>
            <w:tcW w:type="dxa" w:w="5400"/>
            <w:tcW w:w="3687"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r>
          </w:p>
        </w:tc>
      </w:tr>
      <w:tr>
        <w:trPr>
          <w:cantSplit/>
        </w:trPr>
        <w:tc>
          <w:tcPr>
            <w:tcW w:type="dxa" w:w="5400"/>
            <w:tcW w:w="7112"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Methylation ratio of a probe in test sample &gt; baseline</w:t>
            </w:r>
          </w:p>
        </w:tc>
        <w:tc>
          <w:tcPr>
            <w:tcW w:type="dxa" w:w="5400"/>
            <w:tcW w:w="3687"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Methylation is increased</w:t>
            </w:r>
          </w:p>
        </w:tc>
      </w:tr>
      <w:tr>
        <w:trPr>
          <w:cantSplit/>
        </w:trPr>
        <w:tc>
          <w:tcPr>
            <w:tcW w:type="dxa" w:w="5400"/>
            <w:tcW w:w="7112"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Methylation ratio of a probe in test sample ≤baseline</w:t>
            </w:r>
          </w:p>
        </w:tc>
        <w:tc>
          <w:tcPr>
            <w:tcW w:type="dxa" w:w="5400"/>
            <w:tcW w:w="3687"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Methylation is not increased</w:t>
            </w:r>
          </w:p>
        </w:tc>
      </w:tr>
    </w:tbl>
    <w:p>
      <w:r>
        <w:br w:type="page"/>
      </w:r>
    </w:p>
    <w:p>
      <w:pPr>
        <w:spacing w:line="276" w:lineRule="auto" w:after="80"/>
      </w:pPr>
      <w:r>
        <w:rPr>
          <w:rFonts w:ascii="Cambria" w:hAnsi="Cambria"/>
          <w:color w:val="000000"/>
          <w:sz w:val="20"/>
        </w:rPr>
        <w:t>Positive If ratio is &lt;0.80</w:t>
      </w:r>
    </w:p>
    <w:tbl>
      <w:tblPr>
        <w:tblW w:type="auto" w:w="0"/>
        <w:jc w:val="center"/>
        <w:tblLayout w:type="fixed"/>
        <w:tblLook w:firstColumn="1" w:firstRow="1" w:lastColumn="0" w:lastRow="0" w:noHBand="0" w:noVBand="1" w:val="04A0"/>
      </w:tblPr>
      <w:tblGrid>
        <w:gridCol w:w="5400"/>
        <w:gridCol w:w="5400"/>
      </w:tblGrid>
      <w:tr>
        <w:trPr>
          <w:tblHeader/>
        </w:trPr>
        <w:tc>
          <w:tcPr>
            <w:tcW w:type="dxa" w:w="5400"/>
            <w:tcW w:w="800"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Tier</w:t>
            </w:r>
          </w:p>
        </w:tc>
        <w:tc>
          <w:tcPr>
            <w:tcW w:type="dxa" w:w="5400"/>
            <w:tcW w:w="10561" w:type="dxa"/>
            <w:shd w:fill="1f497d"/>
            <w:tcBorders>
              <w:top w:val="single" w:sz="4" w:space="0" w:color="1f497d"/>
              <w:left w:val="single" w:sz="4" w:space="0" w:color="1f497d"/>
              <w:bottom w:val="single" w:sz="4" w:space="0" w:color="1f497d"/>
              <w:right w:val="single" w:sz="4" w:space="0" w:color="1f497d"/>
            </w:tcBorders>
            <w:tcMar>
              <w:top w:w="40" w:type="dxa"/>
              <w:left w:w="60" w:type="dxa"/>
              <w:bottom w:w="40" w:type="dxa"/>
              <w:right w:w="60" w:type="dxa"/>
            </w:tcMar>
          </w:tcPr>
          <w:p>
            <w:pPr>
              <w:jc w:val="center"/>
            </w:pPr>
            <w:r>
              <w:rPr>
                <w:rFonts w:ascii="Cambria" w:hAnsi="Cambria"/>
                <w:b/>
                <w:color w:val="FFFFFF"/>
                <w:sz w:val="19"/>
              </w:rPr>
              <w:t>Interpretation</w:t>
            </w:r>
          </w:p>
        </w:tc>
      </w:tr>
      <w:tr>
        <w:trPr>
          <w:cantSplit/>
        </w:trPr>
        <w:tc>
          <w:tcPr>
            <w:tcW w:type="dxa" w:w="5400"/>
            <w:tcW w:w="8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Tier IA</w:t>
            </w:r>
          </w:p>
        </w:tc>
        <w:tc>
          <w:tcPr>
            <w:tcW w:type="dxa" w:w="5400"/>
            <w:tcW w:w="105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Variants of Strong Clinical Significance: Biomarkers that predict response or resistance to US FDA-approved therapies for a specific type of tumor or have been included in professional guidelines as therapeutic, diagnostic, and/or prognostic biomarkers for specific types of tumors.</w:t>
            </w:r>
          </w:p>
        </w:tc>
      </w:tr>
      <w:tr>
        <w:trPr>
          <w:cantSplit/>
        </w:trPr>
        <w:tc>
          <w:tcPr>
            <w:tcW w:type="dxa" w:w="5400"/>
            <w:tcW w:w="8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Tier IB</w:t>
            </w:r>
          </w:p>
        </w:tc>
        <w:tc>
          <w:tcPr>
            <w:tcW w:type="dxa" w:w="5400"/>
            <w:tcW w:w="105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Variants of Strong Clinical Significance: Biomarkers that predict response or resistance to a therapy based on well-powered studies with consensus from experts in the field, or have diagnostic and/or prognostic significance of certain diseases based on well-powered studies with expert consensus.</w:t>
            </w:r>
          </w:p>
        </w:tc>
      </w:tr>
      <w:tr>
        <w:trPr>
          <w:cantSplit/>
        </w:trPr>
        <w:tc>
          <w:tcPr>
            <w:tcW w:type="dxa" w:w="5400"/>
            <w:tcW w:w="8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Tier IIC</w:t>
            </w:r>
          </w:p>
        </w:tc>
        <w:tc>
          <w:tcPr>
            <w:tcW w:type="dxa" w:w="5400"/>
            <w:tcW w:w="105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Variants of Potential Clinical Significance: biomarkers that predict response or resistance to therapies approved by FDA or professional societies for a different tumor type (i.e., off- label use of a drug), serve as inclusion criteria for clinical trials, or have diagnostic and/or prognostic significance based on the results of multiple small studies.</w:t>
            </w:r>
          </w:p>
        </w:tc>
      </w:tr>
      <w:tr>
        <w:trPr>
          <w:cantSplit/>
        </w:trPr>
        <w:tc>
          <w:tcPr>
            <w:tcW w:type="dxa" w:w="5400"/>
            <w:tcW w:w="800"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Tier IID</w:t>
            </w:r>
          </w:p>
        </w:tc>
        <w:tc>
          <w:tcPr>
            <w:tcW w:type="dxa" w:w="5400"/>
            <w:tcW w:w="10561" w:type="dxa"/>
            <w:shd w:fill="FFFFFF"/>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Variants of Potential Clinical Significance: Biomarkers that show plausible therapeutic significance based on preclinical studies or may assist disease diagnosis and/or prognosis themselves or along with other biomarkers based on small studies or multiple case reports with no consensus.</w:t>
            </w:r>
          </w:p>
        </w:tc>
      </w:tr>
      <w:tr>
        <w:trPr>
          <w:cantSplit/>
        </w:trPr>
        <w:tc>
          <w:tcPr>
            <w:tcW w:type="dxa" w:w="5400"/>
            <w:tcW w:w="800"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Tier III</w:t>
            </w:r>
          </w:p>
        </w:tc>
        <w:tc>
          <w:tcPr>
            <w:tcW w:type="dxa" w:w="5400"/>
            <w:tcW w:w="10561" w:type="dxa"/>
            <w:shd w:fill="f8fafc"/>
            <w:tcBorders>
              <w:top w:val="single" w:sz="2" w:space="0" w:color="1f497d"/>
              <w:left w:val="single" w:sz="2" w:space="0" w:color="1f497d"/>
              <w:bottom w:val="single" w:sz="2" w:space="0" w:color="1f497d"/>
              <w:right w:val="single" w:sz="2" w:space="0" w:color="1f497d"/>
            </w:tcBorders>
            <w:tcMar>
              <w:top w:w="30" w:type="dxa"/>
              <w:left w:w="40" w:type="dxa"/>
              <w:bottom w:w="30" w:type="dxa"/>
              <w:right w:w="40" w:type="dxa"/>
            </w:tcMar>
          </w:tcPr>
          <w:p>
            <w:r>
              <w:rPr>
                <w:rFonts w:ascii="Cambria" w:hAnsi="Cambria"/>
                <w:color w:val="000000"/>
                <w:sz w:val="18"/>
              </w:rPr>
              <w:t>Variants of Unknown clinical significance (VUS): Not observed at a significant allele frequency in the general or specific subpopulation or pancancer or tumor specific variant databases. No convincing published evidence of cancer Association</w:t>
            </w:r>
          </w:p>
        </w:tc>
      </w:tr>
    </w:tbl>
    <w:p>
      <w:pPr>
        <w:keepNext/>
        <w:spacing w:before="160" w:after="40"/>
      </w:pPr>
      <w:r>
        <w:rPr>
          <w:rFonts w:ascii="Cambria" w:hAnsi="Cambria"/>
          <w:b/>
          <w:color w:val="1F497D"/>
          <w:sz w:val="20"/>
        </w:rPr>
        <w:t>References:</w:t>
      </w:r>
    </w:p>
    <w:p>
      <w:pPr>
        <w:spacing w:line="276" w:lineRule="auto" w:after="80"/>
        <w:jc w:val="both"/>
      </w:pPr>
      <w:r>
        <w:rPr>
          <w:rFonts w:ascii="Cambria" w:hAnsi="Cambria"/>
          <w:color w:val="000000"/>
          <w:sz w:val="20"/>
        </w:rPr>
        <w:t>1. Molenaar et al. Wild-type and mutated IDH1/2 enzymes and therapy responses. Oncogene. 2018 Apr;37(15):1949-1960. PMID: 29367755</w:t>
      </w:r>
    </w:p>
    <w:p>
      <w:pPr>
        <w:spacing w:line="276" w:lineRule="auto" w:after="80"/>
        <w:jc w:val="both"/>
      </w:pPr>
      <w:r>
        <w:rPr>
          <w:rFonts w:ascii="Cambria" w:hAnsi="Cambria"/>
          <w:color w:val="000000"/>
          <w:sz w:val="20"/>
        </w:rPr>
        <w:t>2. Yan et al. IDH1 and IDH2 mutations in gliomas. N. Engl. J. Med. 2009 Feb 19;360(8):765-73. PMID: 19228619</w:t>
      </w:r>
    </w:p>
    <w:p>
      <w:pPr>
        <w:spacing w:line="276" w:lineRule="auto" w:after="80"/>
        <w:jc w:val="both"/>
      </w:pPr>
      <w:r>
        <w:rPr>
          <w:rFonts w:ascii="Cambria" w:hAnsi="Cambria"/>
          <w:color w:val="000000"/>
          <w:sz w:val="20"/>
        </w:rPr>
        <w:t>3. Lu et al. Isocitrate dehydrogenase 1 mutation subtypes at site 132 and their translational potential in glioma. CNS Oncol. 2018 Jan;7(1):41-50. PMID: 29303363</w:t>
      </w:r>
    </w:p>
    <w:p>
      <w:r>
        <w:br w:type="page"/>
      </w:r>
    </w:p>
    <w:p>
      <w:pPr>
        <w:spacing w:line="276" w:lineRule="auto" w:after="80"/>
        <w:jc w:val="both"/>
      </w:pPr>
      <w:r>
        <w:rPr>
          <w:rFonts w:ascii="Cambria" w:hAnsi="Cambria"/>
          <w:color w:val="000000"/>
          <w:sz w:val="20"/>
        </w:rPr>
        <w:t>5. Ward et al. The common feature of leukemia-associated IDH1 and IDH2 mutations is a neomorphic enzyme activity converting alpha-ketoglutarate to 2-hydroxyglutarate. Cancer Cell. 2010 Mar 16;17(3):225-34. PMID: 20171147</w:t>
      </w:r>
    </w:p>
    <w:p>
      <w:pPr>
        <w:spacing w:line="276" w:lineRule="auto" w:after="80"/>
        <w:jc w:val="both"/>
      </w:pPr>
      <w:r>
        <w:rPr>
          <w:rFonts w:ascii="Cambria" w:hAnsi="Cambria"/>
          <w:color w:val="000000"/>
          <w:sz w:val="20"/>
        </w:rPr>
        <w:t>6. Paschka et al. IDH1 and IDH2 mutations are frequent genetic alterations in acute myeloid leukemia and confer adverse prognosis in cytogenetically normal acute myeloid leukemia with NPM1 mutation without FLT3 internal tandem duplication. J. Clin. Oncol. 2010 Aug 1;28(22):3636-43. PMID: 20567020</w:t>
      </w:r>
    </w:p>
    <w:p>
      <w:pPr>
        <w:spacing w:line="276" w:lineRule="auto" w:after="80"/>
        <w:jc w:val="both"/>
      </w:pPr>
      <w:r>
        <w:rPr>
          <w:rFonts w:ascii="Cambria" w:hAnsi="Cambria"/>
          <w:color w:val="000000"/>
          <w:sz w:val="20"/>
        </w:rPr>
        <w:t>7. Chou et al. The prognostic impact and stability of Isocitrate dehydrogenase 2 mutation in adult patients with acute myeloid leukemia. Leukemia. 2011 Feb;25(2):246-53. PMID: 21079611</w:t>
      </w:r>
    </w:p>
    <w:p>
      <w:pPr>
        <w:spacing w:line="276" w:lineRule="auto" w:after="80"/>
        <w:jc w:val="both"/>
      </w:pPr>
      <w:r>
        <w:rPr>
          <w:rFonts w:ascii="Cambria" w:hAnsi="Cambria"/>
          <w:color w:val="000000"/>
          <w:sz w:val="20"/>
        </w:rPr>
        <w:t>8. Marcucci et al. IDH1 and IDH2 gene mutations identify novel molecular subsets within de novo cytogenetically normal acute myeloid leukemia: a Cancer and Leukemia Group B study. J. Clin. Oncol. 2010 May 10;28(14):2348-55. PMID: 20368543</w:t>
      </w:r>
    </w:p>
    <w:p>
      <w:pPr>
        <w:spacing w:line="276" w:lineRule="auto" w:after="80"/>
        <w:jc w:val="both"/>
      </w:pPr>
      <w:r>
        <w:rPr>
          <w:rFonts w:ascii="Cambria" w:hAnsi="Cambria"/>
          <w:color w:val="000000"/>
          <w:sz w:val="20"/>
        </w:rPr>
        <w:t>9. Weinstein et al. The Cancer Genome Atlas Pan-Cancer analysis project. Nat. Genet. 2013 Oct;45(10):1113-20. PMID: 24071849</w:t>
      </w:r>
    </w:p>
    <w:p>
      <w:pPr>
        <w:spacing w:line="276" w:lineRule="auto" w:after="80"/>
        <w:jc w:val="both"/>
      </w:pPr>
      <w:r>
        <w:rPr>
          <w:rFonts w:ascii="Cambria" w:hAnsi="Cambria"/>
          <w:color w:val="000000"/>
          <w:sz w:val="20"/>
        </w:rPr>
        <w:t>10. Cerami et al. The cBio cancer genomics portal: an open platform for exploring multidimensional cancer genomics data. Cancer Discov. 2012 May;2(5):401-4. PMID: 22588877</w:t>
      </w:r>
    </w:p>
    <w:p>
      <w:pPr>
        <w:spacing w:line="276" w:lineRule="auto" w:after="80"/>
        <w:jc w:val="both"/>
      </w:pPr>
      <w:r>
        <w:rPr>
          <w:rFonts w:ascii="Cambria" w:hAnsi="Cambria"/>
          <w:color w:val="000000"/>
          <w:sz w:val="20"/>
        </w:rPr>
        <w:t>11. https://www.accessdata.fda.gov/drugsatfda_docs/label/2025/218784s002lbl.pdf</w:t>
      </w:r>
    </w:p>
    <w:p>
      <w:pPr>
        <w:spacing w:line="276" w:lineRule="auto" w:after="80"/>
        <w:jc w:val="both"/>
      </w:pPr>
      <w:r>
        <w:rPr>
          <w:rFonts w:ascii="Cambria" w:hAnsi="Cambria"/>
          <w:color w:val="000000"/>
          <w:sz w:val="20"/>
        </w:rPr>
        <w:t>12. https://www.accessdata.fda.gov/drugsatfda_docs/label/2022/215814s000lbl.pdf</w:t>
      </w:r>
    </w:p>
    <w:p>
      <w:pPr>
        <w:spacing w:line="276" w:lineRule="auto" w:after="80"/>
        <w:jc w:val="both"/>
      </w:pPr>
      <w:r>
        <w:rPr>
          <w:rFonts w:ascii="Cambria" w:hAnsi="Cambria"/>
          <w:color w:val="000000"/>
          <w:sz w:val="20"/>
        </w:rPr>
        <w:t>13. https://www.accessdata.fda.gov/drugsatfda_docs/label/2023/211192s011lbl.pdf</w:t>
      </w:r>
    </w:p>
    <w:p>
      <w:pPr>
        <w:spacing w:line="276" w:lineRule="auto" w:after="80"/>
        <w:jc w:val="both"/>
      </w:pPr>
      <w:r>
        <w:rPr>
          <w:rFonts w:ascii="Cambria" w:hAnsi="Cambria"/>
          <w:color w:val="000000"/>
          <w:sz w:val="20"/>
        </w:rPr>
        <w:t>14. Abou et al. The role of enasidenib in the treatment of mutant IDH2 acute myeloid leukemia. Ther Adv Hematol. 2018 Jul;9(7):163-173. PMID: 30013764</w:t>
      </w:r>
    </w:p>
    <w:p>
      <w:pPr>
        <w:spacing w:line="276" w:lineRule="auto" w:after="80"/>
        <w:jc w:val="both"/>
      </w:pPr>
      <w:r>
        <w:rPr>
          <w:rFonts w:ascii="Cambria" w:hAnsi="Cambria"/>
          <w:color w:val="000000"/>
          <w:sz w:val="20"/>
        </w:rPr>
        <w:t>15. NCCN Guidelines&amp;amp;reg; - NCCN-Central Nervous System Cancers [Version 5.2024]</w:t>
      </w:r>
    </w:p>
    <w:p>
      <w:pPr>
        <w:spacing w:line="276" w:lineRule="auto" w:after="80"/>
        <w:jc w:val="both"/>
      </w:pPr>
      <w:r>
        <w:rPr>
          <w:rFonts w:ascii="Cambria" w:hAnsi="Cambria"/>
          <w:color w:val="000000"/>
          <w:sz w:val="20"/>
        </w:rPr>
        <w:t>16. Cancer Genome Atlas Research Network. Comprehensive, Integrative Genomic Analysis of Diffuse Lower-Grade Gliomas. N Engl J Med. 2015 Jun 25;372(26):2481-98. doi: 10.1056/NEJMoa1402121. Epub 2015 Jun 10. PMID: 26061751</w:t>
      </w:r>
    </w:p>
    <w:p>
      <w:pPr>
        <w:spacing w:line="276" w:lineRule="auto" w:after="80"/>
        <w:jc w:val="both"/>
      </w:pPr>
      <w:r>
        <w:rPr>
          <w:rFonts w:ascii="Cambria" w:hAnsi="Cambria"/>
          <w:color w:val="000000"/>
          <w:sz w:val="20"/>
        </w:rPr>
        <w:t>17. Houillier et al. IDH1 or IDH2 mutations predict longer survival and response to temozolomide in low-grade gliomas. Neurology. 2010 Oct 26;75(17):1560-6. PMID: 20975057</w:t>
      </w:r>
    </w:p>
    <w:p>
      <w:pPr>
        <w:spacing w:line="276" w:lineRule="auto" w:after="80"/>
        <w:jc w:val="both"/>
      </w:pPr>
      <w:r>
        <w:rPr>
          <w:rFonts w:ascii="Cambria" w:hAnsi="Cambria"/>
          <w:color w:val="000000"/>
          <w:sz w:val="20"/>
        </w:rPr>
        <w:t>18. Vannucchi et al. Mutations and prognosis in primary myelofibrosis. Leukemia. 2013 Sep;27(9):1861-9. PMID: 23619563</w:t>
      </w:r>
    </w:p>
    <w:p>
      <w:pPr>
        <w:spacing w:line="276" w:lineRule="auto" w:after="80"/>
        <w:jc w:val="both"/>
      </w:pPr>
      <w:r>
        <w:rPr>
          <w:rFonts w:ascii="Cambria" w:hAnsi="Cambria"/>
          <w:color w:val="000000"/>
          <w:sz w:val="20"/>
        </w:rPr>
        <w:t>19. Tefferi et al. IDH1 and IDH2 mutation studies in 1473 patients with chronic-, fibrotic- or blast-phase essential thrombocythemia, polycythemia vera or myelofibrosis. Leukemia. 2010 Jul;24(7):1302-9. PMID: 20508616</w:t>
      </w:r>
    </w:p>
    <w:p>
      <w:pPr>
        <w:spacing w:line="276" w:lineRule="auto" w:after="80"/>
        <w:jc w:val="both"/>
      </w:pPr>
      <w:r>
        <w:rPr>
          <w:rFonts w:ascii="Cambria" w:hAnsi="Cambria"/>
          <w:color w:val="000000"/>
          <w:sz w:val="20"/>
        </w:rPr>
        <w:t>20. Louis et al. The 2021 WHO Classification of Tumors of the Central Nervous System: a summary. Neuro Oncol. 2021 Aug 2;23(8):1231-1251. PMID: 34185076</w:t>
      </w:r>
    </w:p>
    <w:p>
      <w:r>
        <w:br w:type="page"/>
      </w:r>
    </w:p>
    <w:p>
      <w:pPr>
        <w:spacing w:line="276" w:lineRule="auto" w:after="80"/>
        <w:jc w:val="both"/>
      </w:pPr>
      <w:r>
        <w:rPr>
          <w:rFonts w:ascii="Cambria" w:hAnsi="Cambria"/>
          <w:color w:val="000000"/>
          <w:sz w:val="20"/>
        </w:rPr>
        <w:t>22. Colebatch et al. TERT gene: its function and dysregulation in cancer. J Clin Pathol. 2019 Apr;72(4):281-284. PMID: 30696697</w:t>
      </w:r>
    </w:p>
    <w:p>
      <w:pPr>
        <w:spacing w:line="276" w:lineRule="auto" w:after="80"/>
        <w:jc w:val="both"/>
      </w:pPr>
      <w:r>
        <w:rPr>
          <w:rFonts w:ascii="Cambria" w:hAnsi="Cambria"/>
          <w:color w:val="000000"/>
          <w:sz w:val="20"/>
        </w:rPr>
        <w:t>23. Mizukoshi et al. Telomerase-Targeted Cancer Immunotherapy. Int J Mol Sci. 2019 Apr 12;20(8). PMID: 31013796</w:t>
      </w:r>
    </w:p>
    <w:p>
      <w:pPr>
        <w:spacing w:line="276" w:lineRule="auto" w:after="80"/>
        <w:jc w:val="both"/>
      </w:pPr>
      <w:r>
        <w:rPr>
          <w:rFonts w:ascii="Cambria" w:hAnsi="Cambria"/>
          <w:color w:val="000000"/>
          <w:sz w:val="20"/>
        </w:rPr>
        <w:t>24. Arita et al. TERT promoter mutation confers favorable prognosis regardless of 1p/19q status in adult diffuse gliomas with IDH1/2 mutations. Acta Neuropathol Commun. 2020 Nov 23;8(1):201. PMID: 33228806</w:t>
      </w:r>
    </w:p>
    <w:p>
      <w:pPr>
        <w:spacing w:line="276" w:lineRule="auto" w:after="80"/>
        <w:ind w:left="360"/>
      </w:pPr>
      <w:r>
        <w:rPr>
          <w:rFonts w:ascii="Cambria" w:hAnsi="Cambria"/>
          <w:color w:val="000000"/>
          <w:sz w:val="20"/>
        </w:rPr>
        <w:t>------------------ End Of Report ------------------</w:t>
      </w:r>
    </w:p>
    <w:tbl>
      <w:tblPr>
        <w:tblW w:type="auto" w:w="0"/>
        <w:jc w:val="center"/>
        <w:tblLayout w:type="fixed"/>
        <w:tblLook w:firstColumn="1" w:firstRow="1" w:lastColumn="0" w:lastRow="0" w:noHBand="0" w:noVBand="1" w:val="04A0"/>
      </w:tblPr>
      <w:tblGrid>
        <w:gridCol w:w="3600"/>
        <w:gridCol w:w="3600"/>
        <w:gridCol w:w="3600"/>
      </w:tblGrid>
      <w:tr>
        <w:tc>
          <w:tcPr>
            <w:tcW w:type="dxa" w:w="3600"/>
            <w:tcBorders>
              <w:top w:val="single" w:sz="4" w:space="0" w:color="FFFFFF"/>
              <w:left w:val="single" w:sz="4" w:space="0" w:color="FFFFFF"/>
              <w:bottom w:val="single" w:sz="4" w:space="0" w:color="FFFFFF"/>
              <w:right w:val="single" w:sz="4" w:space="0" w:color="FFFFFF"/>
            </w:tcBorders>
          </w:tcPr>
          <w:p>
            <w:pPr>
              <w:jc w:val="center"/>
            </w:pPr>
            <w:r>
              <w:rPr>
                <w:rFonts w:ascii="Cambria" w:hAnsi="Cambria"/>
                <w:color w:val="94A3B8"/>
                <w:sz w:val="17"/>
              </w:rPr>
              <w:t>_______________________</w:t>
              <w:br/>
              <w:t>(Signature / Stamp)</w:t>
            </w:r>
          </w:p>
        </w:tc>
        <w:tc>
          <w:tcPr>
            <w:tcW w:type="dxa" w:w="3600"/>
            <w:tcBorders>
              <w:top w:val="single" w:sz="4" w:space="0" w:color="FFFFFF"/>
              <w:left w:val="single" w:sz="4" w:space="0" w:color="FFFFFF"/>
              <w:bottom w:val="single" w:sz="4" w:space="0" w:color="FFFFFF"/>
              <w:right w:val="single" w:sz="4" w:space="0" w:color="FFFFFF"/>
            </w:tcBorders>
          </w:tcPr>
          <w:p>
            <w:pPr>
              <w:jc w:val="center"/>
            </w:pPr>
            <w:r>
              <w:rPr>
                <w:rFonts w:ascii="Cambria" w:hAnsi="Cambria"/>
                <w:color w:val="94A3B8"/>
                <w:sz w:val="17"/>
              </w:rPr>
              <w:t>_______________________</w:t>
              <w:br/>
              <w:t>(Signature / Stamp)</w:t>
            </w:r>
          </w:p>
        </w:tc>
        <w:tc>
          <w:tcPr>
            <w:tcW w:type="dxa" w:w="3600"/>
            <w:tcBorders>
              <w:top w:val="single" w:sz="4" w:space="0" w:color="FFFFFF"/>
              <w:left w:val="single" w:sz="4" w:space="0" w:color="FFFFFF"/>
              <w:bottom w:val="single" w:sz="4" w:space="0" w:color="FFFFFF"/>
              <w:right w:val="single" w:sz="4" w:space="0" w:color="FFFFFF"/>
            </w:tcBorders>
          </w:tcPr>
          <w:p>
            <w:pPr>
              <w:jc w:val="center"/>
            </w:pPr>
            <w:r>
              <w:rPr>
                <w:rFonts w:ascii="Cambria" w:hAnsi="Cambria"/>
                <w:color w:val="94A3B8"/>
                <w:sz w:val="17"/>
              </w:rPr>
              <w:t>_______________________</w:t>
              <w:br/>
              <w:t>(Signature / Stamp)</w:t>
            </w:r>
          </w:p>
        </w:tc>
      </w:tr>
      <w:tr>
        <w:tc>
          <w:tcPr>
            <w:tcW w:type="dxa" w:w="3600"/>
            <w:tcBorders>
              <w:top w:val="single" w:sz="4" w:space="0" w:color="FFFFFF"/>
              <w:left w:val="single" w:sz="4" w:space="0" w:color="FFFFFF"/>
              <w:bottom w:val="single" w:sz="4" w:space="0" w:color="FFFFFF"/>
              <w:right w:val="single" w:sz="4" w:space="0" w:color="FFFFFF"/>
            </w:tcBorders>
          </w:tcPr>
          <w:p>
            <w:pPr>
              <w:jc w:val="center"/>
            </w:pPr>
            <w:r>
              <w:rPr>
                <w:rFonts w:ascii="Cambria" w:hAnsi="Cambria"/>
                <w:b/>
                <w:color w:val="1F497D"/>
                <w:sz w:val="18"/>
              </w:rPr>
              <w:t>Prepared / Verified By</w:t>
            </w:r>
          </w:p>
        </w:tc>
        <w:tc>
          <w:tcPr>
            <w:tcW w:type="dxa" w:w="3600"/>
            <w:tcBorders>
              <w:top w:val="single" w:sz="4" w:space="0" w:color="FFFFFF"/>
              <w:left w:val="single" w:sz="4" w:space="0" w:color="FFFFFF"/>
              <w:bottom w:val="single" w:sz="4" w:space="0" w:color="FFFFFF"/>
              <w:right w:val="single" w:sz="4" w:space="0" w:color="FFFFFF"/>
            </w:tcBorders>
          </w:tcPr>
          <w:p>
            <w:pPr>
              <w:jc w:val="center"/>
            </w:pPr>
            <w:r>
              <w:rPr>
                <w:rFonts w:ascii="Cambria" w:hAnsi="Cambria"/>
                <w:b/>
                <w:color w:val="1F497D"/>
                <w:sz w:val="18"/>
              </w:rPr>
              <w:t>Reviewing Officer</w:t>
            </w:r>
          </w:p>
        </w:tc>
        <w:tc>
          <w:tcPr>
            <w:tcW w:type="dxa" w:w="3600"/>
            <w:tcBorders>
              <w:top w:val="single" w:sz="4" w:space="0" w:color="FFFFFF"/>
              <w:left w:val="single" w:sz="4" w:space="0" w:color="FFFFFF"/>
              <w:bottom w:val="single" w:sz="4" w:space="0" w:color="FFFFFF"/>
              <w:right w:val="single" w:sz="4" w:space="0" w:color="FFFFFF"/>
            </w:tcBorders>
          </w:tcPr>
          <w:p>
            <w:pPr>
              <w:jc w:val="center"/>
            </w:pPr>
            <w:r>
              <w:rPr>
                <w:rFonts w:ascii="Cambria" w:hAnsi="Cambria"/>
                <w:b/>
                <w:color w:val="1F497D"/>
                <w:sz w:val="18"/>
              </w:rPr>
              <w:t>Authorized Signatory</w:t>
            </w:r>
          </w:p>
        </w:tc>
      </w:tr>
    </w:tbl>
    <w:p>
      <w:pPr>
        <w:spacing w:before="240" w:after="240"/>
        <w:jc w:val="center"/>
      </w:pPr>
      <w:r>
        <w:rPr>
          <w:rFonts w:ascii="Calibri" w:hAnsi="Calibri"/>
          <w:b/>
          <w:color w:val="1F497D"/>
          <w:sz w:val="20"/>
        </w:rPr>
        <w:t>------------------ End Of Report ------------------</w:t>
      </w:r>
    </w:p>
    <w:sectPr w:rsidR="00FC693F" w:rsidRPr="0006063C" w:rsidSect="00034616">
      <w:headerReference w:type="default" r:id="rId9"/>
      <w:footerReference w:type="default" r:id="rId10"/>
      <w:pgSz w:w="12240" w:h="15840"/>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sz w:val="18"/>
      </w:rPr>
      <w:tab/>
      <w:t xml:space="preserve">Page </w:t>
      <w:fldChar w:fldCharType="begin"/>
      <w:instrText xml:space="preserve"> PAGE </w:instrText>
      <w:fldChar w:fldCharType="separate"/>
      <w:fldChar w:fldCharType="end"/>
    </w:r>
    <w:r>
      <w:rPr>
        <w:rFonts w:ascii="Cambria" w:hAnsi="Cambria"/>
        <w:sz w:val="18"/>
      </w:rPr>
      <w:t xml:space="preserve"> of </w:t>
      <w:fldChar w:fldCharType="begin"/>
      <w:instrText xml:space="preserve"> NUMPAGES </w:instrText>
      <w:fldChar w:fldCharType="separate"/>
      <w:fldChar w:fldCharType="end"/>
    </w:r>
    <w:r>
      <w:rPr>
        <w:rFonts w:ascii="Cambria" w:hAnsi="Cambria"/>
        <w:sz w:val="18"/>
      </w:rP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tbl>
    <w:tblPr>
      <w:tblW w:type="auto" w:w="0"/>
      <w:jc w:val="center"/>
      <w:tblLayout w:type="fixed"/>
      <w:tblLook w:firstColumn="1" w:firstRow="1" w:lastColumn="0" w:lastRow="0" w:noHBand="0" w:noVBand="1" w:val="04A0"/>
    </w:tblPr>
    <w:tblGrid>
      <w:gridCol w:w="2700"/>
      <w:gridCol w:w="2700"/>
      <w:gridCol w:w="2700"/>
      <w:gridCol w:w="2700"/>
    </w:tblGrid>
    <w:tr>
      <w:tc>
        <w:tcPr>
          <w:tcW w:type="dxa" w:w="2700"/>
          <w:tcW w:w="1744"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Clinical Indication</w:t>
          </w:r>
        </w:p>
      </w:tc>
      <w:tc>
        <w:tcPr>
          <w:tcW w:type="dxa" w:w="2700"/>
          <w:tcW w:w="3215"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Features are consistent with recurrent astrocytoma, IDH - mutant, CNS WHO grade 4 Block No.</w:t>
          </w:r>
        </w:p>
      </w:tc>
      <w:tc>
        <w:tcPr>
          <w:tcW w:type="dxa" w:w="2700"/>
          <w:tcW w:w="1779"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guidelines</w:t>
          </w:r>
        </w:p>
      </w:tc>
      <w:tc>
        <w:tcPr>
          <w:tcW w:type="dxa" w:w="2700"/>
          <w:tcW w:w="4062"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EMA, FDA, ESMO, NCCN.</w:t>
          </w:r>
        </w:p>
      </w:tc>
    </w:tr>
    <w:tr>
      <w:tc>
        <w:tcPr>
          <w:tcW w:type="dxa" w:w="2700"/>
          <w:tcW w:w="1744"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4 chr2</w:t>
          </w:r>
        </w:p>
      </w:tc>
      <w:tc>
        <w:tcPr>
          <w:tcW w:type="dxa" w:w="2700"/>
          <w:tcW w:w="3215"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209113112 c.395G&gt;A p.(R132H)</w:t>
          </w:r>
        </w:p>
      </w:tc>
      <w:tc>
        <w:tcPr>
          <w:tcW w:type="dxa" w:w="2700"/>
          <w:tcW w:w="1779"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Cancer type</w:t>
          </w:r>
        </w:p>
      </w:tc>
      <w:tc>
        <w:tcPr>
          <w:tcW w:type="dxa" w:w="2700"/>
          <w:tcW w:w="4062"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Cholangiocarcinoma</w:t>
          </w:r>
        </w:p>
      </w:tc>
    </w:tr>
    <w:tr>
      <w:tc>
        <w:tcPr>
          <w:tcW w:type="dxa" w:w="2700"/>
          <w:tcW w:w="1744"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3 chr5</w:t>
          </w:r>
        </w:p>
      </w:tc>
      <w:tc>
        <w:tcPr>
          <w:tcW w:type="dxa" w:w="2700"/>
          <w:tcW w:w="3215"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1295228 c.-124C&gt;T (Upstream Mutation)</w:t>
          </w:r>
        </w:p>
      </w:tc>
      <w:tc>
        <w:tcPr>
          <w:tcW w:type="dxa" w:w="2700"/>
          <w:tcW w:w="1779"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Note</w:t>
          </w:r>
        </w:p>
      </w:tc>
      <w:tc>
        <w:tcPr>
          <w:tcW w:type="dxa" w:w="2700"/>
          <w:tcW w:w="4062"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w:t>
          </w:r>
        </w:p>
      </w:tc>
    </w:tr>
    <w:tr>
      <w:tc>
        <w:tcPr>
          <w:tcW w:type="dxa" w:w="2700"/>
          <w:tcW w:w="1744"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PMID</w:t>
          </w:r>
        </w:p>
      </w:tc>
      <w:tc>
        <w:tcPr>
          <w:tcW w:type="dxa" w:w="2700"/>
          <w:tcW w:w="3215"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33228806</w:t>
          </w:r>
        </w:p>
      </w:tc>
      <w:tc>
        <w:tcPr>
          <w:tcW w:type="dxa" w:w="2700"/>
          <w:tcW w:w="1779"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The cBio cancer genomics portal</w:t>
          </w:r>
        </w:p>
      </w:tc>
      <w:tc>
        <w:tcPr>
          <w:tcW w:type="dxa" w:w="2700"/>
          <w:tcW w:w="4062"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an open platform for exploring multidimensional cancer genomics data. Cancer Discov. 2012 May;2(5)</w:t>
          </w:r>
        </w:p>
      </w:tc>
    </w:tr>
    <w:tr>
      <w:tc>
        <w:tcPr>
          <w:tcW w:type="dxa" w:w="2700"/>
          <w:tcW w:w="1744"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doi</w:t>
          </w:r>
        </w:p>
      </w:tc>
      <w:tc>
        <w:tcPr>
          <w:tcW w:type="dxa" w:w="2700"/>
          <w:tcW w:w="3215"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10.1056/NEJMoa1402121. Epub 2015 Jun 10. PMID</w:t>
          </w:r>
        </w:p>
      </w:tc>
      <w:tc>
        <w:tcPr>
          <w:tcW w:type="dxa" w:w="2700"/>
          <w:tcW w:w="1779"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b/>
              <w:color w:val="1F497D"/>
              <w:sz w:val="18"/>
            </w:rPr>
            <w:t>TERT gene</w:t>
          </w:r>
        </w:p>
      </w:tc>
      <w:tc>
        <w:tcPr>
          <w:tcW w:type="dxa" w:w="2700"/>
          <w:tcW w:w="4062" w:type="dxa"/>
          <w:tcMar>
            <w:top w:w="20" w:type="dxa"/>
            <w:left w:w="40" w:type="dxa"/>
            <w:bottom w:w="20" w:type="dxa"/>
            <w:right w:w="40" w:type="dxa"/>
          </w:tcMar>
          <w:tcBorders>
            <w:top w:val="single" w:sz="2" w:space="0" w:color="cbd5e1"/>
            <w:left w:val="single" w:sz="2" w:space="0" w:color="cbd5e1"/>
            <w:bottom w:val="single" w:sz="2" w:space="0" w:color="cbd5e1"/>
            <w:right w:val="single" w:sz="2" w:space="0" w:color="cbd5e1"/>
          </w:tcBorders>
        </w:tcPr>
        <w:p>
          <w:pPr>
            <w:spacing w:before="0" w:after="0" w:line="240" w:lineRule="auto"/>
          </w:pPr>
          <w:r>
            <w:rPr>
              <w:rFonts w:ascii="Cambria" w:hAnsi="Cambria"/>
              <w:color w:val="000000"/>
              <w:sz w:val="18"/>
            </w:rPr>
            <w:t>: its function and dysregulation in cancer. J Clin Pathol. 2019 Apr;72(4)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