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F497D"/>
          <w:sz w:val="36"/>
        </w:rPr>
        <w:t>TESTREPORT_BASANTI DEVI 10078040 OQG2604170493_60400127778_42F516A3-EBF4-4187-A505-E2B8C4B5E928</w:t>
      </w:r>
    </w:p>
    <w:p>
      <w:pPr>
        <w:spacing w:after="240"/>
      </w:pPr>
      <w:r>
        <w:rPr>
          <w:rFonts w:ascii="Arial" w:hAnsi="Arial"/>
          <w:color w:val="64748B"/>
          <w:sz w:val="19"/>
        </w:rPr>
        <w:t>Universal Dynamic Document Report</w:t>
      </w:r>
    </w:p>
    <w:p>
      <w:pPr>
        <w:spacing w:after="80"/>
      </w:pPr>
      <w:r>
        <w:rPr>
          <w:rFonts w:ascii="Arial" w:hAnsi="Arial"/>
          <w:b/>
          <w:color w:val="1F497D"/>
          <w:sz w:val="22"/>
        </w:rPr>
        <w:t>📋 Header Metadata &amp; Key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1F497D"/>
                <w:sz w:val="18"/>
              </w:rPr>
              <w:t>Methodology:</w:t>
            </w:r>
          </w:p>
        </w:tc>
        <w:tc>
          <w:tcPr>
            <w:tcW w:type="dxa" w:w="252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sz w:val="18"/>
              </w:rPr>
              <w:t>Next Generation Sequencing (Massively Parallel Sequencing)</w:t>
            </w:r>
          </w:p>
        </w:tc>
        <w:tc>
          <w:tcPr>
            <w:tcW w:type="dxa" w:w="25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1F497D"/>
                <w:sz w:val="18"/>
              </w:rPr>
              <w:t>Sample:</w:t>
            </w:r>
          </w:p>
        </w:tc>
        <w:tc>
          <w:tcPr>
            <w:tcW w:type="dxa" w:w="252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sz w:val="18"/>
              </w:rPr>
              <w:t>EDTA Blood</w:t>
            </w:r>
          </w:p>
        </w:tc>
      </w:tr>
      <w:tr>
        <w:tc>
          <w:tcPr>
            <w:tcW w:type="dxa" w:w="25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1F497D"/>
                <w:sz w:val="18"/>
              </w:rPr>
              <w:t>Final conclusion:</w:t>
            </w:r>
          </w:p>
        </w:tc>
        <w:tc>
          <w:tcPr>
            <w:tcW w:type="dxa" w:w="252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sz w:val="18"/>
              </w:rPr>
              <w:t>The patient is found to have L248V mutation.</w:t>
            </w:r>
          </w:p>
        </w:tc>
        <w:tc>
          <w:tcPr>
            <w:tcW w:type="dxa" w:w="25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1F497D"/>
                <w:sz w:val="18"/>
              </w:rPr>
            </w:r>
          </w:p>
        </w:tc>
        <w:tc>
          <w:tcPr>
            <w:tcW w:type="dxa" w:w="252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1F497D"/>
          <w:sz w:val="22"/>
        </w:rPr>
        <w:t>📌 Test Description:</w:t>
      </w:r>
    </w:p>
    <w:p>
      <w:pPr>
        <w:spacing w:line="276" w:lineRule="auto" w:after="60"/>
      </w:pPr>
      <w:r>
        <w:rPr>
          <w:rFonts w:ascii="Arial" w:hAnsi="Arial"/>
          <w:sz w:val="19"/>
        </w:rPr>
        <w:t>Total RNA was extracted and nested reverse transcription PCR was performed to detect the BCR-ABL1 transcript and ABL1 kinase domain (KD) region was thereafter sequenced by Next Generation Sequencing for detection of mutant alleles.</w:t>
      </w:r>
    </w:p>
    <w:p>
      <w:pPr>
        <w:spacing w:line="276" w:lineRule="auto" w:after="60"/>
      </w:pPr>
      <w:r>
        <w:rPr>
          <w:rFonts w:ascii="Arial" w:hAnsi="Arial"/>
          <w:sz w:val="19"/>
        </w:rPr>
        <w:t>Methodology: Next Generation Sequencing (Massively Parallel Sequencing)</w:t>
      </w:r>
    </w:p>
    <w:p>
      <w:pPr>
        <w:spacing w:before="160" w:after="80"/>
      </w:pPr>
      <w:r>
        <w:rPr>
          <w:rFonts w:ascii="Arial" w:hAnsi="Arial"/>
          <w:b/>
          <w:color w:val="1F497D"/>
          <w:sz w:val="22"/>
        </w:rPr>
        <w:t>📌 General Content / Notes</w:t>
      </w:r>
    </w:p>
    <w:p>
      <w:pPr>
        <w:spacing w:line="276" w:lineRule="auto" w:after="60"/>
      </w:pPr>
      <w:r>
        <w:rPr>
          <w:rFonts w:ascii="Arial" w:hAnsi="Arial"/>
          <w:sz w:val="19"/>
        </w:rPr>
        <w:t>Final conclusion: The patient is found to have L248V mutation.</w:t>
      </w:r>
    </w:p>
    <w:p>
      <w:pPr>
        <w:spacing w:line="276" w:lineRule="auto" w:after="60"/>
      </w:pPr>
      <w:r>
        <w:rPr>
          <w:rFonts w:ascii="Arial" w:hAnsi="Arial"/>
          <w:sz w:val="19"/>
        </w:rPr>
        <w:t>Sr. No.</w:t>
      </w:r>
    </w:p>
    <w:p>
      <w:pPr>
        <w:spacing w:before="160" w:after="80"/>
      </w:pPr>
      <w:r>
        <w:rPr>
          <w:rFonts w:ascii="Arial" w:hAnsi="Arial"/>
          <w:b/>
          <w:color w:val="1F497D"/>
          <w:sz w:val="22"/>
        </w:rPr>
        <w:t>📌 IC50 (Imatinib)2</w:t>
      </w:r>
    </w:p>
    <w:p>
      <w:pPr>
        <w:spacing w:line="276" w:lineRule="auto" w:after="60"/>
      </w:pPr>
      <w:r>
        <w:rPr>
          <w:rFonts w:ascii="Arial" w:hAnsi="Arial"/>
          <w:sz w:val="19"/>
        </w:rPr>
        <w:t>Sr. No.</w:t>
      </w:r>
    </w:p>
    <w:p>
      <w:pPr>
        <w:spacing w:before="160" w:after="80"/>
      </w:pPr>
      <w:r>
        <w:rPr>
          <w:rFonts w:ascii="Arial" w:hAnsi="Arial"/>
          <w:b/>
          <w:color w:val="1F497D"/>
          <w:sz w:val="22"/>
        </w:rPr>
        <w:t>📌 General Content / Notes</w:t>
      </w:r>
    </w:p>
    <w:p>
      <w:pPr>
        <w:spacing w:line="276" w:lineRule="auto" w:after="60"/>
      </w:pPr>
      <w:r>
        <w:rPr>
          <w:rFonts w:ascii="Arial" w:hAnsi="Arial"/>
          <w:sz w:val="19"/>
        </w:rPr>
        <w:t>17 Q252H Negative I 4.8</w:t>
      </w:r>
    </w:p>
    <w:p>
      <w:pPr>
        <w:spacing w:line="276" w:lineRule="auto" w:after="60"/>
      </w:pPr>
      <w:r>
        <w:rPr>
          <w:rFonts w:ascii="Arial" w:hAnsi="Arial"/>
          <w:sz w:val="19"/>
        </w:rPr>
        <w:t>18 L387M Negative S 4.3</w:t>
      </w:r>
    </w:p>
    <w:p>
      <w:pPr>
        <w:spacing w:after="160"/>
      </w:pPr>
    </w:p>
    <w:p>
      <w:pPr>
        <w:spacing w:before="3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_______________________</w:t>
              <w:br/>
              <w:t>(Signature / Stamp)</w:t>
            </w:r>
          </w:p>
        </w:tc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_______________________</w:t>
              <w:br/>
              <w:t>(Signature / Stamp)</w:t>
            </w:r>
          </w:p>
        </w:tc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_______________________</w:t>
              <w:br/>
              <w:t>(Signature / Stamp)</w:t>
            </w:r>
          </w:p>
        </w:tc>
      </w:tr>
      <w:tr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F497D"/>
                <w:sz w:val="18"/>
              </w:rPr>
              <w:t>Prepared / Verified By</w:t>
            </w:r>
          </w:p>
        </w:tc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F497D"/>
                <w:sz w:val="18"/>
              </w:rPr>
              <w:t>Reviewing Officer</w:t>
            </w:r>
          </w:p>
        </w:tc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F497D"/>
                <w:sz w:val="18"/>
              </w:rPr>
              <w:t>Authorized Signatory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