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40"/>
        <w:jc w:val="center"/>
      </w:pPr>
      <w:r>
        <w:rPr>
          <w:rFonts w:ascii="Cambria, serif" w:hAnsi="Cambria, serif"/>
          <w:b/>
          <w:color w:val="1F497D"/>
          <w:sz w:val="28"/>
        </w:rPr>
        <w:t>Whole exome with Mitochondrial Genome Sequencing</w:t>
      </w:r>
    </w:p>
    <w:p>
      <w:pPr>
        <w:spacing w:before="200" w:after="80"/>
      </w:pPr>
      <w:r>
        <w:rPr>
          <w:rFonts w:ascii="Cambria, serif" w:hAnsi="Cambria, serif"/>
          <w:b/>
          <w:color w:val="1F497D"/>
          <w:sz w:val="22"/>
        </w:rPr>
        <w:t>Key Findings:</w:t>
      </w:r>
    </w:p>
    <w:p>
      <w:pPr>
        <w:spacing w:line="276" w:lineRule="auto" w:after="80"/>
        <w:ind w:left="360"/>
      </w:pPr>
      <w:r>
        <w:rPr>
          <w:rFonts w:ascii="Cambria, serif" w:hAnsi="Cambria, serif"/>
          <w:b/>
          <w:color w:val="ED7D31"/>
          <w:sz w:val="20"/>
        </w:rPr>
        <w:t>*Genetic test results are reported based on the recommendations of AMP-ASCO-CAP guidelines. **Public data sources included in relevant targeted therapies, guidelines: EMA, FDA, ESMO, NCCN.</w:t>
      </w:r>
    </w:p>
    <w:p>
      <w:pPr>
        <w:spacing w:before="200" w:after="80"/>
      </w:pPr>
      <w:r>
        <w:rPr>
          <w:rFonts w:ascii="Cambria, serif" w:hAnsi="Cambria, serif"/>
          <w:b/>
          <w:color w:val="1F497D"/>
          <w:sz w:val="22"/>
        </w:rPr>
        <w:t>Multi-Gene Biomarkers Results:</w:t>
      </w:r>
    </w:p>
    <w:p>
      <w:pPr>
        <w:spacing w:line="276" w:lineRule="auto" w:after="80"/>
        <w:jc w:val="both"/>
      </w:pPr>
      <w:r>
        <w:rPr>
          <w:rFonts w:ascii="Cambria, serif" w:hAnsi="Cambria, serif"/>
          <w:color w:val="0D0D0D"/>
          <w:sz w:val="20"/>
        </w:rPr>
        <w:t># Correlation of the genetic findings with the clinical condition of the patient is required to arrive at accurate diagnosis, prognosis or therapeutic decisions.</w:t>
      </w:r>
    </w:p>
    <w:p>
      <w:pPr>
        <w:spacing w:before="200" w:after="80"/>
      </w:pPr>
      <w:r>
        <w:rPr>
          <w:rFonts w:ascii="Cambria, serif" w:hAnsi="Cambria, serif"/>
          <w:b/>
          <w:color w:val="1F497D"/>
          <w:sz w:val="22"/>
        </w:rPr>
        <w:t>Variant Biomarker Description</w:t>
      </w:r>
    </w:p>
    <w:p>
      <w:pPr>
        <w:spacing w:line="276" w:lineRule="auto" w:after="80"/>
      </w:pPr>
      <w:r>
        <w:rPr>
          <w:rFonts w:ascii="Cambria, serif" w:hAnsi="Cambria, serif"/>
          <w:color w:val="0D0D0D"/>
          <w:sz w:val="20"/>
        </w:rPr>
        <w:t>TP53 NM_000546.6 chr17:7578525 c.405C&gt;A p.(C135*)</w:t>
      </w:r>
    </w:p>
    <w:p>
      <w:pPr>
        <w:spacing w:before="200" w:after="80"/>
      </w:pPr>
      <w:r>
        <w:rPr>
          <w:rFonts w:ascii="Cambria, serif" w:hAnsi="Cambria, serif"/>
          <w:b/>
          <w:color w:val="1F497D"/>
          <w:sz w:val="22"/>
        </w:rPr>
        <w:t>SC0245 X X X X I</w:t>
      </w:r>
    </w:p>
    <w:p>
      <w:pPr>
        <w:spacing w:line="276" w:lineRule="auto" w:after="80"/>
        <w:jc w:val="both"/>
      </w:pPr>
      <w:r>
        <w:rPr>
          <w:rFonts w:ascii="Cambria, serif" w:hAnsi="Cambria, serif"/>
          <w:color w:val="0D0D0D"/>
          <w:sz w:val="20"/>
        </w:rPr>
        <w:t>📝Note:  ✓ : In this Cancer Type,  ✓ : In Other Cancer Type,  ✓ ✓ : both In this and Other Cancer Type,  X  : No Evidence. ⚠️ : Caution for Use</w:t>
      </w:r>
    </w:p>
    <w:p>
      <w:pPr>
        <w:spacing w:before="200" w:after="80"/>
      </w:pPr>
      <w:r>
        <w:rPr>
          <w:rFonts w:ascii="Cambria, serif" w:hAnsi="Cambria, serif"/>
          <w:b/>
          <w:color w:val="1F497D"/>
          <w:sz w:val="22"/>
        </w:rPr>
        <w:t>Test Description</w:t>
      </w:r>
    </w:p>
    <w:p>
      <w:pPr>
        <w:spacing w:line="276" w:lineRule="auto" w:after="80"/>
        <w:jc w:val="both"/>
      </w:pPr>
      <w:r>
        <w:rPr>
          <w:rFonts w:ascii="Cambria, serif" w:hAnsi="Cambria, serif"/>
          <w:color w:val="0D0D0D"/>
          <w:sz w:val="20"/>
        </w:rPr>
        <w:t>Liquidseq Actionable Genomic Profiling Panel is advancing precision oncology research through the analysis of multiple relevant biomarkers in a single next-generation sequencing (NGS) test.</w:t>
      </w:r>
    </w:p>
    <w:p>
      <w:pPr>
        <w:spacing w:before="200" w:after="80"/>
      </w:pPr>
      <w:r>
        <w:rPr>
          <w:rFonts w:ascii="Cambria, serif" w:hAnsi="Cambria, serif"/>
          <w:b/>
          <w:color w:val="1F497D"/>
          <w:sz w:val="22"/>
        </w:rPr>
        <w:t>General Content / Notes</w:t>
      </w:r>
    </w:p>
    <w:p>
      <w:pPr>
        <w:spacing w:line="276" w:lineRule="auto" w:after="80"/>
        <w:jc w:val="both"/>
      </w:pPr>
      <w:r>
        <w:rPr>
          <w:rFonts w:ascii="Cambria, serif" w:hAnsi="Cambria, serif"/>
          <w:color w:val="0D0D0D"/>
          <w:sz w:val="20"/>
        </w:rPr>
        <w:t>Data Analysis: Sequencing data analyzed using a customized and validated bioinformatics pipeline capable of detecting various classes of genomic alterations, including single nucleotide variants ( SNVs ),  Indels , copy number variations ( CNVs ) and  fusions . As part of the streamlined bioinformatics workflow, Multi-gene Biomarkers such as Microsatellite Instability ( MSI ) Score is calculated. Reportable genomic alterations and fusions are prioritized, classified, and reported based on AMP-ASCO-CAP guidelines and NCCN guidelines.</w:t>
      </w:r>
    </w:p>
    <w:p>
      <w:pPr>
        <w:spacing w:line="276" w:lineRule="auto" w:after="80"/>
        <w:jc w:val="both"/>
      </w:pPr>
      <w:r>
        <w:rPr>
          <w:rFonts w:ascii="Cambria, serif" w:hAnsi="Cambria, serif"/>
          <w:color w:val="0D0D0D"/>
          <w:sz w:val="20"/>
        </w:rPr>
        <w:t>Limit of Detection (LOD): The LOD for SNVs and Short InDels is 0.1% Variant allele Frequency (VAF) and for Fusions is 05 supporting reads.</w:t>
      </w:r>
    </w:p>
    <w:p>
      <w:pPr>
        <w:spacing w:before="200" w:after="80"/>
      </w:pPr>
      <w:r>
        <w:rPr>
          <w:rFonts w:ascii="Cambria, serif" w:hAnsi="Cambria, serif"/>
          <w:b/>
          <w:color w:val="1F497D"/>
          <w:sz w:val="22"/>
        </w:rPr>
        <w:t>Notes</w:t>
      </w:r>
    </w:p>
    <w:p>
      <w:pPr>
        <w:spacing w:line="276" w:lineRule="auto" w:after="80"/>
        <w:jc w:val="both"/>
      </w:pPr>
      <w:r>
        <w:rPr>
          <w:rFonts w:ascii="Cambria, serif" w:hAnsi="Cambria, serif"/>
          <w:color w:val="0D0D0D"/>
          <w:sz w:val="20"/>
        </w:rPr>
        <w:t>Treatment decisions should not be based solely on the results of this test. Findings must be interpreted in the context of the patient’s complete clinical profile—including pathological, radiological, and family history—to guide diagnosis, prognosis, and therapeutic decisions.</w:t>
      </w:r>
    </w:p>
    <w:p>
      <w:pPr>
        <w:spacing w:line="276" w:lineRule="auto" w:after="80"/>
        <w:jc w:val="both"/>
      </w:pPr>
      <w:r>
        <w:rPr>
          <w:rFonts w:ascii="Cambria, serif" w:hAnsi="Cambria, serif"/>
          <w:color w:val="0D0D0D"/>
          <w:sz w:val="20"/>
        </w:rPr>
        <w:t>Therapy-related information in this report is derived from multiple sources including FDA-approved drug data, NCCN guidelines, peer-reviewed literature, standard clinical databases, and biomarker evidence strength. However, therapy options listed may not be suitable or beneficial for all patients. This report aims to provide a summary of potentially effective treatments, therapies that may pose increased risks, and those that may have limited benefit, based on genomic alterations identified. Prognostic and diagnostic biomarkers relevant to the disease context may also be reported.</w:t>
      </w:r>
    </w:p>
    <w:p>
      <w:pPr>
        <w:spacing w:line="276" w:lineRule="auto" w:after="80"/>
        <w:jc w:val="both"/>
      </w:pPr>
      <w:r>
        <w:rPr>
          <w:rFonts w:ascii="Cambria, serif" w:hAnsi="Cambria, serif"/>
          <w:color w:val="0D0D0D"/>
          <w:sz w:val="20"/>
        </w:rPr>
        <w:t>SN Genelab Pvt Ltd does not guarantee completeness, accuracy, or eligibility for trial enrollment. Physicians must verify eligibility criteria for specific trials independently.</w:t>
      </w:r>
    </w:p>
    <w:p>
      <w:pPr>
        <w:spacing w:line="276" w:lineRule="auto" w:after="80"/>
        <w:jc w:val="both"/>
      </w:pPr>
      <w:r>
        <w:rPr>
          <w:rFonts w:ascii="Cambria, serif" w:hAnsi="Cambria, serif"/>
          <w:color w:val="0D0D0D"/>
          <w:sz w:val="20"/>
        </w:rPr>
        <w:t>Identification of a genomic alteration does not guarantee therapeutic efficacy or predict ineffectiveness. Final decisions on treatment should rest with the treating physician. The absence of reported therapeutic options does not imply ineffectiveness or lack of safety of any medication selected independently.</w:t>
      </w:r>
    </w:p>
    <w:p>
      <w:pPr>
        <w:spacing w:line="276" w:lineRule="auto" w:after="80"/>
        <w:jc w:val="both"/>
      </w:pPr>
      <w:r>
        <w:rPr>
          <w:rFonts w:ascii="Cambria, serif" w:hAnsi="Cambria, serif"/>
          <w:color w:val="0D0D0D"/>
          <w:sz w:val="20"/>
        </w:rPr>
        <w:t>All variant classifications and related clinical information are based on the latest evidence from peer-reviewed publications, public clinical databases, and medical guidelines (e.g., NCCN, ASCO, AMP) available at the time of report generation. However, literature is continuously evolving, and classification may change with emerging evidence.</w:t>
      </w:r>
    </w:p>
    <w:p>
      <w:pPr>
        <w:spacing w:line="276" w:lineRule="auto" w:after="80"/>
        <w:jc w:val="both"/>
      </w:pPr>
      <w:r>
        <w:rPr>
          <w:rFonts w:ascii="Cambria, serif" w:hAnsi="Cambria, serif"/>
          <w:color w:val="0D0D0D"/>
          <w:sz w:val="20"/>
        </w:rPr>
        <w:t>The assay is designed and validated for somatic variant detection, it does not differentiate between somatic and germline variants. If indicated, germline testing and genetic counselling are recommended.</w:t>
      </w:r>
    </w:p>
    <w:p>
      <w:pPr>
        <w:spacing w:before="200" w:after="80"/>
      </w:pPr>
      <w:r>
        <w:rPr>
          <w:rFonts w:ascii="Cambria, serif" w:hAnsi="Cambria, serif"/>
          <w:b/>
          <w:color w:val="1F497D"/>
          <w:sz w:val="22"/>
        </w:rPr>
        <w:t>General Content / Notes</w:t>
      </w:r>
    </w:p>
    <w:p>
      <w:pPr>
        <w:spacing w:line="276" w:lineRule="auto" w:after="80"/>
        <w:jc w:val="both"/>
      </w:pPr>
      <w:r>
        <w:rPr>
          <w:rFonts w:ascii="Cambria, serif" w:hAnsi="Cambria, serif"/>
          <w:color w:val="0D0D0D"/>
          <w:sz w:val="20"/>
        </w:rPr>
        <w:t>Poor-quality cfDNA/ Previous or Ongoing therapy may fail QC thresholds at various stages such as cfDNA extraction, library preparation, or bioinformatics, and may result in assay failure or compromised results, such as low gene coverage or shallow variant depth.</w:t>
      </w:r>
    </w:p>
    <w:p>
      <w:pPr>
        <w:spacing w:line="276" w:lineRule="auto" w:after="80"/>
        <w:jc w:val="both"/>
      </w:pPr>
      <w:r>
        <w:rPr>
          <w:rFonts w:ascii="Cambria, serif" w:hAnsi="Cambria, serif"/>
          <w:color w:val="0D0D0D"/>
          <w:sz w:val="20"/>
        </w:rPr>
        <w:t>Variants with lower allele frequencies may be reported if they are of strong or potential clinical relevance, or if previously detected in the same patient. False positives or negatives below assay sensitivity cannot be ruled out.</w:t>
      </w:r>
    </w:p>
    <w:p>
      <w:pPr>
        <w:spacing w:line="276" w:lineRule="auto" w:after="80"/>
        <w:jc w:val="both"/>
      </w:pPr>
      <w:r>
        <w:rPr>
          <w:rFonts w:ascii="Cambria, serif" w:hAnsi="Cambria, serif"/>
          <w:color w:val="0D0D0D"/>
          <w:sz w:val="20"/>
        </w:rPr>
        <w:t>CNVs/gene amplifications reported, Confirmation using orthogonal methods such as DDPCR is recommended when clinically indicated.</w:t>
      </w:r>
    </w:p>
    <w:p>
      <w:pPr>
        <w:spacing w:line="276" w:lineRule="auto" w:after="80"/>
        <w:jc w:val="both"/>
      </w:pPr>
      <w:r>
        <w:rPr>
          <w:rFonts w:ascii="Cambria, serif" w:hAnsi="Cambria, serif"/>
          <w:color w:val="0D0D0D"/>
          <w:sz w:val="20"/>
        </w:rPr>
        <w:t>Variants in non-coding regions or deep intronic sequences are not assessed in this assay.</w:t>
      </w:r>
    </w:p>
    <w:p>
      <w:pPr>
        <w:spacing w:line="276" w:lineRule="auto" w:after="80"/>
        <w:jc w:val="both"/>
      </w:pPr>
      <w:r>
        <w:rPr>
          <w:rFonts w:ascii="Cambria, serif" w:hAnsi="Cambria, serif"/>
          <w:color w:val="0D0D0D"/>
          <w:sz w:val="20"/>
        </w:rPr>
        <w:t>This assay is under the scope of NABL as Liquidseq Actionable Panel.</w:t>
      </w:r>
    </w:p>
    <w:p>
      <w:pPr>
        <w:spacing w:line="276" w:lineRule="auto" w:after="80"/>
        <w:jc w:val="both"/>
      </w:pPr>
      <w:r>
        <w:rPr>
          <w:rFonts w:ascii="Cambria, serif" w:hAnsi="Cambria, serif"/>
          <w:color w:val="0D0D0D"/>
          <w:sz w:val="20"/>
        </w:rPr>
        <w:t>Tier Interpretation Tier IA Variants of Strong Clinical Significance: Biomarkers that predict response or resistance to US FDA- approved therapies for a specific type of tumor or have been included in professional guidelines as therapeutic, diagnostic, and/or prognostic biomarkers for specific types of tumors.</w:t>
      </w:r>
    </w:p>
    <w:p>
      <w:pPr>
        <w:spacing w:before="200" w:after="80"/>
      </w:pPr>
      <w:r>
        <w:rPr>
          <w:rFonts w:ascii="Cambria, serif" w:hAnsi="Cambria, serif"/>
          <w:b/>
          <w:color w:val="1F497D"/>
          <w:sz w:val="22"/>
        </w:rPr>
        <w:t>General Content / Notes</w:t>
      </w:r>
    </w:p>
    <w:p>
      <w:pPr>
        <w:spacing w:line="276" w:lineRule="auto" w:after="80"/>
        <w:jc w:val="both"/>
      </w:pPr>
      <w:r>
        <w:rPr>
          <w:rFonts w:ascii="Cambria, serif" w:hAnsi="Cambria, serif"/>
          <w:color w:val="0D0D0D"/>
          <w:sz w:val="20"/>
        </w:rPr>
        <w:t>Tier IIC Variants of Potential Clinical Significance: biomarkers that predict response or resistance to therapies approved by FDA or professional societies for a different tumor type (i.e., off-label use of a drug), serve as inclusion criteria for clinical trials, or have diagnostic and/or prognostic significance based on the results of multiple small studies.</w:t>
      </w:r>
    </w:p>
    <w:p>
      <w:pPr>
        <w:spacing w:line="276" w:lineRule="auto" w:after="80"/>
        <w:jc w:val="both"/>
      </w:pPr>
      <w:r>
        <w:rPr>
          <w:rFonts w:ascii="Cambria, serif" w:hAnsi="Cambria, serif"/>
          <w:color w:val="0D0D0D"/>
          <w:sz w:val="20"/>
        </w:rPr>
        <w:t>Tier IID Variants of Potential Clinical Significance: Biomarkers that show plausible therapeutic significance based on preclinical studies or may assist disease diagnosis and/or prognosis themselves or along with other biomarkers based on small studies or multiple case reports with no consensus.</w:t>
      </w:r>
    </w:p>
    <w:p>
      <w:pPr>
        <w:spacing w:line="276" w:lineRule="auto" w:after="80"/>
        <w:jc w:val="both"/>
      </w:pPr>
      <w:r>
        <w:rPr>
          <w:rFonts w:ascii="Cambria, serif" w:hAnsi="Cambria, serif"/>
          <w:color w:val="0D0D0D"/>
          <w:sz w:val="20"/>
        </w:rPr>
        <w:t>Tier III Variants of Unknown clinical significance (VUS): Not observed at a significant allele frequency in the general or specific subpopulation or pancancer or tumor specific variant databases. No convincing published evidence of cancer Association</w:t>
      </w:r>
    </w:p>
    <w:p>
      <w:pPr>
        <w:spacing w:before="200" w:after="80"/>
      </w:pPr>
      <w:r>
        <w:rPr>
          <w:rFonts w:ascii="Cambria, serif" w:hAnsi="Cambria, serif"/>
          <w:b/>
          <w:color w:val="1F497D"/>
          <w:sz w:val="22"/>
        </w:rPr>
        <w:t>References:</w:t>
      </w:r>
    </w:p>
    <w:p>
      <w:pPr>
        <w:spacing w:line="276" w:lineRule="auto" w:after="80"/>
        <w:jc w:val="both"/>
      </w:pPr>
      <w:r>
        <w:rPr>
          <w:rFonts w:ascii="Cambria, serif" w:hAnsi="Cambria, serif"/>
          <w:color w:val="0D0D0D"/>
          <w:sz w:val="20"/>
        </w:rPr>
        <w:t>1. O&amp;#x27;Leary et al. Reference sequence (RefSeq) database at NCBI: current status, taxonomic expansion, and functional annotation. Nucleic Acids Res. 2016 Jan 4;44(D1):D733-45. PMID: 26553804</w:t>
      </w:r>
    </w:p>
    <w:p>
      <w:pPr>
        <w:spacing w:line="276" w:lineRule="auto" w:after="80"/>
        <w:jc w:val="both"/>
      </w:pPr>
      <w:r>
        <w:rPr>
          <w:rFonts w:ascii="Cambria, serif" w:hAnsi="Cambria, serif"/>
          <w:color w:val="0D0D0D"/>
          <w:sz w:val="20"/>
        </w:rPr>
        <w:t>Nag et al. The MDM2-p53 pathway revisited. J Biomed Res. 2013 Jul;27(4):254-71. PMID: 23885265</w:t>
      </w:r>
    </w:p>
    <w:p>
      <w:pPr>
        <w:spacing w:line="276" w:lineRule="auto" w:after="80"/>
        <w:jc w:val="both"/>
      </w:pPr>
      <w:r>
        <w:rPr>
          <w:rFonts w:ascii="Cambria, serif" w:hAnsi="Cambria, serif"/>
          <w:color w:val="0D0D0D"/>
          <w:sz w:val="20"/>
        </w:rPr>
        <w:t>Muller et al. Mutant p53 in cancer: new functions and therapeutic opportunities. Cancer Cell. 2014 Mar 17;25(3):304-17.</w:t>
      </w:r>
    </w:p>
    <w:p>
      <w:pPr>
        <w:spacing w:before="200" w:after="80"/>
      </w:pPr>
      <w:r>
        <w:rPr>
          <w:rFonts w:ascii="Cambria, serif" w:hAnsi="Cambria, serif"/>
          <w:b/>
          <w:color w:val="1F497D"/>
          <w:sz w:val="22"/>
        </w:rPr>
        <w:t>PMID: 24651012</w:t>
      </w:r>
    </w:p>
    <w:p>
      <w:pPr>
        <w:spacing w:line="276" w:lineRule="auto" w:after="80"/>
        <w:jc w:val="both"/>
      </w:pPr>
      <w:r>
        <w:rPr>
          <w:rFonts w:ascii="Cambria, serif" w:hAnsi="Cambria, serif"/>
          <w:color w:val="0D0D0D"/>
          <w:sz w:val="20"/>
        </w:rPr>
        <w:t>Olivier et al. TP53 mutations in human cancers: origins, consequences, and clinical use. Cold Spring Harb Perspect Biol. 2010</w:t>
      </w:r>
    </w:p>
    <w:p>
      <w:pPr>
        <w:spacing w:before="200" w:after="80"/>
      </w:pPr>
      <w:r>
        <w:rPr>
          <w:rFonts w:ascii="Cambria, serif" w:hAnsi="Cambria, serif"/>
          <w:b/>
          <w:color w:val="1F497D"/>
          <w:sz w:val="22"/>
        </w:rPr>
        <w:t>Jan;2(1):a001008. PMID: 20182602</w:t>
      </w:r>
    </w:p>
    <w:p>
      <w:pPr>
        <w:spacing w:line="276" w:lineRule="auto" w:after="80"/>
        <w:jc w:val="both"/>
      </w:pPr>
      <w:r>
        <w:rPr>
          <w:rFonts w:ascii="Cambria, serif" w:hAnsi="Cambria, serif"/>
          <w:color w:val="0D0D0D"/>
          <w:sz w:val="20"/>
        </w:rPr>
        <w:t>Guha et al. Inherited TP53 Mutations and the Li-Fraumeni Syndrome. Cold Spring Harb Perspect Med. 2017 Apr 3;7(4). PMID:</w:t>
      </w:r>
    </w:p>
    <w:p>
      <w:pPr>
        <w:spacing w:before="200" w:after="80"/>
      </w:pPr>
      <w:r>
        <w:rPr>
          <w:rFonts w:ascii="Cambria, serif" w:hAnsi="Cambria, serif"/>
          <w:b/>
          <w:color w:val="1F497D"/>
          <w:sz w:val="22"/>
        </w:rPr>
        <w:t>28270529</w:t>
      </w:r>
    </w:p>
    <w:p>
      <w:pPr>
        <w:spacing w:line="276" w:lineRule="auto" w:after="80"/>
        <w:jc w:val="both"/>
      </w:pPr>
      <w:r>
        <w:rPr>
          <w:rFonts w:ascii="Cambria, serif" w:hAnsi="Cambria, serif"/>
          <w:color w:val="0D0D0D"/>
          <w:sz w:val="20"/>
        </w:rPr>
        <w:t>Cerami et al. The cBio cancer genomics portal: an open platform for exploring multidimensional cancer genomics data. Cancer</w:t>
      </w:r>
    </w:p>
    <w:p>
      <w:pPr>
        <w:spacing w:before="200" w:after="80"/>
      </w:pPr>
      <w:r>
        <w:rPr>
          <w:rFonts w:ascii="Cambria, serif" w:hAnsi="Cambria, serif"/>
          <w:b/>
          <w:color w:val="1F497D"/>
          <w:sz w:val="22"/>
        </w:rPr>
        <w:t>Discov. 2012 May;2(5):401-4. PMID: 22588877</w:t>
      </w:r>
    </w:p>
    <w:p>
      <w:pPr>
        <w:spacing w:line="276" w:lineRule="auto" w:after="80"/>
        <w:jc w:val="both"/>
      </w:pPr>
      <w:r>
        <w:rPr>
          <w:rFonts w:ascii="Cambria, serif" w:hAnsi="Cambria, serif"/>
          <w:b/>
          <w:color w:val="ED7D31"/>
          <w:sz w:val="20"/>
        </w:rPr>
        <w:t xml:space="preserve">Weinstein et al. The Cancer Genome Atlas Pan-Cancer analysis project. Nat. Genet. 2013 Oct; </w:t>
      </w:r>
      <w:r>
        <w:rPr>
          <w:rFonts w:ascii="Cambria, serif" w:hAnsi="Cambria, serif"/>
          <w:sz w:val="20"/>
        </w:rPr>
        <w:t>45(10):1113-20. PMID: 24071849</w:t>
      </w:r>
    </w:p>
    <w:p>
      <w:pPr>
        <w:spacing w:line="276" w:lineRule="auto" w:after="80"/>
        <w:jc w:val="both"/>
      </w:pPr>
      <w:r>
        <w:rPr>
          <w:rFonts w:ascii="Cambria, serif" w:hAnsi="Cambria, serif"/>
          <w:color w:val="0D0D0D"/>
          <w:sz w:val="20"/>
        </w:rPr>
        <w:t>Peter et al. Comprehensive genomic characterization of squamous cell lung cancers. Nature. 2012 Sep 27;489(7417):519-25.</w:t>
      </w:r>
    </w:p>
    <w:p>
      <w:pPr>
        <w:spacing w:before="200" w:after="80"/>
      </w:pPr>
      <w:r>
        <w:rPr>
          <w:rFonts w:ascii="Cambria, serif" w:hAnsi="Cambria, serif"/>
          <w:b/>
          <w:color w:val="1F497D"/>
          <w:sz w:val="22"/>
        </w:rPr>
        <w:t>PMID: 22960745</w:t>
      </w:r>
    </w:p>
    <w:p>
      <w:pPr>
        <w:spacing w:line="276" w:lineRule="auto" w:after="80"/>
        <w:jc w:val="both"/>
      </w:pPr>
      <w:r>
        <w:rPr>
          <w:rFonts w:ascii="Cambria, serif" w:hAnsi="Cambria, serif"/>
          <w:color w:val="0D0D0D"/>
          <w:sz w:val="20"/>
        </w:rPr>
        <w:t>Cancer Genome Atlas Network. Comprehensive genomic characterization of head and neck squamous cell carcinomas. Nature.</w:t>
      </w:r>
    </w:p>
    <w:p>
      <w:pPr>
        <w:spacing w:before="200" w:after="80"/>
      </w:pPr>
      <w:r>
        <w:rPr>
          <w:rFonts w:ascii="Cambria, serif" w:hAnsi="Cambria, serif"/>
          <w:b/>
          <w:color w:val="1F497D"/>
          <w:sz w:val="22"/>
        </w:rPr>
        <w:t>2015 Jan 29;517(7536):576-82. PMID: 25631445</w:t>
      </w:r>
    </w:p>
    <w:p>
      <w:pPr>
        <w:spacing w:line="276" w:lineRule="auto" w:after="80"/>
        <w:jc w:val="both"/>
      </w:pPr>
      <w:r>
        <w:rPr>
          <w:rFonts w:ascii="Cambria, serif" w:hAnsi="Cambria, serif"/>
          <w:color w:val="0D0D0D"/>
          <w:sz w:val="20"/>
        </w:rPr>
        <w:t>Campbell et al. Distinct patterns of somatic genome alterations in lung adenocarcinomas and squamous cell carcinomas. Nat.</w:t>
      </w:r>
    </w:p>
    <w:p>
      <w:pPr>
        <w:spacing w:before="200" w:after="80"/>
      </w:pPr>
      <w:r>
        <w:rPr>
          <w:rFonts w:ascii="Cambria, serif" w:hAnsi="Cambria, serif"/>
          <w:b/>
          <w:color w:val="1F497D"/>
          <w:sz w:val="22"/>
        </w:rPr>
        <w:t>General Content / Notes</w:t>
      </w:r>
    </w:p>
    <w:p>
      <w:pPr>
        <w:spacing w:line="276" w:lineRule="auto" w:after="80"/>
        <w:jc w:val="both"/>
      </w:pPr>
      <w:r>
        <w:rPr>
          <w:rFonts w:ascii="Cambria, serif" w:hAnsi="Cambria, serif"/>
          <w:color w:val="0D0D0D"/>
          <w:sz w:val="20"/>
        </w:rPr>
        <w:t>12;541(7636):169-175. doi: 10.1038/nature20805. Epub 2017 Jan 4. PMID: 28052061</w:t>
      </w:r>
    </w:p>
    <w:p>
      <w:pPr>
        <w:spacing w:line="276" w:lineRule="auto" w:after="80"/>
      </w:pPr>
      <w:r>
        <w:rPr>
          <w:rFonts w:ascii="Cambria, serif" w:hAnsi="Cambria, serif"/>
          <w:b w:val="0"/>
          <w:color w:val="FF0000"/>
          <w:sz w:val="20"/>
        </w:rPr>
        <w:t>Olivier et al. The IARC TP53 database: new online mutation analysis and recommendations to users. Hum. Mutat. 2002</w:t>
      </w:r>
    </w:p>
    <w:p>
      <w:pPr>
        <w:spacing w:before="200" w:after="80"/>
      </w:pPr>
      <w:r>
        <w:rPr>
          <w:rFonts w:ascii="Cambria, serif" w:hAnsi="Cambria, serif"/>
          <w:b/>
          <w:color w:val="1F497D"/>
          <w:sz w:val="22"/>
        </w:rPr>
        <w:t>Jun;19(6):607-14. PMID: 12007217</w:t>
      </w:r>
    </w:p>
    <w:p>
      <w:pPr>
        <w:spacing w:line="276" w:lineRule="auto" w:after="80"/>
      </w:pPr>
      <w:r>
        <w:rPr>
          <w:rFonts w:ascii="Cambria, serif" w:hAnsi="Cambria, serif"/>
          <w:b/>
          <w:color w:val="ED7D31"/>
          <w:sz w:val="20"/>
        </w:rPr>
        <w:t>Rivlin et al. Mutations in the p53 Tumor Suppressor Gene: Important Milestones at the Various Steps of Tumorigenesis. Genes</w:t>
      </w:r>
    </w:p>
    <w:p>
      <w:pPr>
        <w:spacing w:before="200" w:after="80"/>
      </w:pPr>
      <w:r>
        <w:rPr>
          <w:rFonts w:ascii="Cambria, serif" w:hAnsi="Cambria, serif"/>
          <w:b/>
          <w:color w:val="1F497D"/>
          <w:sz w:val="22"/>
        </w:rPr>
        <w:t>Cancer. 2011 Apr;2(4):466-74. PMID: 21779514</w:t>
      </w:r>
    </w:p>
    <w:p>
      <w:pPr>
        <w:spacing w:line="276" w:lineRule="auto" w:after="80"/>
        <w:jc w:val="both"/>
      </w:pPr>
      <w:r>
        <w:rPr>
          <w:rFonts w:ascii="Cambria, serif" w:hAnsi="Cambria, serif"/>
          <w:color w:val="0D0D0D"/>
          <w:sz w:val="20"/>
        </w:rPr>
        <w:t>Petitjean et al. TP53 mutations in human cancers: functional selection and impact on cancer prognosis and outcomes.</w:t>
      </w:r>
    </w:p>
    <w:p>
      <w:pPr>
        <w:spacing w:before="200" w:after="80"/>
      </w:pPr>
      <w:r>
        <w:rPr>
          <w:rFonts w:ascii="Cambria, serif" w:hAnsi="Cambria, serif"/>
          <w:b/>
          <w:color w:val="1F497D"/>
          <w:sz w:val="22"/>
        </w:rPr>
        <w:t>Oncogene. 2007 Apr 2;26(15):2157-65. PMID: 17401424</w:t>
      </w:r>
    </w:p>
    <w:p>
      <w:pPr>
        <w:spacing w:line="276" w:lineRule="auto" w:after="80"/>
      </w:pPr>
      <w:r>
        <w:rPr>
          <w:rFonts w:ascii="Cambria, serif" w:hAnsi="Cambria, serif"/>
          <w:b w:val="0"/>
          <w:color w:val="FF0000"/>
          <w:sz w:val="20"/>
        </w:rPr>
        <w:t>Soussi et al. Recommendations for analyzing and reporting TP53 gene variants in the high-throughput sequencing era. Hum.</w:t>
      </w:r>
    </w:p>
    <w:p>
      <w:pPr>
        <w:spacing w:before="200" w:after="80"/>
      </w:pPr>
      <w:r>
        <w:rPr>
          <w:rFonts w:ascii="Cambria, serif" w:hAnsi="Cambria, serif"/>
          <w:b/>
          <w:color w:val="1F497D"/>
          <w:sz w:val="22"/>
        </w:rPr>
        <w:t>Mutat. 2014 Jun;35(6):766-78. PMID: 24729566</w:t>
      </w:r>
    </w:p>
    <w:p>
      <w:pPr>
        <w:spacing w:line="276" w:lineRule="auto" w:after="80"/>
        <w:jc w:val="both"/>
      </w:pPr>
      <w:r>
        <w:rPr>
          <w:rFonts w:ascii="Cambria, serif" w:hAnsi="Cambria, serif"/>
          <w:color w:val="0D0D0D"/>
          <w:sz w:val="20"/>
        </w:rPr>
        <w:t>https://www.globenewswire.com/news-release/2020/10/13/2107498/0/en/PMV-Pharma-Granted-FDA-Fast-Track-</w:t>
      </w:r>
    </w:p>
    <w:p>
      <w:pPr>
        <w:spacing w:line="276" w:lineRule="auto" w:after="80"/>
        <w:jc w:val="both"/>
      </w:pPr>
      <w:r>
        <w:rPr>
          <w:rFonts w:ascii="Cambria, serif" w:hAnsi="Cambria, serif"/>
          <w:color w:val="0D0D0D"/>
          <w:sz w:val="20"/>
        </w:rPr>
        <w:t>Designation-of-PC14586-for-the-Treatment-of-Advanced-Cancer-Patients-that-have-Tumors-with-a-p53-Y220C- Mutation.html</w:t>
      </w:r>
    </w:p>
    <w:p>
      <w:pPr>
        <w:spacing w:line="276" w:lineRule="auto" w:after="80"/>
        <w:jc w:val="both"/>
      </w:pPr>
      <w:r>
        <w:rPr>
          <w:rFonts w:ascii="Cambria, serif" w:hAnsi="Cambria, serif"/>
          <w:color w:val="0D0D0D"/>
          <w:sz w:val="20"/>
        </w:rPr>
        <w:t>https://ir.aprea.com//news-releases/news-release-details/aprea-therapeutics-receives-fda-fast-track-designation</w:t>
      </w:r>
    </w:p>
    <w:p>
      <w:pPr>
        <w:spacing w:line="276" w:lineRule="auto" w:after="80"/>
        <w:jc w:val="both"/>
      </w:pPr>
      <w:r>
        <w:rPr>
          <w:rFonts w:ascii="Cambria, serif" w:hAnsi="Cambria, serif"/>
          <w:color w:val="0D0D0D"/>
          <w:sz w:val="20"/>
        </w:rPr>
        <w:t>http://vp280.alertir.com/en/pressreleases/karolinska-development%27s-portfolio-company-aprea-therapeutics-receives-</w:t>
      </w:r>
    </w:p>
    <w:p>
      <w:pPr>
        <w:spacing w:before="200" w:after="80"/>
      </w:pPr>
      <w:r>
        <w:rPr>
          <w:rFonts w:ascii="Cambria, serif" w:hAnsi="Cambria, serif"/>
          <w:b/>
          <w:color w:val="1F497D"/>
          <w:sz w:val="22"/>
        </w:rPr>
        <w:t>fda-breakthrough-therapy-designation-1769167</w:t>
      </w:r>
    </w:p>
    <w:p>
      <w:pPr>
        <w:spacing w:line="276" w:lineRule="auto" w:after="80"/>
        <w:jc w:val="both"/>
      </w:pPr>
      <w:r>
        <w:rPr>
          <w:rFonts w:ascii="Cambria, serif" w:hAnsi="Cambria, serif"/>
          <w:color w:val="0D0D0D"/>
          <w:sz w:val="20"/>
        </w:rPr>
        <w:t>Parrales et al. Targeting Oncogenic Mutant p53 for Cancer Therapy. Front Oncol. 2015 Dec 21;5:288. doi: 10.3389/fonc.2015.00288. eCollection 2015. PMID: 26732534</w:t>
      </w:r>
    </w:p>
    <w:p>
      <w:pPr>
        <w:spacing w:line="276" w:lineRule="auto" w:after="80"/>
        <w:jc w:val="both"/>
      </w:pPr>
      <w:r>
        <w:rPr>
          <w:rFonts w:ascii="Cambria, serif" w:hAnsi="Cambria, serif"/>
          <w:color w:val="0D0D0D"/>
          <w:sz w:val="20"/>
        </w:rPr>
        <w:t>Zhao et al. Molecularly targeted therapies for p53-mutant cancers. Cell. Mol. Life Sci. 2017 Nov;74(22):4171-4187. PMID:</w:t>
      </w:r>
    </w:p>
    <w:p>
      <w:pPr>
        <w:spacing w:before="200" w:after="80"/>
      </w:pPr>
      <w:r>
        <w:rPr>
          <w:rFonts w:ascii="Cambria, serif" w:hAnsi="Cambria, serif"/>
          <w:b/>
          <w:color w:val="1F497D"/>
          <w:sz w:val="22"/>
        </w:rPr>
        <w:t>28643165</w:t>
      </w:r>
    </w:p>
    <w:p>
      <w:pPr>
        <w:spacing w:line="276" w:lineRule="auto" w:after="80"/>
        <w:jc w:val="both"/>
      </w:pPr>
      <w:r>
        <w:rPr>
          <w:rFonts w:ascii="Cambria, serif" w:hAnsi="Cambria, serif"/>
          <w:color w:val="0D0D0D"/>
          <w:sz w:val="20"/>
        </w:rPr>
        <w:t>Louis et al. The 2021 WHO Classification of Tumors of the Central Nervous System: a summary. Neuro Oncol. 2021 Aug</w:t>
      </w:r>
    </w:p>
    <w:p>
      <w:pPr>
        <w:spacing w:before="200" w:after="80"/>
      </w:pPr>
      <w:r>
        <w:rPr>
          <w:rFonts w:ascii="Cambria, serif" w:hAnsi="Cambria, serif"/>
          <w:b/>
          <w:color w:val="1F497D"/>
          <w:sz w:val="22"/>
        </w:rPr>
        <w:t>2;23(8):1231-1251. PMID: 34185076</w:t>
      </w:r>
    </w:p>
    <w:p>
      <w:pPr>
        <w:spacing w:line="276" w:lineRule="auto" w:after="80"/>
        <w:jc w:val="both"/>
      </w:pPr>
      <w:r>
        <w:rPr>
          <w:rFonts w:ascii="Cambria, serif" w:hAnsi="Cambria, serif"/>
          <w:color w:val="0D0D0D"/>
          <w:sz w:val="20"/>
        </w:rPr>
        <w:t>NCCN Guidelines&amp;amp;reg; - NCCN-Acute Myeloid Leukemia [Version 2.2025]</w:t>
      </w:r>
    </w:p>
    <w:p>
      <w:pPr>
        <w:spacing w:line="276" w:lineRule="auto" w:after="80"/>
      </w:pPr>
      <w:r>
        <w:rPr>
          <w:rFonts w:ascii="Cambria, serif" w:hAnsi="Cambria, serif"/>
          <w:b w:val="0"/>
          <w:color w:val="FF0000"/>
          <w:sz w:val="20"/>
        </w:rPr>
        <w:t>Döhner et al. Diagnosis and management of AML in adults: 2022 recommendations from an international expert panel on</w:t>
      </w:r>
    </w:p>
    <w:p>
      <w:pPr>
        <w:spacing w:line="276" w:lineRule="auto" w:after="80"/>
        <w:jc w:val="both"/>
      </w:pPr>
      <w:r>
        <w:rPr>
          <w:rFonts w:ascii="Cambria, serif" w:hAnsi="Cambria, serif"/>
          <w:color w:val="0D0D0D"/>
          <w:sz w:val="20"/>
        </w:rPr>
        <w:t>behalf of the ELN. Blood. 2022 Sep 22;140(12):1345-1377. PMID: 35797463</w:t>
      </w:r>
    </w:p>
    <w:p>
      <w:pPr>
        <w:spacing w:line="276" w:lineRule="auto" w:after="80"/>
        <w:jc w:val="both"/>
      </w:pPr>
      <w:r>
        <w:rPr>
          <w:rFonts w:ascii="Cambria, serif" w:hAnsi="Cambria, serif"/>
          <w:color w:val="0D0D0D"/>
          <w:sz w:val="20"/>
        </w:rPr>
        <w:t>NCCN Guidelines&amp;amp;reg; - NCCN-Myelodysplastic Syndromes [Version 2.2025]</w:t>
      </w:r>
    </w:p>
    <w:p>
      <w:pPr>
        <w:spacing w:line="276" w:lineRule="auto" w:after="80"/>
        <w:jc w:val="both"/>
      </w:pPr>
      <w:r>
        <w:rPr>
          <w:rFonts w:ascii="Cambria, serif" w:hAnsi="Cambria, serif"/>
          <w:color w:val="0D0D0D"/>
          <w:sz w:val="20"/>
        </w:rPr>
        <w:t>NCCN Guidelines&amp;amp;reg; - NCCN-Myeloproliferative Neoplasms [Version 1.2025]</w:t>
      </w:r>
    </w:p>
    <w:p>
      <w:pPr>
        <w:spacing w:line="276" w:lineRule="auto" w:after="80"/>
        <w:jc w:val="both"/>
      </w:pPr>
      <w:r>
        <w:rPr>
          <w:rFonts w:ascii="Cambria, serif" w:hAnsi="Cambria, serif"/>
          <w:color w:val="0D0D0D"/>
          <w:sz w:val="20"/>
        </w:rPr>
        <w:t>NCCN Guidelines&amp;amp;reg; - NCCN-Chronic Lymphocytic Leukemia/Small Lymphocytic Lymphoma [Version 3.2025]</w:t>
      </w:r>
    </w:p>
    <w:p>
      <w:pPr>
        <w:spacing w:line="276" w:lineRule="auto" w:after="80"/>
        <w:jc w:val="both"/>
      </w:pPr>
      <w:r>
        <w:rPr>
          <w:rFonts w:ascii="Cambria, serif" w:hAnsi="Cambria, serif"/>
          <w:color w:val="0D0D0D"/>
          <w:sz w:val="20"/>
        </w:rPr>
        <w:t>NCCN Guidelines&amp;amp;reg; - NCCN-Acute Lymphoblastic Leukemia [Version 3.2024]</w:t>
      </w:r>
    </w:p>
    <w:p>
      <w:pPr>
        <w:spacing w:before="200" w:after="80"/>
      </w:pPr>
      <w:r>
        <w:rPr>
          <w:rFonts w:ascii="Cambria, serif" w:hAnsi="Cambria, serif"/>
          <w:b/>
          <w:color w:val="1F497D"/>
          <w:sz w:val="22"/>
        </w:rPr>
        <w:t>syndromes. Nat. Med. 2020 Aug 3. PMID: 32747829</w:t>
      </w:r>
    </w:p>
    <w:p>
      <w:pPr>
        <w:spacing w:line="276" w:lineRule="auto" w:after="80"/>
        <w:ind w:left="360"/>
      </w:pPr>
      <w:r>
        <w:rPr>
          <w:rFonts w:ascii="Cambria, serif" w:hAnsi="Cambria, serif"/>
          <w:color w:val="0D0D0D"/>
          <w:sz w:val="20"/>
        </w:rPr>
        <w:t>------------------ End Of Report ------------------</w:t>
      </w:r>
    </w:p>
    <w:p>
      <w:pPr>
        <w:spacing w:after="120"/>
      </w:pPr>
    </w:p>
    <w:tbl>
      <w:tblPr>
        <w:tblW w:type="auto" w:w="0"/>
        <w:jc w:val="center"/>
        <w:tblLayout w:type="fixed"/>
        <w:tblLook w:firstColumn="1" w:firstRow="1" w:lastColumn="0" w:lastRow="0" w:noHBand="0" w:noVBand="1" w:val="04A0"/>
      </w:tblPr>
      <w:tblGrid>
        <w:gridCol w:w="1875"/>
        <w:gridCol w:w="1875"/>
        <w:gridCol w:w="1875"/>
        <w:gridCol w:w="1875"/>
        <w:gridCol w:w="1875"/>
        <w:gridCol w:w="1875"/>
      </w:tblGrid>
      <w:tr>
        <w:tc>
          <w:tcPr>
            <w:tcW w:type="dxa" w:w="1875"/>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Tier I</w:t>
            </w:r>
          </w:p>
        </w:tc>
        <w:tc>
          <w:tcPr>
            <w:tcW w:type="dxa" w:w="1875"/>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Tier II</w:t>
            </w:r>
          </w:p>
        </w:tc>
        <w:tc>
          <w:tcPr>
            <w:tcW w:type="dxa" w:w="1875"/>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Tier III</w:t>
            </w:r>
          </w:p>
        </w:tc>
        <w:tc>
          <w:tcPr>
            <w:tcW w:type="dxa" w:w="1875"/>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MSI</w:t>
            </w:r>
          </w:p>
        </w:tc>
        <w:tc>
          <w:tcPr>
            <w:tcW w:type="dxa" w:w="1875"/>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Therapies</w:t>
            </w:r>
          </w:p>
        </w:tc>
        <w:tc>
          <w:tcPr>
            <w:tcW w:type="dxa" w:w="1875"/>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Clinical Trials</w:t>
            </w:r>
          </w:p>
        </w:tc>
      </w:tr>
      <w:tr>
        <w:tc>
          <w:tcPr>
            <w:tcW w:type="dxa" w:w="1875"/>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0</w:t>
            </w:r>
          </w:p>
        </w:tc>
        <w:tc>
          <w:tcPr>
            <w:tcW w:type="dxa" w:w="1875"/>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1</w:t>
            </w:r>
          </w:p>
        </w:tc>
        <w:tc>
          <w:tcPr>
            <w:tcW w:type="dxa" w:w="1875"/>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0</w:t>
            </w:r>
          </w:p>
        </w:tc>
        <w:tc>
          <w:tcPr>
            <w:tcW w:type="dxa" w:w="1875"/>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Stable</w:t>
            </w:r>
          </w:p>
        </w:tc>
        <w:tc>
          <w:tcPr>
            <w:tcW w:type="dxa" w:w="1875"/>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0</w:t>
            </w:r>
          </w:p>
        </w:tc>
        <w:tc>
          <w:tcPr>
            <w:tcW w:type="dxa" w:w="1875"/>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43</w:t>
            </w:r>
          </w:p>
        </w:tc>
      </w:tr>
    </w:tbl>
    <w:p>
      <w:pPr>
        <w:spacing w:after="160"/>
      </w:pPr>
    </w:p>
    <w:tbl>
      <w:tblPr>
        <w:tblW w:type="auto" w:w="0"/>
        <w:jc w:val="center"/>
        <w:tblLayout w:type="fixed"/>
        <w:tblLook w:firstColumn="1" w:firstRow="1" w:lastColumn="0" w:lastRow="0" w:noHBand="0" w:noVBand="1" w:val="04A0"/>
      </w:tblPr>
      <w:tblGrid>
        <w:gridCol w:w="2250"/>
        <w:gridCol w:w="2250"/>
        <w:gridCol w:w="2250"/>
        <w:gridCol w:w="2250"/>
        <w:gridCol w:w="2250"/>
      </w:tblGrid>
      <w:tr>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Tier</w:t>
            </w:r>
          </w:p>
        </w:tc>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Gene &amp; Transcript</w:t>
            </w:r>
          </w:p>
        </w:tc>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Variant</w:t>
            </w:r>
          </w:p>
        </w:tc>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Exon</w:t>
            </w:r>
          </w:p>
        </w:tc>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Coverage/VAF</w:t>
            </w:r>
          </w:p>
        </w:tc>
      </w:tr>
      <w:tr>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IIC</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TP53 NM 000546.6 _</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c.405C&gt;A p.(C135*)</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5</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691x / 93.13%</w:t>
            </w:r>
          </w:p>
        </w:tc>
      </w:tr>
    </w:tbl>
    <w:p>
      <w:pPr>
        <w:spacing w:after="160"/>
      </w:pPr>
    </w:p>
    <w:tbl>
      <w:tblPr>
        <w:tblW w:type="auto" w:w="0"/>
        <w:jc w:val="center"/>
        <w:tblLayout w:type="fixed"/>
        <w:tblLook w:firstColumn="1" w:firstRow="1" w:lastColumn="0" w:lastRow="0" w:noHBand="0" w:noVBand="1" w:val="04A0"/>
      </w:tblPr>
      <w:tblGrid>
        <w:gridCol w:w="3750"/>
        <w:gridCol w:w="3750"/>
        <w:gridCol w:w="3750"/>
      </w:tblGrid>
      <w:tr>
        <w:tc>
          <w:tcPr>
            <w:tcW w:type="dxa" w:w="37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Assay Biomarker</w:t>
            </w:r>
          </w:p>
        </w:tc>
        <w:tc>
          <w:tcPr>
            <w:tcW w:type="dxa" w:w="37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Result</w:t>
            </w:r>
          </w:p>
        </w:tc>
        <w:tc>
          <w:tcPr>
            <w:tcW w:type="dxa" w:w="37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Interpretation</w:t>
            </w:r>
          </w:p>
        </w:tc>
      </w:tr>
      <w:tr>
        <w:tc>
          <w:tcPr>
            <w:tcW w:type="dxa" w:w="37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Microsatellite Instability (MSI)</w:t>
            </w:r>
          </w:p>
        </w:tc>
        <w:tc>
          <w:tcPr>
            <w:tcW w:type="dxa" w:w="37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Stable</w:t>
            </w:r>
          </w:p>
        </w:tc>
        <w:tc>
          <w:tcPr>
            <w:tcW w:type="dxa" w:w="37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Stable Microsatellite detected</w:t>
            </w:r>
          </w:p>
        </w:tc>
      </w:tr>
    </w:tbl>
    <w:p>
      <w:pPr>
        <w:spacing w:after="160"/>
      </w:pPr>
    </w:p>
    <w:tbl>
      <w:tblPr>
        <w:tblW w:type="auto" w:w="0"/>
        <w:jc w:val="center"/>
        <w:tblLayout w:type="fixed"/>
        <w:tblLook w:firstColumn="1" w:firstRow="1" w:lastColumn="0" w:lastRow="0" w:noHBand="0" w:noVBand="1" w:val="04A0"/>
      </w:tblPr>
      <w:tblGrid>
        <w:gridCol w:w="3750"/>
        <w:gridCol w:w="3750"/>
        <w:gridCol w:w="3750"/>
      </w:tblGrid>
      <w:tr>
        <w:tc>
          <w:tcPr>
            <w:tcW w:type="dxa" w:w="37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Variant</w:t>
            </w:r>
          </w:p>
        </w:tc>
        <w:tc>
          <w:tcPr>
            <w:tcW w:type="dxa" w:w="37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Therapy</w:t>
            </w:r>
          </w:p>
        </w:tc>
        <w:tc>
          <w:tcPr>
            <w:tcW w:type="dxa" w:w="37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r>
          </w:p>
        </w:tc>
      </w:tr>
      <w:tr>
        <w:tc>
          <w:tcPr>
            <w:tcW w:type="dxa" w:w="37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r>
          </w:p>
        </w:tc>
        <w:tc>
          <w:tcPr>
            <w:tcW w:type="dxa" w:w="37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In This Cancer</w:t>
            </w:r>
          </w:p>
        </w:tc>
        <w:tc>
          <w:tcPr>
            <w:tcW w:type="dxa" w:w="37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In Other Cancer</w:t>
            </w:r>
          </w:p>
        </w:tc>
      </w:tr>
      <w:tr>
        <w:tc>
          <w:tcPr>
            <w:tcW w:type="dxa" w:w="37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IIC TP53 p.(C135*)</w:t>
            </w:r>
          </w:p>
        </w:tc>
        <w:tc>
          <w:tcPr>
            <w:tcW w:type="dxa" w:w="37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▪None*</w:t>
            </w:r>
          </w:p>
        </w:tc>
        <w:tc>
          <w:tcPr>
            <w:tcW w:type="dxa" w:w="37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▪None*</w:t>
            </w:r>
          </w:p>
        </w:tc>
      </w:tr>
    </w:tbl>
    <w:p>
      <w:pPr>
        <w:spacing w:after="160"/>
      </w:pPr>
    </w:p>
    <w:tbl>
      <w:tblPr>
        <w:tblW w:type="auto" w:w="0"/>
        <w:jc w:val="center"/>
        <w:tblLayout w:type="fixed"/>
        <w:tblLook w:firstColumn="1" w:firstRow="1" w:lastColumn="0" w:lastRow="0" w:noHBand="0" w:noVBand="1" w:val="04A0"/>
      </w:tblPr>
      <w:tblGrid>
        <w:gridCol w:w="3750"/>
        <w:gridCol w:w="3750"/>
        <w:gridCol w:w="3750"/>
      </w:tblGrid>
      <w:tr>
        <w:tc>
          <w:tcPr>
            <w:tcW w:type="dxa" w:w="37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Variant</w:t>
            </w:r>
          </w:p>
        </w:tc>
        <w:tc>
          <w:tcPr>
            <w:tcW w:type="dxa" w:w="37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Diagnostic Significance</w:t>
            </w:r>
          </w:p>
        </w:tc>
        <w:tc>
          <w:tcPr>
            <w:tcW w:type="dxa" w:w="37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Prognostic Significance</w:t>
            </w:r>
          </w:p>
        </w:tc>
      </w:tr>
      <w:tr>
        <w:tc>
          <w:tcPr>
            <w:tcW w:type="dxa" w:w="37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TP53 p.(C135*)</w:t>
            </w:r>
          </w:p>
        </w:tc>
        <w:tc>
          <w:tcPr>
            <w:tcW w:type="dxa" w:w="37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None*</w:t>
            </w:r>
          </w:p>
        </w:tc>
        <w:tc>
          <w:tcPr>
            <w:tcW w:type="dxa" w:w="37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None*</w:t>
            </w:r>
          </w:p>
        </w:tc>
      </w:tr>
    </w:tbl>
    <w:p>
      <w:pPr>
        <w:spacing w:after="160"/>
      </w:pPr>
    </w:p>
    <w:tbl>
      <w:tblPr>
        <w:tblW w:type="auto" w:w="0"/>
        <w:jc w:val="center"/>
        <w:tblLayout w:type="fixed"/>
        <w:tblLook w:firstColumn="1" w:firstRow="1" w:lastColumn="0" w:lastRow="0" w:noHBand="0" w:noVBand="1" w:val="04A0"/>
      </w:tblPr>
      <w:tblGrid>
        <w:gridCol w:w="2250"/>
        <w:gridCol w:w="2250"/>
        <w:gridCol w:w="2250"/>
        <w:gridCol w:w="2250"/>
        <w:gridCol w:w="2250"/>
      </w:tblGrid>
      <w:tr>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DNA Gene List</w:t>
            </w:r>
          </w:p>
        </w:tc>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r>
          </w:p>
        </w:tc>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r>
          </w:p>
        </w:tc>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r>
          </w:p>
        </w:tc>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r>
          </w:p>
        </w:tc>
      </w:tr>
      <w:tr>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AKT1</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ALK</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APC</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ATM</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BRAF</w:t>
            </w:r>
          </w:p>
        </w:tc>
      </w:tr>
      <w:tr>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BRCA1</w:t>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BRCA2</w:t>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CTNNB1</w:t>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EGFR</w:t>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ERBB2</w:t>
            </w:r>
          </w:p>
        </w:tc>
      </w:tr>
      <w:tr>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ERBB3</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ESR1</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FOXL2</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GNA11</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GNAQ</w:t>
            </w:r>
          </w:p>
        </w:tc>
      </w:tr>
      <w:tr>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HRAS</w:t>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IDH1</w:t>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IDH2</w:t>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KIT</w:t>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KRAS</w:t>
            </w:r>
          </w:p>
        </w:tc>
      </w:tr>
      <w:tr>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MET</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NRAS</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PDGFRA</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PIK3CA</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POLE</w:t>
            </w:r>
          </w:p>
        </w:tc>
      </w:tr>
      <w:tr>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RAF1</w:t>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RET</w:t>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TP53</w:t>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r>
          </w:p>
        </w:tc>
      </w:tr>
    </w:tbl>
    <w:p>
      <w:pPr>
        <w:spacing w:after="160"/>
      </w:pPr>
    </w:p>
    <w:tbl>
      <w:tblPr>
        <w:tblW w:type="auto" w:w="0"/>
        <w:jc w:val="center"/>
        <w:tblLayout w:type="fixed"/>
        <w:tblLook w:firstColumn="1" w:firstRow="1" w:lastColumn="0" w:lastRow="0" w:noHBand="0" w:noVBand="1" w:val="04A0"/>
      </w:tblPr>
      <w:tblGrid>
        <w:gridCol w:w="2250"/>
        <w:gridCol w:w="2250"/>
        <w:gridCol w:w="2250"/>
        <w:gridCol w:w="2250"/>
        <w:gridCol w:w="2250"/>
      </w:tblGrid>
      <w:tr>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RNA Gene List</w:t>
            </w:r>
          </w:p>
        </w:tc>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r>
          </w:p>
        </w:tc>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r>
          </w:p>
        </w:tc>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r>
          </w:p>
        </w:tc>
        <w:tc>
          <w:tcPr>
            <w:tcW w:type="dxa" w:w="2250"/>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r>
          </w:p>
        </w:tc>
      </w:tr>
      <w:tr>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ALK</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MET</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NTRK1</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NTRK2</w:t>
            </w:r>
          </w:p>
        </w:tc>
        <w:tc>
          <w:tcPr>
            <w:tcW w:type="dxa" w:w="2250"/>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NTRK3</w:t>
            </w:r>
          </w:p>
        </w:tc>
      </w:tr>
      <w:tr>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ROS1</w:t>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r>
          </w:p>
        </w:tc>
        <w:tc>
          <w:tcPr>
            <w:tcW w:type="dxa" w:w="2250"/>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r>
          </w:p>
        </w:tc>
      </w:tr>
    </w:tbl>
    <w:p>
      <w:pPr>
        <w:spacing w:after="160"/>
      </w:pPr>
    </w:p>
    <w:tbl>
      <w:tblPr>
        <w:tblW w:type="auto" w:w="0"/>
        <w:jc w:val="center"/>
        <w:tblLayout w:type="fixed"/>
        <w:tblLook w:firstColumn="1" w:firstRow="1" w:lastColumn="0" w:lastRow="0" w:noHBand="0" w:noVBand="1" w:val="04A0"/>
      </w:tblPr>
      <w:tblGrid>
        <w:gridCol w:w="5624"/>
        <w:gridCol w:w="5624"/>
      </w:tblGrid>
      <w:tr>
        <w:tc>
          <w:tcPr>
            <w:tcW w:type="dxa" w:w="5624"/>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MSI</w:t>
            </w:r>
          </w:p>
        </w:tc>
        <w:tc>
          <w:tcPr>
            <w:tcW w:type="dxa" w:w="5624"/>
            <w:shd w:fill="1f497d"/>
            <w:tcBorders>
              <w:top w:val="single" w:sz="4" w:space="0" w:color="1f497d"/>
              <w:left w:val="single" w:sz="4" w:space="0" w:color="1f497d"/>
              <w:bottom w:val="single" w:sz="4" w:space="0" w:color="1f497d"/>
              <w:right w:val="single" w:sz="4" w:space="0" w:color="1f497d"/>
            </w:tcBorders>
            <w:tcMar>
              <w:top w:w="80" w:type="dxa"/>
              <w:left w:w="100" w:type="dxa"/>
              <w:bottom w:w="80" w:type="dxa"/>
              <w:right w:w="100" w:type="dxa"/>
            </w:tcMar>
          </w:tcPr>
          <w:p>
            <w:pPr>
              <w:jc w:val="center"/>
            </w:pPr>
            <w:r>
              <w:rPr>
                <w:rFonts w:ascii="Cambria, serif" w:hAnsi="Cambria, serif"/>
                <w:b/>
                <w:color w:val="FFFFFF"/>
                <w:sz w:val="19"/>
              </w:rPr>
              <w:t>% of Unstable Loci</w:t>
            </w:r>
          </w:p>
        </w:tc>
      </w:tr>
      <w:tr>
        <w:tc>
          <w:tcPr>
            <w:tcW w:type="dxa" w:w="5624"/>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MSI - Stable</w:t>
            </w:r>
          </w:p>
        </w:tc>
        <w:tc>
          <w:tcPr>
            <w:tcW w:type="dxa" w:w="5624"/>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0-19%</w:t>
            </w:r>
          </w:p>
        </w:tc>
      </w:tr>
      <w:tr>
        <w:tc>
          <w:tcPr>
            <w:tcW w:type="dxa" w:w="5624"/>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MSI - Low / Intermediate</w:t>
            </w:r>
          </w:p>
        </w:tc>
        <w:tc>
          <w:tcPr>
            <w:tcW w:type="dxa" w:w="5624"/>
            <w:shd w:fill="FFFFFF"/>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20-30%</w:t>
            </w:r>
          </w:p>
        </w:tc>
      </w:tr>
      <w:tr>
        <w:tc>
          <w:tcPr>
            <w:tcW w:type="dxa" w:w="5624"/>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MSI - High</w:t>
            </w:r>
          </w:p>
        </w:tc>
        <w:tc>
          <w:tcPr>
            <w:tcW w:type="dxa" w:w="5624"/>
            <w:shd w:fill="DAEDF3"/>
            <w:tcBorders>
              <w:top w:val="single" w:sz="2" w:space="0" w:color="1f497d"/>
              <w:left w:val="single" w:sz="2" w:space="0" w:color="1f497d"/>
              <w:bottom w:val="single" w:sz="2" w:space="0" w:color="1f497d"/>
              <w:right w:val="single" w:sz="2" w:space="0" w:color="1f497d"/>
            </w:tcBorders>
            <w:tcMar>
              <w:top w:w="60" w:type="dxa"/>
              <w:left w:w="80" w:type="dxa"/>
              <w:bottom w:w="60" w:type="dxa"/>
              <w:right w:w="80" w:type="dxa"/>
            </w:tcMar>
          </w:tcPr>
          <w:p>
            <w:r>
              <w:rPr>
                <w:rFonts w:ascii="Cambria, serif" w:hAnsi="Cambria, serif"/>
                <w:color w:val="232729"/>
                <w:sz w:val="18"/>
              </w:rPr>
              <w:t>&gt;30%</w:t>
            </w:r>
          </w:p>
        </w:tc>
      </w:tr>
    </w:tbl>
    <w:p>
      <w:pPr>
        <w:spacing w:after="160"/>
      </w:pPr>
    </w:p>
    <w:tbl>
      <w:tblPr>
        <w:tblW w:type="auto" w:w="0"/>
        <w:jc w:val="center"/>
        <w:tblLayout w:type="fixed"/>
        <w:tblLook w:firstColumn="1" w:firstRow="1" w:lastColumn="0" w:lastRow="0" w:noHBand="0" w:noVBand="1" w:val="04A0"/>
      </w:tblPr>
      <w:tblGrid>
        <w:gridCol w:w="3750"/>
        <w:gridCol w:w="3750"/>
        <w:gridCol w:w="3750"/>
      </w:tblGrid>
      <w:tr>
        <w:tc>
          <w:tcPr>
            <w:tcW w:type="dxa" w:w="3750"/>
            <w:tcBorders>
              <w:top w:val="single" w:sz="4" w:space="0" w:color="FFFFFF"/>
              <w:left w:val="single" w:sz="4" w:space="0" w:color="FFFFFF"/>
              <w:bottom w:val="single" w:sz="4" w:space="0" w:color="FFFFFF"/>
              <w:right w:val="single" w:sz="4" w:space="0" w:color="FFFFFF"/>
            </w:tcBorders>
          </w:tcPr>
          <w:p>
            <w:pPr>
              <w:jc w:val="center"/>
            </w:pPr>
            <w:r>
              <w:drawing>
                <wp:inline xmlns:a="http://schemas.openxmlformats.org/drawingml/2006/main" xmlns:pic="http://schemas.openxmlformats.org/drawingml/2006/picture">
                  <wp:extent cx="1097280" cy="771761"/>
                  <wp:docPr id="1" name="Picture 1"/>
                  <wp:cNvGraphicFramePr>
                    <a:graphicFrameLocks noChangeAspect="1"/>
                  </wp:cNvGraphicFramePr>
                  <a:graphic>
                    <a:graphicData uri="http://schemas.openxmlformats.org/drawingml/2006/picture">
                      <pic:pic>
                        <pic:nvPicPr>
                          <pic:cNvPr id="0" name="image4.png"/>
                          <pic:cNvPicPr/>
                        </pic:nvPicPr>
                        <pic:blipFill>
                          <a:blip r:embed="rId11"/>
                          <a:stretch>
                            <a:fillRect/>
                          </a:stretch>
                        </pic:blipFill>
                        <pic:spPr>
                          <a:xfrm>
                            <a:off x="0" y="0"/>
                            <a:ext cx="1097280" cy="771761"/>
                          </a:xfrm>
                          <a:prstGeom prst="rect"/>
                        </pic:spPr>
                      </pic:pic>
                    </a:graphicData>
                  </a:graphic>
                </wp:inline>
              </w:drawing>
            </w:r>
          </w:p>
        </w:tc>
        <w:tc>
          <w:tcPr>
            <w:tcW w:type="dxa" w:w="3750"/>
            <w:tcBorders>
              <w:top w:val="single" w:sz="4" w:space="0" w:color="FFFFFF"/>
              <w:left w:val="single" w:sz="4" w:space="0" w:color="FFFFFF"/>
              <w:bottom w:val="single" w:sz="4" w:space="0" w:color="FFFFFF"/>
              <w:right w:val="single" w:sz="4" w:space="0" w:color="FFFFFF"/>
            </w:tcBorders>
          </w:tcPr>
          <w:p>
            <w:pPr>
              <w:jc w:val="center"/>
            </w:pPr>
            <w:r>
              <w:drawing>
                <wp:inline xmlns:a="http://schemas.openxmlformats.org/drawingml/2006/main" xmlns:pic="http://schemas.openxmlformats.org/drawingml/2006/picture">
                  <wp:extent cx="1097280" cy="771761"/>
                  <wp:docPr id="2" name="Picture 2"/>
                  <wp:cNvGraphicFramePr>
                    <a:graphicFrameLocks noChangeAspect="1"/>
                  </wp:cNvGraphicFramePr>
                  <a:graphic>
                    <a:graphicData uri="http://schemas.openxmlformats.org/drawingml/2006/picture">
                      <pic:pic>
                        <pic:nvPicPr>
                          <pic:cNvPr id="0" name="image4.png"/>
                          <pic:cNvPicPr/>
                        </pic:nvPicPr>
                        <pic:blipFill>
                          <a:blip r:embed="rId11"/>
                          <a:stretch>
                            <a:fillRect/>
                          </a:stretch>
                        </pic:blipFill>
                        <pic:spPr>
                          <a:xfrm>
                            <a:off x="0" y="0"/>
                            <a:ext cx="1097280" cy="771761"/>
                          </a:xfrm>
                          <a:prstGeom prst="rect"/>
                        </pic:spPr>
                      </pic:pic>
                    </a:graphicData>
                  </a:graphic>
                </wp:inline>
              </w:drawing>
            </w:r>
          </w:p>
        </w:tc>
        <w:tc>
          <w:tcPr>
            <w:tcW w:type="dxa" w:w="3750"/>
            <w:tcBorders>
              <w:top w:val="single" w:sz="4" w:space="0" w:color="FFFFFF"/>
              <w:left w:val="single" w:sz="4" w:space="0" w:color="FFFFFF"/>
              <w:bottom w:val="single" w:sz="4" w:space="0" w:color="FFFFFF"/>
              <w:right w:val="single" w:sz="4" w:space="0" w:color="FFFFFF"/>
            </w:tcBorders>
          </w:tcPr>
          <w:p>
            <w:pPr>
              <w:jc w:val="center"/>
            </w:pPr>
            <w:r>
              <w:drawing>
                <wp:inline xmlns:a="http://schemas.openxmlformats.org/drawingml/2006/main" xmlns:pic="http://schemas.openxmlformats.org/drawingml/2006/picture">
                  <wp:extent cx="1097280" cy="764837"/>
                  <wp:docPr id="3" name="Picture 3"/>
                  <wp:cNvGraphicFramePr>
                    <a:graphicFrameLocks noChangeAspect="1"/>
                  </wp:cNvGraphicFramePr>
                  <a:graphic>
                    <a:graphicData uri="http://schemas.openxmlformats.org/drawingml/2006/picture">
                      <pic:pic>
                        <pic:nvPicPr>
                          <pic:cNvPr id="0" name="image6.png"/>
                          <pic:cNvPicPr/>
                        </pic:nvPicPr>
                        <pic:blipFill>
                          <a:blip r:embed="rId12"/>
                          <a:stretch>
                            <a:fillRect/>
                          </a:stretch>
                        </pic:blipFill>
                        <pic:spPr>
                          <a:xfrm>
                            <a:off x="0" y="0"/>
                            <a:ext cx="1097280" cy="764837"/>
                          </a:xfrm>
                          <a:prstGeom prst="rect"/>
                        </pic:spPr>
                      </pic:pic>
                    </a:graphicData>
                  </a:graphic>
                </wp:inline>
              </w:drawing>
            </w:r>
          </w:p>
        </w:tc>
      </w:tr>
      <w:tr>
        <w:tc>
          <w:tcPr>
            <w:tcW w:type="dxa" w:w="3750"/>
            <w:tcBorders>
              <w:top w:val="single" w:sz="4" w:space="0" w:color="FFFFFF"/>
              <w:left w:val="single" w:sz="4" w:space="0" w:color="FFFFFF"/>
              <w:bottom w:val="single" w:sz="4" w:space="0" w:color="FFFFFF"/>
              <w:right w:val="single" w:sz="4" w:space="0" w:color="FFFFFF"/>
            </w:tcBorders>
          </w:tcPr>
          <w:p>
            <w:pPr>
              <w:jc w:val="center"/>
            </w:pPr>
            <w:r>
              <w:rPr>
                <w:rFonts w:ascii="Cambria, serif" w:hAnsi="Cambria, serif"/>
                <w:b/>
                <w:color w:val="1F497D"/>
                <w:sz w:val="18"/>
              </w:rPr>
              <w:t>Prepared / Verified By</w:t>
            </w:r>
          </w:p>
        </w:tc>
        <w:tc>
          <w:tcPr>
            <w:tcW w:type="dxa" w:w="3750"/>
            <w:tcBorders>
              <w:top w:val="single" w:sz="4" w:space="0" w:color="FFFFFF"/>
              <w:left w:val="single" w:sz="4" w:space="0" w:color="FFFFFF"/>
              <w:bottom w:val="single" w:sz="4" w:space="0" w:color="FFFFFF"/>
              <w:right w:val="single" w:sz="4" w:space="0" w:color="FFFFFF"/>
            </w:tcBorders>
          </w:tcPr>
          <w:p>
            <w:pPr>
              <w:jc w:val="center"/>
            </w:pPr>
            <w:r>
              <w:rPr>
                <w:rFonts w:ascii="Cambria, serif" w:hAnsi="Cambria, serif"/>
                <w:b/>
                <w:color w:val="1F497D"/>
                <w:sz w:val="18"/>
              </w:rPr>
              <w:t>Reviewing Officer</w:t>
            </w:r>
          </w:p>
        </w:tc>
        <w:tc>
          <w:tcPr>
            <w:tcW w:type="dxa" w:w="3750"/>
            <w:tcBorders>
              <w:top w:val="single" w:sz="4" w:space="0" w:color="FFFFFF"/>
              <w:left w:val="single" w:sz="4" w:space="0" w:color="FFFFFF"/>
              <w:bottom w:val="single" w:sz="4" w:space="0" w:color="FFFFFF"/>
              <w:right w:val="single" w:sz="4" w:space="0" w:color="FFFFFF"/>
            </w:tcBorders>
          </w:tcPr>
          <w:p>
            <w:pPr>
              <w:jc w:val="center"/>
            </w:pPr>
            <w:r>
              <w:rPr>
                <w:rFonts w:ascii="Cambria, serif" w:hAnsi="Cambria, serif"/>
                <w:b/>
                <w:color w:val="1F497D"/>
                <w:sz w:val="18"/>
              </w:rPr>
              <w:t>Authorized Signatory</w:t>
            </w:r>
          </w:p>
        </w:tc>
      </w:tr>
    </w:tbl>
    <w:p>
      <w:pPr>
        <w:jc w:val="center"/>
      </w:pPr>
      <w:r>
        <w:rPr>
          <w:rFonts w:ascii="Cambria, serif" w:hAnsi="Cambria, serif"/>
          <w:b/>
          <w:color w:val="1F497D"/>
          <w:sz w:val="20"/>
        </w:rPr>
        <w:br/>
        <w:t>------------------ End Of Report ------------------</w:t>
        <w:br/>
      </w:r>
    </w:p>
    <w:sectPr w:rsidR="00FC693F" w:rsidRPr="0006063C" w:rsidSect="00034616">
      <w:headerReference w:type="default" r:id="rId9"/>
      <w:footerReference w:type="default" r:id="rId10"/>
      <w:pgSz w:w="12240" w:h="15840"/>
      <w:pgMar w:top="2080" w:right="425" w:bottom="2780" w:left="566" w:header="1152" w:footer="259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MT" w:hAnsi="Arial MT"/>
        <w:sz w:val="16"/>
      </w:rPr>
      <w:tab/>
      <w:t xml:space="preserve">Page </w:t>
      <w:fldChar w:fldCharType="begin"/>
      <w:instrText xml:space="preserve"> PAGE </w:instrText>
      <w:fldChar w:fldCharType="separate"/>
      <w:fldChar w:fldCharType="end"/>
    </w:r>
    <w:r>
      <w:rPr>
        <w:rFonts w:ascii="Arial MT" w:hAnsi="Arial MT"/>
        <w:sz w:val="16"/>
      </w:rPr>
      <w:t xml:space="preserve"> of </w:t>
      <w:fldChar w:fldCharType="begin"/>
      <w:instrText xml:space="preserve"> NUMPAGES </w:instrText>
      <w:fldChar w:fldCharType="separate"/>
      <w:fldChar w:fldCharType="end"/>
    </w:r>
    <w:r>
      <w:rPr>
        <w:rFonts w:ascii="Arial MT" w:hAnsi="Arial MT"/>
        <w:sz w:val="16"/>
      </w:rPr>
      <w:tab/>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tbl>
    <w:tblPr>
      <w:tblW w:type="auto" w:w="0"/>
      <w:jc w:val="center"/>
      <w:tblLayout w:type="fixed"/>
      <w:tblLook w:firstColumn="1" w:firstRow="1" w:lastColumn="0" w:lastRow="0" w:noHBand="0" w:noVBand="1" w:val="04A0"/>
    </w:tblPr>
    <w:tblGrid>
      <w:gridCol w:w="2700"/>
      <w:gridCol w:w="2700"/>
      <w:gridCol w:w="2700"/>
      <w:gridCol w:w="2700"/>
    </w:tblGrid>
    <w:tr>
      <w:tc>
        <w:tcPr>
          <w:tcW w:type="dxa" w:w="2700"/>
          <w:tcW w:w="1744"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b/>
              <w:color w:val="1F497D"/>
              <w:sz w:val="18"/>
            </w:rPr>
            <w:t>Name</w:t>
          </w:r>
        </w:p>
      </w:tc>
      <w:tc>
        <w:tcPr>
          <w:tcW w:type="dxa" w:w="2700"/>
          <w:tcW w:w="3215"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color w:val="0D0D0D"/>
              <w:sz w:val="18"/>
            </w:rPr>
            <w:t>: MasterRUDRANSH GARG</w:t>
          </w:r>
        </w:p>
      </w:tc>
      <w:tc>
        <w:tcPr>
          <w:tcW w:type="dxa" w:w="2700"/>
          <w:tcW w:w="1779"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b/>
              <w:color w:val="1F497D"/>
              <w:sz w:val="18"/>
            </w:rPr>
            <w:t>Centre Details</w:t>
          </w:r>
        </w:p>
      </w:tc>
      <w:tc>
        <w:tcPr>
          <w:tcW w:type="dxa" w:w="2700"/>
          <w:tcW w:w="4062"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color w:val="0D0D0D"/>
              <w:sz w:val="18"/>
            </w:rPr>
            <w:t>:VIVEK KALRA2219</w:t>
          </w:r>
        </w:p>
      </w:tc>
    </w:tr>
    <w:tr>
      <w:tc>
        <w:tcPr>
          <w:tcW w:type="dxa" w:w="2700"/>
          <w:tcW w:w="1744"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b/>
              <w:color w:val="1F497D"/>
              <w:sz w:val="18"/>
            </w:rPr>
            <w:t>Age</w:t>
          </w:r>
        </w:p>
      </w:tc>
      <w:tc>
        <w:tcPr>
          <w:tcW w:type="dxa" w:w="2700"/>
          <w:tcW w:w="3215"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color w:val="0D0D0D"/>
              <w:sz w:val="18"/>
            </w:rPr>
            <w:t>: 10 Mon 26 Days</w:t>
            <w:tab/>
            <w:t>Sex: Male</w:t>
          </w:r>
        </w:p>
      </w:tc>
      <w:tc>
        <w:tcPr>
          <w:tcW w:type="dxa" w:w="2700"/>
          <w:tcW w:w="1779"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b/>
              <w:color w:val="1F497D"/>
              <w:sz w:val="18"/>
            </w:rPr>
            <w:t>Accession.ID</w:t>
          </w:r>
        </w:p>
      </w:tc>
      <w:tc>
        <w:tcPr>
          <w:tcW w:type="dxa" w:w="2700"/>
          <w:tcW w:w="4062"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color w:val="0D0D0D"/>
              <w:sz w:val="18"/>
            </w:rPr>
            <w:t>:SDL2603090101</w:t>
          </w:r>
        </w:p>
      </w:tc>
    </w:tr>
    <w:tr>
      <w:tc>
        <w:tcPr>
          <w:tcW w:type="dxa" w:w="2700"/>
          <w:tcW w:w="1744"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b/>
              <w:color w:val="1F497D"/>
              <w:sz w:val="18"/>
            </w:rPr>
            <w:t>Collection Date</w:t>
          </w:r>
        </w:p>
      </w:tc>
      <w:tc>
        <w:tcPr>
          <w:tcW w:type="dxa" w:w="2700"/>
          <w:tcW w:w="3215"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color w:val="0D0D0D"/>
              <w:sz w:val="18"/>
            </w:rPr>
            <w:t>: 09/Mar/2026 08:21PM</w:t>
          </w:r>
        </w:p>
      </w:tc>
      <w:tc>
        <w:tcPr>
          <w:tcW w:type="dxa" w:w="2700"/>
          <w:tcW w:w="1779"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b/>
              <w:color w:val="1F497D"/>
              <w:sz w:val="18"/>
            </w:rPr>
            <w:t>Referred By</w:t>
          </w:r>
        </w:p>
      </w:tc>
      <w:tc>
        <w:tcPr>
          <w:tcW w:type="dxa" w:w="2700"/>
          <w:tcW w:w="4062"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color w:val="0D0D0D"/>
              <w:sz w:val="18"/>
            </w:rPr>
            <w:t>:DR VEENA KALRA</w:t>
          </w:r>
        </w:p>
      </w:tc>
    </w:tr>
    <w:tr>
      <w:tc>
        <w:tcPr>
          <w:tcW w:type="dxa" w:w="2700"/>
          <w:tcW w:w="1744"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b/>
              <w:color w:val="1F497D"/>
              <w:sz w:val="18"/>
            </w:rPr>
            <w:t>Received Date</w:t>
          </w:r>
        </w:p>
      </w:tc>
      <w:tc>
        <w:tcPr>
          <w:tcW w:type="dxa" w:w="2700"/>
          <w:tcW w:w="3215"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color w:val="0D0D0D"/>
              <w:sz w:val="18"/>
            </w:rPr>
            <w:t>: 10/Mar/2026 02:08PM</w:t>
          </w:r>
        </w:p>
      </w:tc>
      <w:tc>
        <w:tcPr>
          <w:tcW w:type="dxa" w:w="2700"/>
          <w:tcW w:w="1779"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b/>
              <w:color w:val="1F497D"/>
              <w:sz w:val="18"/>
            </w:rPr>
            <w:t>Report Date</w:t>
          </w:r>
        </w:p>
      </w:tc>
      <w:tc>
        <w:tcPr>
          <w:tcW w:type="dxa" w:w="2700"/>
          <w:tcW w:w="4062"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color w:val="0D0D0D"/>
              <w:sz w:val="18"/>
            </w:rPr>
            <w:t>:15/APR/2026 03:41PM</w:t>
          </w:r>
        </w:p>
      </w:tc>
    </w:tr>
    <w:tr>
      <w:tc>
        <w:tcPr>
          <w:tcW w:type="dxa" w:w="2700"/>
          <w:tcW w:w="1744"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b/>
              <w:color w:val="1F497D"/>
              <w:sz w:val="18"/>
            </w:rPr>
            <w:t>Registration Date</w:t>
          </w:r>
        </w:p>
      </w:tc>
      <w:tc>
        <w:tcPr>
          <w:tcW w:type="dxa" w:w="2700"/>
          <w:tcW w:w="3215"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color w:val="0D0D0D"/>
              <w:sz w:val="18"/>
            </w:rPr>
            <w:t>: 09/Mar/2026 08:21PM</w:t>
          </w:r>
        </w:p>
      </w:tc>
      <w:tc>
        <w:tcPr>
          <w:tcW w:type="dxa" w:w="2700"/>
          <w:tcW w:w="1779"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b/>
              <w:color w:val="1F497D"/>
              <w:sz w:val="18"/>
            </w:rPr>
            <w:t>Sample Type</w:t>
          </w:r>
        </w:p>
      </w:tc>
      <w:tc>
        <w:tcPr>
          <w:tcW w:type="dxa" w:w="2700"/>
          <w:tcW w:w="4062" w:type="dxa"/>
          <w:tcMar>
            <w:top w:w="40" w:type="dxa"/>
            <w:left w:w="60" w:type="dxa"/>
            <w:bottom w:w="40" w:type="dxa"/>
            <w:right w:w="6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serif" w:hAnsi="Cambria, serif"/>
              <w:color w:val="0D0D0D"/>
              <w:sz w:val="18"/>
            </w:rPr>
            <w:t>: EDTA PERIPHERAL BLOOD</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