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mbria, serif" w:hAnsi="Cambria, serif"/>
          <w:b/>
          <w:color w:val="1F497D"/>
          <w:sz w:val="32"/>
        </w:rPr>
        <w:t>TESTREPORT USHABAI PUNDALIK BARI (OQG2604290894) 2600135670 BF9A8CF0-2717-4682-B98A-90B08A9C40AA</w:t>
      </w:r>
    </w:p>
    <w:p>
      <w:pPr>
        <w:spacing w:after="240"/>
      </w:pPr>
      <w:r>
        <w:rPr>
          <w:rFonts w:ascii="Cambria, serif" w:hAnsi="Cambria, serif"/>
          <w:color w:val="64748B"/>
          <w:sz w:val="18"/>
        </w:rPr>
        <w:t>Universal Dynamic Document Report</w:t>
      </w:r>
    </w:p>
    <w:p>
      <w:pPr>
        <w:spacing w:after="80"/>
      </w:pPr>
      <w:r>
        <w:rPr>
          <w:rFonts w:ascii="Cambria, serif" w:hAnsi="Cambria, serif"/>
          <w:b/>
          <w:color w:val="1F497D"/>
          <w:sz w:val="22"/>
        </w:rPr>
        <w:t>📋 Header Metadata &amp; Key Information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Clinical Indication:</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Moderately-differentiated endometrioid adenocarcinoma (Grade 2) of the endometrium. Block No.</w:t>
            </w:r>
          </w:p>
        </w:tc>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guidelines:</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EMA, FDA, ESMO, NCCN.</w:t>
            </w:r>
          </w:p>
        </w:tc>
      </w:tr>
      <w:tr>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8 chr10:</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89624271 c.46_47insT p.(Y16Lfs*28)</w:t>
            </w:r>
          </w:p>
        </w:tc>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Note:</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w:t>
            </w:r>
          </w:p>
        </w:tc>
      </w:tr>
      <w:tr>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Sequencing:</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The libraries were sequenced at mean depth</w:t>
            </w:r>
          </w:p>
        </w:tc>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PTEN:</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Multiple Functions in Human Malignant Tumors. Front Oncol. 2015 Feb 16;5</w:t>
            </w:r>
          </w:p>
        </w:tc>
      </w:tr>
      <w:tr>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doi:</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10.3389/fonc.2015.00024. eCollection 2015. PMID</w:t>
            </w:r>
          </w:p>
        </w:tc>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PMID:</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28945226</w:t>
            </w:r>
          </w:p>
        </w:tc>
      </w:tr>
      <w:tr>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52:</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30-8. PMID</w:t>
            </w:r>
          </w:p>
        </w:tc>
        <w:tc>
          <w:tcPr>
            <w:tcW w:type="dxa" w:w="2520"/>
            <w:shd w:fill="F1F5F9"/>
            <w:tcBorders>
              <w:top w:val="single" w:sz="4" w:space="0" w:color="1f497d"/>
              <w:left w:val="single" w:sz="4" w:space="0" w:color="1f497d"/>
              <w:bottom w:val="single" w:sz="4" w:space="0" w:color="1f497d"/>
              <w:right w:val="single" w:sz="4" w:space="0" w:color="1f497d"/>
            </w:tcBorders>
          </w:tcPr>
          <w:p>
            <w:r>
              <w:rPr>
                <w:rFonts w:ascii="Cambria, serif" w:hAnsi="Cambria, serif"/>
                <w:b/>
                <w:color w:val="1F497D"/>
                <w:sz w:val="18"/>
              </w:rPr>
              <w:t>The cBio cancer genomics portal:</w:t>
            </w:r>
          </w:p>
        </w:tc>
        <w:tc>
          <w:tcPr>
            <w:tcW w:type="dxa" w:w="2520"/>
            <w:shd w:fill="FFFFFF"/>
            <w:tcBorders>
              <w:top w:val="single" w:sz="4" w:space="0" w:color="1f497d"/>
              <w:left w:val="single" w:sz="4" w:space="0" w:color="1f497d"/>
              <w:bottom w:val="single" w:sz="4" w:space="0" w:color="1f497d"/>
              <w:right w:val="single" w:sz="4" w:space="0" w:color="1f497d"/>
            </w:tcBorders>
          </w:tcPr>
          <w:p>
            <w:r>
              <w:rPr>
                <w:rFonts w:ascii="Cambria, serif" w:hAnsi="Cambria, serif"/>
                <w:sz w:val="18"/>
              </w:rPr>
              <w:t>an open platform for exploring multidimensional cancer genomics data. Cancer Discov. 2012 May;2(5)</w:t>
            </w:r>
          </w:p>
        </w:tc>
      </w:tr>
    </w:tbl>
    <w:p>
      <w:pPr>
        <w:spacing w:after="160"/>
      </w:pPr>
    </w:p>
    <w:p>
      <w:pPr>
        <w:spacing w:before="160" w:after="80"/>
      </w:pPr>
      <w:r>
        <w:rPr>
          <w:rFonts w:ascii="Cambria, serif" w:hAnsi="Cambria, serif"/>
          <w:b/>
          <w:color w:val="1F497D"/>
          <w:sz w:val="22"/>
        </w:rPr>
        <w:t>📌 On Illumina Novaseq 6000 Platform</w:t>
      </w:r>
    </w:p>
    <w:p>
      <w:pPr>
        <w:spacing w:line="276" w:lineRule="auto" w:after="60"/>
      </w:pPr>
      <w:r>
        <w:rPr>
          <w:rFonts w:ascii="Cambria, serif" w:hAnsi="Cambria, serif"/>
          <w:sz w:val="20"/>
        </w:rPr>
        <w:t>Clinical Indication: Moderately-differentiated endometrioid adenocarcinoma (Grade 2) of the endometrium. Block No.: AH-536/26-D</w:t>
      </w:r>
    </w:p>
    <w:p>
      <w:pPr>
        <w:spacing w:before="160" w:after="80"/>
      </w:pPr>
      <w:r>
        <w:rPr>
          <w:rFonts w:ascii="Cambria, serif" w:hAnsi="Cambria, serif"/>
          <w:b/>
          <w:color w:val="1F497D"/>
          <w:sz w:val="22"/>
        </w:rPr>
        <w:t>📌 Key Findings:</w:t>
      </w:r>
    </w:p>
    <w:p>
      <w:pPr>
        <w:spacing w:line="276" w:lineRule="auto" w:after="60"/>
      </w:pPr>
      <w:r>
        <w:rPr>
          <w:rFonts w:ascii="Cambria, serif" w:hAnsi="Cambria, serif"/>
          <w:sz w:val="20"/>
        </w:rPr>
        <w:t>*Genetic test results are reported based on the recommendations of AMP-ASCO-CAP guidelines. **Public data sources included in relevant targeted therapies, guidelines: EMA, FDA, ESMO, NCCN.</w:t>
      </w:r>
    </w:p>
    <w:p>
      <w:pPr>
        <w:spacing w:before="160" w:after="80"/>
      </w:pPr>
      <w:r>
        <w:rPr>
          <w:rFonts w:ascii="Cambria, serif" w:hAnsi="Cambria, serif"/>
          <w:b/>
          <w:color w:val="1F497D"/>
          <w:sz w:val="22"/>
        </w:rPr>
        <w:t>📌 Multi-Gene Biomarkers Results:</w:t>
      </w:r>
    </w:p>
    <w:p>
      <w:pPr>
        <w:spacing w:line="276" w:lineRule="auto" w:after="60"/>
      </w:pPr>
      <w:r>
        <w:rPr>
          <w:rFonts w:ascii="Cambria, serif" w:hAnsi="Cambria, serif"/>
          <w:sz w:val="20"/>
        </w:rPr>
        <w:t># Correlation of the genetic findings with the clinical condition of the patient is required to arrive at accurate diagnosis, prognosis or therapeutic decisions.</w:t>
      </w:r>
    </w:p>
    <w:p>
      <w:pPr>
        <w:spacing w:before="160" w:after="80"/>
      </w:pPr>
      <w:r>
        <w:rPr>
          <w:rFonts w:ascii="Cambria, serif" w:hAnsi="Cambria, serif"/>
          <w:b/>
          <w:color w:val="1F497D"/>
          <w:sz w:val="22"/>
        </w:rPr>
        <w:t>📌 Variant Biomarker Description</w:t>
      </w:r>
    </w:p>
    <w:p>
      <w:pPr>
        <w:spacing w:line="276" w:lineRule="auto" w:after="60"/>
      </w:pPr>
      <w:r>
        <w:rPr>
          <w:rFonts w:ascii="Cambria, serif" w:hAnsi="Cambria, serif"/>
          <w:sz w:val="20"/>
        </w:rPr>
        <w:t>PTEN NM_000314.8 chr10:89624271 c.46_47insT p.(Y16Lfs*28)</w:t>
      </w:r>
    </w:p>
    <w:p>
      <w:pPr>
        <w:spacing w:before="160" w:after="80"/>
      </w:pPr>
      <w:r>
        <w:rPr>
          <w:rFonts w:ascii="Cambria, serif" w:hAnsi="Cambria, serif"/>
          <w:b/>
          <w:color w:val="1F497D"/>
          <w:sz w:val="22"/>
        </w:rPr>
        <w:t>📌 General Content / Notes</w:t>
      </w:r>
    </w:p>
    <w:p>
      <w:pPr>
        <w:spacing w:line="276" w:lineRule="auto" w:after="60"/>
      </w:pPr>
      <w:r>
        <w:rPr>
          <w:rFonts w:ascii="Cambria, serif" w:hAnsi="Cambria, serif"/>
          <w:sz w:val="20"/>
        </w:rPr>
        <w:t>capivasertib + fulvestrant with ERBB2 negative, Hormone receptor positive TRUQAP® is a kinase inhibitor indicated, in combination with fulvestrant for the treatment of adult patients with hormone receptor (HR)-positive, human epidermal growth factor receptor 2 (HER2)- negative, locally advanced or metastatic breast cancer with one or more PIK3CA/AKT1/PTEN- alterations as detected by an FDA-approved test following progression on at least one endocrine- based regimen in the metastatic setting or recurrence on or within 12 months of completing adjuvant therapy. Cancer type: Breast Cancer</w:t>
      </w:r>
    </w:p>
    <w:p>
      <w:pPr>
        <w:spacing w:before="160" w:after="80"/>
      </w:pPr>
      <w:r>
        <w:rPr>
          <w:rFonts w:ascii="Cambria, serif" w:hAnsi="Cambria, serif"/>
          <w:b/>
          <w:color w:val="1F497D"/>
          <w:sz w:val="22"/>
        </w:rPr>
        <w:t>📌 XL-309, olaparib X X X X I</w:t>
      </w:r>
    </w:p>
    <w:p>
      <w:pPr>
        <w:spacing w:line="276" w:lineRule="auto" w:after="60"/>
      </w:pPr>
      <w:r>
        <w:rPr>
          <w:rFonts w:ascii="Cambria, serif" w:hAnsi="Cambria, serif"/>
          <w:sz w:val="20"/>
        </w:rPr>
        <w:t>📝Note:  ✓ : In this Cancer Type,  ✓ : In Other Cancer Type,  ✓ ✓ : both In this and Other Cancer Type,  X  : No Evidence. ⚠️ : Caution for Use</w:t>
      </w:r>
    </w:p>
    <w:p>
      <w:pPr>
        <w:spacing w:before="160" w:after="80"/>
      </w:pPr>
      <w:r>
        <w:rPr>
          <w:rFonts w:ascii="Cambria, serif" w:hAnsi="Cambria, serif"/>
          <w:b/>
          <w:color w:val="1F497D"/>
          <w:sz w:val="22"/>
        </w:rPr>
        <w:t>📌 Test Description</w:t>
      </w:r>
    </w:p>
    <w:p>
      <w:pPr>
        <w:spacing w:line="276" w:lineRule="auto" w:after="60"/>
      </w:pPr>
      <w:r>
        <w:rPr>
          <w:rFonts w:ascii="Cambria, serif" w:hAnsi="Cambria, serif"/>
          <w:sz w:val="20"/>
        </w:rPr>
        <w:t>Endometseq Genomic Profiling Panel – Basic is advancing precision oncology research through the analysis of multiple relevant biomarkers in a single next-generation sequencing (NGS) test.</w:t>
      </w:r>
    </w:p>
    <w:p>
      <w:pPr>
        <w:spacing w:line="276" w:lineRule="auto" w:after="60"/>
      </w:pPr>
      <w:r>
        <w:rPr>
          <w:rFonts w:ascii="Cambria, serif" w:hAnsi="Cambria, serif"/>
          <w:sz w:val="20"/>
        </w:rPr>
        <w:t>The Endometseq Genomic Profiling Panel – Basic assay analyses 43 unique genes ( 43 DNA) for single gene and multiple gene biomarker insights, detects single gene biomarkers from all variant types including  SNVs, indels, and CNVs , analyze complex multi-gene biomarkers for mutational signatures, including microsatellite instability ( MSI ) for immunotherapy research.</w:t>
      </w:r>
    </w:p>
    <w:p>
      <w:pPr>
        <w:spacing w:line="276" w:lineRule="auto" w:after="60"/>
      </w:pPr>
      <w:r>
        <w:rPr>
          <w:rFonts w:ascii="Cambria, serif" w:hAnsi="Cambria, serif"/>
          <w:sz w:val="20"/>
        </w:rPr>
        <w:t>The performance of the panel was verified using both commercially sourced reference controls and FFPE samples.</w:t>
      </w:r>
    </w:p>
    <w:p>
      <w:pPr>
        <w:spacing w:line="276" w:lineRule="auto" w:after="60"/>
      </w:pPr>
      <w:r>
        <w:rPr>
          <w:rFonts w:ascii="Cambria, serif" w:hAnsi="Cambria, serif"/>
          <w:sz w:val="20"/>
        </w:rPr>
        <w:t>Test Methodology Extraction &amp; Library Preparation:  DNA extracted from FFPE tissue block sample is used for targeted gene capture using a custom designed hybrid capture panel. In process quality controls were determined for prepared library.</w:t>
      </w:r>
    </w:p>
    <w:p>
      <w:pPr>
        <w:spacing w:line="276" w:lineRule="auto" w:after="60"/>
      </w:pPr>
      <w:r>
        <w:rPr>
          <w:rFonts w:ascii="Cambria, serif" w:hAnsi="Cambria, serif"/>
          <w:sz w:val="20"/>
        </w:rPr>
        <w:t>Sequencing : The libraries were sequenced at mean depth: &gt;1000x on Illumina Novaseq- next generation sequencing platform.</w:t>
      </w:r>
    </w:p>
    <w:p>
      <w:pPr>
        <w:spacing w:before="160" w:after="80"/>
      </w:pPr>
      <w:r>
        <w:rPr>
          <w:rFonts w:ascii="Cambria, serif" w:hAnsi="Cambria, serif"/>
          <w:b/>
          <w:color w:val="1F497D"/>
          <w:sz w:val="22"/>
        </w:rPr>
        <w:t>📌 General Content / Notes</w:t>
      </w:r>
    </w:p>
    <w:p>
      <w:pPr>
        <w:spacing w:line="276" w:lineRule="auto" w:after="60"/>
      </w:pPr>
      <w:r>
        <w:rPr>
          <w:rFonts w:ascii="Cambria, serif" w:hAnsi="Cambria, serif"/>
          <w:sz w:val="20"/>
        </w:rPr>
        <w:t>Limit of Detection (LOD): The LOD for SNVs and InDels is 5% Variant allele Frequency (VAF).</w:t>
      </w:r>
    </w:p>
    <w:p>
      <w:pPr>
        <w:spacing w:before="160" w:after="80"/>
      </w:pPr>
      <w:r>
        <w:rPr>
          <w:rFonts w:ascii="Cambria, serif" w:hAnsi="Cambria, serif"/>
          <w:b/>
          <w:color w:val="1F497D"/>
          <w:sz w:val="22"/>
        </w:rPr>
        <w:t>📌 Notes</w:t>
      </w:r>
    </w:p>
    <w:p>
      <w:pPr>
        <w:spacing w:line="276" w:lineRule="auto" w:after="60"/>
      </w:pPr>
      <w:r>
        <w:rPr>
          <w:rFonts w:ascii="Cambria, serif" w:hAnsi="Cambria, serif"/>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line="276" w:lineRule="auto" w:after="60"/>
      </w:pPr>
      <w:r>
        <w:rPr>
          <w:rFonts w:ascii="Cambria, serif" w:hAnsi="Cambria, serif"/>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line="276" w:lineRule="auto" w:after="60"/>
      </w:pPr>
      <w:r>
        <w:rPr>
          <w:rFonts w:ascii="Cambria, serif" w:hAnsi="Cambria, serif"/>
          <w:sz w:val="20"/>
        </w:rPr>
        <w:t>SN Genelab Pvt Ltd does not guarantee completeness, accuracy, or eligibility for trial enrollment. Physicians must verify eligibility criteria for specific trials independently.</w:t>
      </w:r>
    </w:p>
    <w:p>
      <w:pPr>
        <w:spacing w:line="276" w:lineRule="auto" w:after="60"/>
      </w:pPr>
      <w:r>
        <w:rPr>
          <w:rFonts w:ascii="Cambria, serif" w:hAnsi="Cambria, serif"/>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line="276" w:lineRule="auto" w:after="60"/>
      </w:pPr>
      <w:r>
        <w:rPr>
          <w:rFonts w:ascii="Cambria, serif" w:hAnsi="Cambria, serif"/>
          <w:sz w:val="20"/>
        </w:rPr>
        <w:t>All variant classifications and related clinical information are based on the latest evidence from peer- reviewed publications, public clinical databases, and medical guidelines (e.g., NCCN, ASCO, AMP) available at the time of report generation. However, literature is continuously evolving, and classification may change with emerging evidence.</w:t>
      </w:r>
    </w:p>
    <w:p>
      <w:pPr>
        <w:spacing w:line="276" w:lineRule="auto" w:after="60"/>
      </w:pPr>
      <w:r>
        <w:rPr>
          <w:rFonts w:ascii="Cambria, serif" w:hAnsi="Cambria, serif"/>
          <w:sz w:val="20"/>
        </w:rPr>
        <w:t>This test is performed on tumor tissue without a matched normal (e.g., blood) sample. Therefore, some variants may be of germline origin. While the assay is designed and validated for somatic variant detection, it does not differentiate between somatic and germline variants. If indicated, germline testing and genetic counselling are recommended.</w:t>
      </w:r>
    </w:p>
    <w:p>
      <w:pPr>
        <w:spacing w:before="160" w:after="80"/>
      </w:pPr>
      <w:r>
        <w:rPr>
          <w:rFonts w:ascii="Cambria, serif" w:hAnsi="Cambria, serif"/>
          <w:b/>
          <w:color w:val="1F497D"/>
          <w:sz w:val="22"/>
        </w:rPr>
        <w:t>📌 General Content / Notes</w:t>
      </w:r>
    </w:p>
    <w:p>
      <w:pPr>
        <w:spacing w:line="276" w:lineRule="auto" w:after="60"/>
      </w:pPr>
      <w:r>
        <w:rPr>
          <w:rFonts w:ascii="Cambria, serif" w:hAnsi="Cambria, serif"/>
          <w:sz w:val="20"/>
        </w:rPr>
        <w:t>Variants with allele frequencies between 3–5% may be reported if they are of strong or potential clinical relevance, or if previously detected in the same patient. False positives or negatives below assay sensitivity cannot be ruled out.</w:t>
      </w:r>
    </w:p>
    <w:p>
      <w:pPr>
        <w:spacing w:line="276" w:lineRule="auto" w:after="60"/>
      </w:pPr>
      <w:r>
        <w:rPr>
          <w:rFonts w:ascii="Cambria, serif" w:hAnsi="Cambria, serif"/>
          <w:sz w:val="20"/>
        </w:rPr>
        <w:t>CNVs/gene amplifications have &gt;80% detection sensitivity in this assay. Confirmation using orthogonal methods such as FISH/DDPCR is recommended when clinically indicated.</w:t>
      </w:r>
    </w:p>
    <w:p>
      <w:pPr>
        <w:spacing w:line="276" w:lineRule="auto" w:after="60"/>
      </w:pPr>
      <w:r>
        <w:rPr>
          <w:rFonts w:ascii="Cambria, serif" w:hAnsi="Cambria, serif"/>
          <w:sz w:val="20"/>
        </w:rPr>
        <w:t>Variants in non-coding regions or deep intronic sequences are not assessed in this assay.</w:t>
      </w:r>
    </w:p>
    <w:p>
      <w:pPr>
        <w:spacing w:line="276" w:lineRule="auto" w:after="60"/>
      </w:pPr>
      <w:r>
        <w:rPr>
          <w:rFonts w:ascii="Cambria, serif" w:hAnsi="Cambria, serif"/>
          <w:sz w:val="20"/>
        </w:rPr>
        <w:t>This assay is under the scope of NABL as Solidseq Comprehensive panel.</w:t>
      </w:r>
    </w:p>
    <w:p>
      <w:pPr>
        <w:spacing w:before="160" w:after="80"/>
      </w:pPr>
      <w:r>
        <w:rPr>
          <w:rFonts w:ascii="Cambria, serif" w:hAnsi="Cambria, serif"/>
          <w:b/>
          <w:color w:val="1F497D"/>
          <w:sz w:val="22"/>
        </w:rPr>
        <w:t>📌 General Content / Notes</w:t>
      </w:r>
    </w:p>
    <w:p>
      <w:pPr>
        <w:spacing w:line="276" w:lineRule="auto" w:after="60"/>
      </w:pPr>
      <w:r>
        <w:rPr>
          <w:rFonts w:ascii="Cambria, serif" w:hAnsi="Cambria, serif"/>
          <w:sz w:val="20"/>
        </w:rPr>
        <w:t>Tier IIC Variants of Potential Clinical Significance: biomarkers that predict response or resistance to therapies approved by FDA or professional societies for a different tumor type (i.e., off- label use of a drug), serve as inclusion criteria for clinical trials, or have diagnostic and/or prognostic significance based on the results of multiple small studies.</w:t>
      </w:r>
    </w:p>
    <w:p>
      <w:pPr>
        <w:spacing w:line="276" w:lineRule="auto" w:after="60"/>
      </w:pPr>
      <w:r>
        <w:rPr>
          <w:rFonts w:ascii="Cambria, serif" w:hAnsi="Cambria, serif"/>
          <w:sz w:val="20"/>
        </w:rPr>
        <w:t>Tier IID Variants of Potential Clinical Significance: Biomarkers that show plausible therapeutic significance based on preclinical studies or may assist disease diagnosis and/or prognosis themselves or along with other biomarkers based on small studies or multiple case reports with no consensus.</w:t>
      </w:r>
    </w:p>
    <w:p>
      <w:pPr>
        <w:spacing w:line="276" w:lineRule="auto" w:after="60"/>
      </w:pPr>
      <w:r>
        <w:rPr>
          <w:rFonts w:ascii="Cambria, serif" w:hAnsi="Cambria, serif"/>
          <w:sz w:val="20"/>
        </w:rPr>
        <w:t>Tier III Variants of Unknown clinical significance (VUS): Not observed at a significant allele frequency in the general or specific subpopulation or pancancer or tumor specific variant databases. No convincing published evidence of cancer Association</w:t>
      </w:r>
    </w:p>
    <w:p>
      <w:pPr>
        <w:spacing w:before="160" w:after="80"/>
      </w:pPr>
      <w:r>
        <w:rPr>
          <w:rFonts w:ascii="Cambria, serif" w:hAnsi="Cambria, serif"/>
          <w:b/>
          <w:color w:val="1F497D"/>
          <w:sz w:val="22"/>
        </w:rPr>
        <w:t>📌 References:</w:t>
      </w:r>
    </w:p>
    <w:p>
      <w:pPr>
        <w:spacing w:line="276" w:lineRule="auto" w:after="60"/>
      </w:pPr>
      <w:r>
        <w:rPr>
          <w:rFonts w:ascii="Cambria, serif" w:hAnsi="Cambria, serif"/>
          <w:sz w:val="20"/>
        </w:rPr>
        <w:t>1. Milella et al. PTEN: Multiple Functions in Human Malignant Tumors. Front Oncol. 2015 Feb 16;5:24. doi: 10.3389/fonc.2015.00024. eCollection 2015. PMID: 25763354</w:t>
      </w:r>
    </w:p>
    <w:p>
      <w:pPr>
        <w:spacing w:line="276" w:lineRule="auto" w:after="60"/>
      </w:pPr>
      <w:r>
        <w:rPr>
          <w:rFonts w:ascii="Cambria, serif" w:hAnsi="Cambria, serif"/>
          <w:sz w:val="20"/>
        </w:rPr>
        <w:t>2. Song et al. The functions and regulation of the PTEN tumour suppressor. Nat. Rev. Mol. Cell Biol. 2012 Apr 4;13(5):283-96. PMID: 22473468</w:t>
      </w:r>
    </w:p>
    <w:p>
      <w:pPr>
        <w:spacing w:line="276" w:lineRule="auto" w:after="60"/>
      </w:pPr>
      <w:r>
        <w:rPr>
          <w:rFonts w:ascii="Cambria, serif" w:hAnsi="Cambria, serif"/>
          <w:sz w:val="20"/>
        </w:rPr>
        <w:t>3. Chalhoub et al. PTEN and the PI3-kinase pathway in cancer. Annu Rev Pathol. 2009;4:127-50. PMID: 18767981</w:t>
      </w:r>
    </w:p>
    <w:p>
      <w:pPr>
        <w:spacing w:line="276" w:lineRule="auto" w:after="60"/>
      </w:pPr>
      <w:r>
        <w:rPr>
          <w:rFonts w:ascii="Cambria, serif" w:hAnsi="Cambria, serif"/>
          <w:sz w:val="20"/>
        </w:rPr>
        <w:t>4. Mansour et al. Loss of PTEN-assisted G2/M checkpoint impedes homologous recombination repair and enhances radio- curability and PARP inhibitor treatment response in prostate cancer. Sci Rep. 2018 Mar 2;8(1):3947. PMID: 29500400</w:t>
      </w:r>
    </w:p>
    <w:p>
      <w:pPr>
        <w:spacing w:line="276" w:lineRule="auto" w:after="60"/>
      </w:pPr>
      <w:r>
        <w:rPr>
          <w:rFonts w:ascii="Cambria, serif" w:hAnsi="Cambria, serif"/>
          <w:sz w:val="20"/>
        </w:rPr>
        <w:t>5. Leslie et al. Inherited PTEN mutations and the prediction of phenotype. Semin. Cell Dev. Biol. 2016 Apr;52:30-8. PMID: 26827793</w:t>
      </w:r>
    </w:p>
    <w:p>
      <w:pPr>
        <w:spacing w:line="276" w:lineRule="auto" w:after="60"/>
      </w:pPr>
      <w:r>
        <w:rPr>
          <w:rFonts w:ascii="Cambria, serif" w:hAnsi="Cambria, serif"/>
          <w:sz w:val="20"/>
        </w:rPr>
        <w:t>6. Tan et al. Lifetime cancer risks in individuals with germline PTEN mutations. Clin. Cancer Res. 2012 Jan 15;18(2):400-7. PMID: 22252256</w:t>
      </w:r>
    </w:p>
    <w:p>
      <w:pPr>
        <w:spacing w:line="276" w:lineRule="auto" w:after="60"/>
      </w:pPr>
      <w:r>
        <w:rPr>
          <w:rFonts w:ascii="Cambria, serif" w:hAnsi="Cambria, serif"/>
          <w:sz w:val="20"/>
        </w:rPr>
        <w:t>7. Cerami et al. The cBio cancer genomics portal: an open platform for exploring multidimensional cancer genomics data. Cancer Discov. 2012 May;2(5):401-4. PMID: 22588877</w:t>
      </w:r>
    </w:p>
    <w:p>
      <w:pPr>
        <w:spacing w:before="160" w:after="80"/>
      </w:pPr>
      <w:r>
        <w:rPr>
          <w:rFonts w:ascii="Cambria, serif" w:hAnsi="Cambria, serif"/>
          <w:b/>
          <w:color w:val="1F497D"/>
          <w:sz w:val="22"/>
        </w:rPr>
        <w:t>📌 General Content / Notes</w:t>
      </w:r>
    </w:p>
    <w:p>
      <w:pPr>
        <w:spacing w:line="276" w:lineRule="auto" w:after="60"/>
      </w:pPr>
      <w:r>
        <w:rPr>
          <w:rFonts w:ascii="Cambria, serif" w:hAnsi="Cambria, serif"/>
          <w:sz w:val="20"/>
        </w:rPr>
        <w:t>10. Papa et al. Cancer-associated PTEN mutants act in a dominant-negative manner to suppress PTEN protein function. Cell. 2014 Apr 24;157(3):595-610. PMID: 24766807</w:t>
      </w:r>
    </w:p>
    <w:p>
      <w:pPr>
        <w:spacing w:line="276" w:lineRule="auto" w:after="60"/>
      </w:pPr>
      <w:r>
        <w:rPr>
          <w:rFonts w:ascii="Cambria, serif" w:hAnsi="Cambria, serif"/>
          <w:sz w:val="20"/>
        </w:rPr>
        <w:t>11. Kato et al. Functional evaluation of p53 and PTEN gene mutations in gliomas. Clin. Cancer Res. 2000 Oct;6(10):3937-43. PMID: 11051241</w:t>
      </w:r>
    </w:p>
    <w:p>
      <w:pPr>
        <w:spacing w:line="276" w:lineRule="auto" w:after="60"/>
      </w:pPr>
      <w:r>
        <w:rPr>
          <w:rFonts w:ascii="Cambria, serif" w:hAnsi="Cambria, serif"/>
          <w:sz w:val="20"/>
        </w:rPr>
        <w:t>12. Han et al. Functional evaluation of PTEN missense mutations using in vitro phosphoinositide phosphatase assay. Cancer Res. 2000 Jun 15;60(12):3147-51. PMID: 10866302</w:t>
      </w:r>
    </w:p>
    <w:p>
      <w:pPr>
        <w:spacing w:line="276" w:lineRule="auto" w:after="60"/>
      </w:pPr>
      <w:r>
        <w:rPr>
          <w:rFonts w:ascii="Cambria, serif" w:hAnsi="Cambria, serif"/>
          <w:sz w:val="20"/>
        </w:rPr>
        <w:t>13. Mendes-Pereira et al. Synthetic lethal targeting of PTEN mutant cells with PARP inhibitors. EMBO Mol Med. 2009 Sep;1(6-7):315-22. PMID: 20049735</w:t>
      </w:r>
    </w:p>
    <w:p>
      <w:pPr>
        <w:spacing w:line="276" w:lineRule="auto" w:after="60"/>
      </w:pPr>
      <w:r>
        <w:rPr>
          <w:rFonts w:ascii="Cambria, serif" w:hAnsi="Cambria, serif"/>
          <w:sz w:val="20"/>
        </w:rPr>
        <w:t>14. Bian et al. PTEN deficiency sensitizes endometrioid endometrial cancer to compound PARP-PI3K inhibition but not PARP inhibition as monotherapy. Oncogene. 2018 Jan 18;37(3):341-351. PMID: 28945226</w:t>
      </w:r>
    </w:p>
    <w:p>
      <w:pPr>
        <w:spacing w:before="160" w:after="80"/>
      </w:pPr>
      <w:r>
        <w:rPr>
          <w:rFonts w:ascii="Cambria, serif" w:hAnsi="Cambria, serif"/>
          <w:b/>
          <w:color w:val="1F497D"/>
          <w:sz w:val="22"/>
        </w:rPr>
        <w:t>📌 15. https://www.senhwabio.com//en/news/20220125</w:t>
      </w:r>
    </w:p>
    <w:p>
      <w:pPr>
        <w:spacing w:line="276" w:lineRule="auto" w:after="60"/>
      </w:pPr>
      <w:r>
        <w:rPr>
          <w:rFonts w:ascii="Cambria, serif" w:hAnsi="Cambria, serif"/>
          <w:sz w:val="20"/>
        </w:rPr>
        <w:t>16. https://www.accessdata.fda.gov/drugsatfda_docs/label/2025/218197s002lbl.pdf</w:t>
      </w:r>
    </w:p>
    <w:p>
      <w:pPr>
        <w:spacing w:line="276" w:lineRule="auto" w:after="60"/>
      </w:pPr>
      <w:r>
        <w:rPr>
          <w:rFonts w:ascii="Cambria, serif" w:hAnsi="Cambria, serif"/>
          <w:sz w:val="20"/>
        </w:rPr>
        <w:t>------------------ End Of Report ------------------</w:t>
      </w:r>
    </w:p>
    <w:p>
      <w:pPr>
        <w:spacing w:after="160"/>
      </w:pPr>
    </w:p>
    <w:p>
      <w:pPr>
        <w:spacing w:before="160" w:after="80"/>
      </w:pPr>
      <w:r>
        <w:rPr>
          <w:rFonts w:ascii="Cambria, serif" w:hAnsi="Cambria, serif"/>
          <w:b/>
          <w:color w:val="1F497D"/>
          <w:sz w:val="22"/>
        </w:rPr>
        <w:t>📊 Table 1 (Page 1)</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Tier I</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Tier II</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Tier III</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MSI</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Therapies</w:t>
            </w:r>
          </w:p>
        </w:tc>
        <w:tc>
          <w:tcPr>
            <w:tcW w:type="dxa" w:w="168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Clinical Trials</w:t>
            </w:r>
          </w:p>
        </w:tc>
      </w:tr>
      <w:tr>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0</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Stable</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1</w:t>
            </w:r>
          </w:p>
        </w:tc>
        <w:tc>
          <w:tcPr>
            <w:tcW w:type="dxa" w:w="168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14</w:t>
            </w:r>
          </w:p>
        </w:tc>
      </w:tr>
    </w:tbl>
    <w:p>
      <w:pPr>
        <w:spacing w:after="160"/>
      </w:pPr>
    </w:p>
    <w:p>
      <w:pPr>
        <w:spacing w:before="160" w:after="80"/>
      </w:pPr>
      <w:r>
        <w:rPr>
          <w:rFonts w:ascii="Cambria, serif" w:hAnsi="Cambria, serif"/>
          <w:b/>
          <w:color w:val="1F497D"/>
          <w:sz w:val="22"/>
        </w:rPr>
        <w:t>📊 Table 2 (Page 1)</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Tier</w:t>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Gene &amp; Transcript</w:t>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Variant</w:t>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Exon</w:t>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Coverage/VAF</w:t>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IIC</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PTEN NM 000314.8 _</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c.46 47insT _ p.(Y16Lfs*28)</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1</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483x / 3.93%</w:t>
            </w:r>
          </w:p>
        </w:tc>
      </w:tr>
    </w:tbl>
    <w:p>
      <w:pPr>
        <w:spacing w:after="160"/>
      </w:pPr>
    </w:p>
    <w:p>
      <w:pPr>
        <w:spacing w:before="160" w:after="80"/>
      </w:pPr>
      <w:r>
        <w:rPr>
          <w:rFonts w:ascii="Cambria, serif" w:hAnsi="Cambria, serif"/>
          <w:b/>
          <w:color w:val="1F497D"/>
          <w:sz w:val="22"/>
        </w:rPr>
        <w:t>📊 Table 3 (Page 1)</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Assay Biomarker</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Result</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Interpretation</w:t>
            </w:r>
          </w:p>
        </w:tc>
      </w:tr>
      <w:tr>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Microsatellite Instability (MSI)</w:t>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Stable</w:t>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Stable Microsatellite detected</w:t>
            </w:r>
          </w:p>
        </w:tc>
      </w:tr>
    </w:tbl>
    <w:p>
      <w:pPr>
        <w:spacing w:after="160"/>
      </w:pPr>
    </w:p>
    <w:p>
      <w:pPr>
        <w:spacing w:before="160" w:after="80"/>
      </w:pPr>
      <w:r>
        <w:rPr>
          <w:rFonts w:ascii="Cambria, serif" w:hAnsi="Cambria, serif"/>
          <w:b/>
          <w:color w:val="1F497D"/>
          <w:sz w:val="22"/>
        </w:rPr>
        <w:t>📊 Table 4 (Page 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Variant</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Therapy</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r>
          </w:p>
        </w:tc>
      </w:tr>
      <w:tr>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In This Cancer</w:t>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In Other Cancer</w:t>
            </w:r>
          </w:p>
        </w:tc>
      </w:tr>
      <w:tr>
        <w:tc>
          <w:tcPr>
            <w:tcW w:type="dxa" w:w="3360"/>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IIC PTEN p.(Y16Lfs*28)</w:t>
            </w:r>
          </w:p>
        </w:tc>
        <w:tc>
          <w:tcPr>
            <w:tcW w:type="dxa" w:w="3360"/>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▪None*</w:t>
            </w:r>
          </w:p>
        </w:tc>
        <w:tc>
          <w:tcPr>
            <w:tcW w:type="dxa" w:w="3360"/>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▪capivasertib + hormone therapy</w:t>
            </w:r>
          </w:p>
        </w:tc>
      </w:tr>
    </w:tbl>
    <w:p>
      <w:pPr>
        <w:spacing w:after="160"/>
      </w:pPr>
    </w:p>
    <w:p>
      <w:pPr>
        <w:spacing w:before="160" w:after="80"/>
      </w:pPr>
      <w:r>
        <w:rPr>
          <w:rFonts w:ascii="Cambria, serif" w:hAnsi="Cambria, serif"/>
          <w:b/>
          <w:color w:val="1F497D"/>
          <w:sz w:val="22"/>
        </w:rPr>
        <w:t>📊 Table 5 (Page 2)</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Variant</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Diagnostic Significance</w:t>
            </w:r>
          </w:p>
        </w:tc>
        <w:tc>
          <w:tcPr>
            <w:tcW w:type="dxa" w:w="336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Prognostic Significance</w:t>
            </w:r>
          </w:p>
        </w:tc>
      </w:tr>
      <w:tr>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PTEN p.(Y16Lfs*28)</w:t>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None*</w:t>
            </w:r>
          </w:p>
        </w:tc>
        <w:tc>
          <w:tcPr>
            <w:tcW w:type="dxa" w:w="336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None*</w:t>
            </w:r>
          </w:p>
        </w:tc>
      </w:tr>
    </w:tbl>
    <w:p>
      <w:pPr>
        <w:spacing w:after="160"/>
      </w:pPr>
    </w:p>
    <w:p>
      <w:pPr>
        <w:spacing w:before="160" w:after="80"/>
      </w:pPr>
      <w:r>
        <w:rPr>
          <w:rFonts w:ascii="Cambria, serif" w:hAnsi="Cambria, serif"/>
          <w:b/>
          <w:color w:val="1F497D"/>
          <w:sz w:val="22"/>
        </w:rPr>
        <w:t>📊 Table 6 (Page 6)</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DNA Gene List</w:t>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r>
          </w:p>
        </w:tc>
        <w:tc>
          <w:tcPr>
            <w:tcW w:type="dxa" w:w="2016"/>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AKT1</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ARID1A</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ARID5B</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ATM</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BCOR</w:t>
            </w:r>
          </w:p>
        </w:tc>
      </w:tr>
      <w:tr>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BRAF</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BRCA1</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BRCA2</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CCNE1</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CDKN2A</w:t>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CHEK2</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CTCF</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CTNNB1</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EGFR</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EPCAM</w:t>
            </w:r>
          </w:p>
        </w:tc>
      </w:tr>
      <w:tr>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ERBB2</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FBXW7</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FGFR1</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FGFR2</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FGFR3</w:t>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KMT2D</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KRAS</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MLH1</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MLH3</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MSH2</w:t>
            </w:r>
          </w:p>
        </w:tc>
      </w:tr>
      <w:tr>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MSH3</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MSH6</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MUTYH</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NTRK1</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NTRK2</w:t>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NTRK3</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PIK3CA</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PIK3R1</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PIK3R2</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PMS1</w:t>
            </w:r>
          </w:p>
        </w:tc>
      </w:tr>
      <w:tr>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PMS2</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POLD1</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POLE</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PPP2R1A</w:t>
            </w:r>
          </w:p>
        </w:tc>
        <w:tc>
          <w:tcPr>
            <w:tcW w:type="dxa" w:w="2016"/>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PTEN</w:t>
            </w:r>
          </w:p>
        </w:tc>
      </w:tr>
      <w:tr>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RET</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TP53</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TSC2</w:t>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r>
          </w:p>
        </w:tc>
        <w:tc>
          <w:tcPr>
            <w:tcW w:type="dxa" w:w="2016"/>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r>
          </w:p>
        </w:tc>
      </w:tr>
    </w:tbl>
    <w:p>
      <w:pPr>
        <w:spacing w:after="160"/>
      </w:pPr>
    </w:p>
    <w:p>
      <w:pPr>
        <w:spacing w:before="160" w:after="80"/>
      </w:pPr>
      <w:r>
        <w:rPr>
          <w:rFonts w:ascii="Cambria, serif" w:hAnsi="Cambria, serif"/>
          <w:b/>
          <w:color w:val="1F497D"/>
          <w:sz w:val="22"/>
        </w:rPr>
        <w:t>📊 Table 7 (Page 6)</w:t>
      </w:r>
    </w:p>
    <w:tbl>
      <w:tblPr>
        <w:tblW w:type="auto" w:w="0"/>
        <w:jc w:val="center"/>
        <w:tblLayout w:type="fixed"/>
        <w:tblLook w:firstColumn="1" w:firstRow="1" w:lastColumn="0" w:lastRow="0" w:noHBand="0" w:noVBand="1" w:val="04A0"/>
      </w:tblPr>
      <w:tblGrid>
        <w:gridCol w:w="5040"/>
        <w:gridCol w:w="5040"/>
      </w:tblGrid>
      <w:tr>
        <w:tc>
          <w:tcPr>
            <w:tcW w:type="dxa" w:w="504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MSI</w:t>
            </w:r>
          </w:p>
        </w:tc>
        <w:tc>
          <w:tcPr>
            <w:tcW w:type="dxa" w:w="5040"/>
            <w:shd w:fill="1f497d"/>
            <w:tcBorders>
              <w:top w:val="single" w:sz="4" w:space="0" w:color="1f497d"/>
              <w:left w:val="single" w:sz="4" w:space="0" w:color="1f497d"/>
              <w:bottom w:val="single" w:sz="4" w:space="0" w:color="1f497d"/>
              <w:right w:val="single" w:sz="4" w:space="0" w:color="1f497d"/>
            </w:tcBorders>
          </w:tcPr>
          <w:p>
            <w:r>
              <w:rPr>
                <w:rFonts w:ascii="Cambria, serif" w:hAnsi="Cambria, serif"/>
                <w:b/>
                <w:color w:val="FFFFFF"/>
                <w:sz w:val="19"/>
              </w:rPr>
              <w:t>% of Unstable Loci</w:t>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MSI - Stable</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0-19%</w:t>
            </w:r>
          </w:p>
        </w:tc>
      </w:tr>
      <w:tr>
        <w:tc>
          <w:tcPr>
            <w:tcW w:type="dxa" w:w="5040"/>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MSI - Low / Intermediate</w:t>
            </w:r>
          </w:p>
        </w:tc>
        <w:tc>
          <w:tcPr>
            <w:tcW w:type="dxa" w:w="5040"/>
            <w:shd w:fill="F8FAFC"/>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20-30%</w:t>
            </w:r>
          </w:p>
        </w:tc>
      </w:tr>
      <w:tr>
        <w:tc>
          <w:tcPr>
            <w:tcW w:type="dxa" w:w="504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MSI - High</w:t>
            </w:r>
          </w:p>
        </w:tc>
        <w:tc>
          <w:tcPr>
            <w:tcW w:type="dxa" w:w="5040"/>
            <w:shd w:fill="FFFFFF"/>
            <w:tcBorders>
              <w:top w:val="single" w:sz="4" w:space="0" w:color="CBD5E1"/>
              <w:left w:val="single" w:sz="4" w:space="0" w:color="CBD5E1"/>
              <w:bottom w:val="single" w:sz="4" w:space="0" w:color="CBD5E1"/>
              <w:right w:val="single" w:sz="4" w:space="0" w:color="CBD5E1"/>
            </w:tcBorders>
          </w:tcPr>
          <w:p>
            <w:r>
              <w:rPr>
                <w:rFonts w:ascii="Cambria, serif" w:hAnsi="Cambria, serif"/>
                <w:sz w:val="18"/>
              </w:rPr>
              <w:t>&gt;30%</w:t>
            </w:r>
          </w:p>
        </w:tc>
      </w:tr>
    </w:tbl>
    <w:p>
      <w:pPr>
        <w:spacing w:after="160"/>
      </w:pPr>
    </w:p>
    <w:p>
      <w:pPr>
        <w:jc w:val="center"/>
      </w:pPr>
      <w:r>
        <w:rPr>
          <w:rFonts w:ascii="Cambria, serif" w:hAnsi="Cambria, serif"/>
          <w:i/>
          <w:color w:val="94A3B8"/>
          <w:sz w:val="19"/>
        </w:rPr>
        <w:br/>
        <w:t>------------------ End Of Report ------------------</w:t>
        <w:br/>
      </w:r>
    </w:p>
    <w:tbl>
      <w:tblPr>
        <w:tblW w:type="auto" w:w="0"/>
        <w:jc w:val="center"/>
        <w:tblLayout w:type="fixed"/>
        <w:tblLook w:firstColumn="1" w:firstRow="1" w:lastColumn="0" w:lastRow="0" w:noHBand="0" w:noVBand="1" w:val="04A0"/>
      </w:tblPr>
      <w:tblGrid>
        <w:gridCol w:w="3360"/>
        <w:gridCol w:w="3360"/>
        <w:gridCol w:w="3360"/>
      </w:tblGrid>
      <w:tr>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color w:val="94A3B8"/>
                <w:sz w:val="17"/>
              </w:rPr>
              <w:t>_______________________</w:t>
              <w:br/>
              <w:t>(Signature / Stamp)</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color w:val="94A3B8"/>
                <w:sz w:val="17"/>
              </w:rPr>
              <w:t>_______________________</w:t>
              <w:br/>
              <w:t>(Signature / Stamp)</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color w:val="94A3B8"/>
                <w:sz w:val="17"/>
              </w:rPr>
              <w:t>_______________________</w:t>
              <w:br/>
              <w:t>(Signature / Stamp)</w:t>
            </w:r>
          </w:p>
        </w:tc>
      </w:tr>
      <w:tr>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Prepared / Verified By</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Reviewing Officer</w:t>
            </w:r>
          </w:p>
        </w:tc>
        <w:tc>
          <w:tcPr>
            <w:tcW w:type="dxa" w:w="3360"/>
            <w:tcBorders>
              <w:top w:val="single" w:sz="4" w:space="0" w:color="FFFFFF"/>
              <w:left w:val="single" w:sz="4" w:space="0" w:color="FFFFFF"/>
              <w:bottom w:val="single" w:sz="4" w:space="0" w:color="FFFFFF"/>
              <w:right w:val="single" w:sz="4" w:space="0" w:color="FFFFFF"/>
            </w:tcBorders>
          </w:tcPr>
          <w:p>
            <w:pPr>
              <w:jc w:val="center"/>
            </w:pPr>
            <w:r>
              <w:rPr>
                <w:rFonts w:ascii="Cambria, serif" w:hAnsi="Cambria, serif"/>
                <w:b/>
                <w:color w:val="1F497D"/>
                <w:sz w:val="18"/>
              </w:rPr>
              <w:t>Authorized Signatory</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