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240"/>
        <w:jc w:val="center"/>
      </w:pPr>
      <w:r>
        <w:rPr>
          <w:rFonts w:ascii="Cambria" w:hAnsi="Cambria"/>
          <w:b/>
          <w:color w:val="1F497D"/>
          <w:sz w:val="28"/>
        </w:rPr>
        <w:t>Whole exome with Mitochondrial Genome Sequencing</w:t>
      </w:r>
    </w:p>
    <w:p>
      <w:pPr>
        <w:spacing w:before="200" w:after="80"/>
      </w:pPr>
      <w:r>
        <w:rPr>
          <w:rFonts w:ascii="Cambria" w:hAnsi="Cambria"/>
          <w:b/>
          <w:color w:val="1F497D"/>
          <w:sz w:val="22"/>
        </w:rPr>
        <w:t>OncqLung  12-Gene Panel Next Generation Sequencing</w:t>
      </w:r>
    </w:p>
    <w:p>
      <w:pPr>
        <w:spacing w:line="276" w:lineRule="auto" w:after="80"/>
        <w:jc w:val="both"/>
      </w:pPr>
      <w:r>
        <w:rPr>
          <w:rFonts w:ascii="Cambria" w:hAnsi="Cambria"/>
          <w:color w:val="0D0D0D"/>
          <w:sz w:val="20"/>
        </w:rPr>
        <w:t>Clinical Indication:  Outside lab report: Metastatic adenocarcinoma of lung origin Specimen:  10 Unstained Slides from FFPE Block: H-2039/26(A,B and C) Test Result Summary</w:t>
      </w:r>
    </w:p>
    <w:p>
      <w:pPr>
        <w:spacing w:line="276" w:lineRule="auto" w:after="80"/>
        <w:jc w:val="both"/>
      </w:pPr>
      <w:r>
        <w:rPr>
          <w:rFonts w:ascii="Cambria" w:hAnsi="Cambria"/>
          <w:color w:val="0D0D0D"/>
          <w:sz w:val="20"/>
        </w:rPr>
        <w:t>NEGATIVE No clinically relevant actionable variant was detected in this subject</w:t>
      </w:r>
    </w:p>
    <w:p>
      <w:pPr>
        <w:spacing w:line="276" w:lineRule="auto" w:after="80"/>
        <w:jc w:val="both"/>
      </w:pPr>
      <w:r>
        <w:rPr>
          <w:rFonts w:ascii="Cambria" w:hAnsi="Cambria"/>
          <w:color w:val="0D0D0D"/>
          <w:sz w:val="20"/>
        </w:rPr>
        <w:t>TABLE 1: ALTERATIONS WITH STRONG CLINICAL PROGNOSTIC AND THERAPEUTIC SIGNIFICANCE IN PATIENT TUMOR TYPE</w:t>
      </w:r>
    </w:p>
    <w:p>
      <w:pPr>
        <w:spacing w:line="276" w:lineRule="auto" w:after="80"/>
        <w:jc w:val="both"/>
      </w:pPr>
      <w:r>
        <w:rPr>
          <w:rFonts w:ascii="Cambria" w:hAnsi="Cambria"/>
          <w:color w:val="0D0D0D"/>
          <w:sz w:val="20"/>
        </w:rPr>
        <w:t>T ABLE 2: NON DRUGGABLE / DRUGGABLE ALTERATIONS WITH POTENTIAL CLINICAL AND THERAPEUTIC SIGNIFICANCE IN OTHER TUMOR TYPES</w:t>
      </w:r>
    </w:p>
    <w:p>
      <w:pPr>
        <w:spacing w:before="200" w:after="80"/>
      </w:pPr>
      <w:r>
        <w:rPr>
          <w:rFonts w:ascii="Cambria" w:hAnsi="Cambria"/>
          <w:b/>
          <w:color w:val="1F497D"/>
          <w:sz w:val="22"/>
        </w:rPr>
        <w:t>TABLE 3: VARIANTS OF UNKNOWN SIGNIFICANCE</w:t>
      </w:r>
    </w:p>
    <w:p>
      <w:pPr>
        <w:spacing w:line="276" w:lineRule="auto" w:after="80"/>
        <w:jc w:val="both"/>
      </w:pPr>
      <w:r>
        <w:rPr>
          <w:rFonts w:ascii="Cambria" w:hAnsi="Cambria"/>
          <w:color w:val="0D0D0D"/>
          <w:sz w:val="20"/>
        </w:rPr>
        <w:t>Name : Ms.INDIRA JOSHI Centre Details :HOME COLLECTION – UDAIPUR Age : 71 Yrs          Sex: Female Accession.ID :OQG2607020287 Collection Date : 01/Jul/2026 12:00AM Referred By :DR.ANKIT AGRAWAL Received Date : 02/Jul/2026 12:57PM Report Date :17/Jul/2026 04:39PM Registration Date : 02/Jul/2026 12:57PM Ref.No/TRF.No : /</w:t>
      </w:r>
    </w:p>
    <w:p>
      <w:pPr>
        <w:spacing w:before="200" w:after="80"/>
      </w:pPr>
      <w:r>
        <w:rPr>
          <w:rFonts w:ascii="Cambria" w:hAnsi="Cambria"/>
          <w:b/>
          <w:color w:val="1F497D"/>
          <w:sz w:val="22"/>
        </w:rPr>
        <w:t>ONCQLUNG 12 GENE WITH PDL1 (DAKO)</w:t>
      </w:r>
    </w:p>
    <w:p>
      <w:pPr>
        <w:spacing w:line="276" w:lineRule="auto" w:after="80"/>
        <w:jc w:val="both"/>
      </w:pPr>
      <w:r>
        <w:rPr>
          <w:rFonts w:ascii="Cambria" w:hAnsi="Cambria"/>
          <w:color w:val="0D0D0D"/>
          <w:sz w:val="20"/>
        </w:rPr>
        <w:t>Verify this report by scanning the QR code on top. In case of any discrepancy please report to 01246650000 The sample is processed through      Oncquest Laboratories Ltd.;  A-17 Infocity, Sector-34, Gurugram</w:t>
      </w:r>
    </w:p>
    <w:p>
      <w:pPr>
        <w:spacing w:line="276" w:lineRule="auto" w:after="80"/>
      </w:pPr>
      <w:r>
        <w:rPr>
          <w:rFonts w:ascii="Cambria" w:hAnsi="Cambria"/>
          <w:color w:val="0D0D0D"/>
          <w:sz w:val="20"/>
        </w:rPr>
        <w:t>Page 1 of 3</w:t>
      </w:r>
    </w:p>
    <w:p>
      <w:pPr>
        <w:spacing w:before="200" w:after="80"/>
      </w:pPr>
      <w:r>
        <w:rPr>
          <w:rFonts w:ascii="Cambria" w:hAnsi="Cambria"/>
          <w:b/>
          <w:color w:val="1F497D"/>
          <w:sz w:val="22"/>
        </w:rPr>
        <w:t>General Content / Notes</w:t>
      </w:r>
    </w:p>
    <w:p>
      <w:pPr>
        <w:spacing w:line="276" w:lineRule="auto" w:after="80"/>
        <w:ind w:left="360"/>
      </w:pPr>
      <w:r>
        <w:rPr>
          <w:rFonts w:ascii="Cambria" w:hAnsi="Cambria"/>
          <w:b w:val="0"/>
          <w:color w:val="FF0000"/>
          <w:sz w:val="20"/>
        </w:rPr>
        <w:t>*Genetic test results are reported based on the recommendations of  AMP-ASCO-CAP  guidelines. #Correlation of the genetic findings with the clinical condition of the patient is required to arrive at an accurate diagnosis, prognosis or therapeutic decisions.</w:t>
      </w:r>
    </w:p>
    <w:p>
      <w:pPr>
        <w:spacing w:before="200" w:after="80"/>
      </w:pPr>
      <w:r>
        <w:rPr>
          <w:rFonts w:ascii="Cambria" w:hAnsi="Cambria"/>
          <w:b/>
          <w:color w:val="1F497D"/>
          <w:sz w:val="22"/>
        </w:rPr>
        <w:t>Variant Classification as per AMP-ASCO-CAP Guidelines</w:t>
      </w:r>
    </w:p>
    <w:p>
      <w:pPr>
        <w:spacing w:line="276" w:lineRule="auto" w:after="80"/>
        <w:jc w:val="both"/>
      </w:pPr>
      <w:r>
        <w:rPr>
          <w:rFonts w:ascii="Cambria" w:hAnsi="Cambria"/>
          <w:color w:val="0D0D0D"/>
          <w:sz w:val="20"/>
        </w:rPr>
        <w:t>Test Attributes OncqLung  12-Gene Panel  is a multibiomarker next-generation sequencing (NGS) assay that enables detection of variants in  genes relevant to Lung cancer as per NCCN guidelines. This is a  Next Generation Sequencing (NGS)  based assay that identifies clinically relevant genomic alterations within the  12 genes  [ ALK ,  BRAF ,  EGFR ,  ERBB2 ,  KRAS , MET , NRAS ,  PIK3CA , RET ,  MAP2K1 ,  ROS1 ,  TP53  and NTRK (1,2,3)]  that are most frequently altered in Non Small Cell Lung Cancer (NSCLC).This assay allows concurrent analysis of DNA and RNA to simultaneously detect multiple types of variants, including  hotspots, single-nucleotide variants (SNVs), indels and gene fusions , in a single workflow. Some of the alterations detected may provide prognostic/ therapeutic information that may help the Clinician in deciding upon the best line of Targeted/ Chemotherapy options for the patient.</w:t>
      </w:r>
    </w:p>
    <w:p>
      <w:pPr>
        <w:spacing w:line="276" w:lineRule="auto" w:after="80"/>
        <w:jc w:val="both"/>
      </w:pPr>
      <w:r>
        <w:rPr>
          <w:rFonts w:ascii="Cambria" w:hAnsi="Cambria"/>
          <w:color w:val="0D0D0D"/>
          <w:sz w:val="20"/>
        </w:rPr>
        <w:t>Methodology FFPE DNA was extracted from tissue using Qiagen Kit and FFPE RNA was extracted from tissue Promega Kit. The DNA and RNA were quantified on Qubit fluorometer. Amplicon based barcoded library was prepared using the extracted DNA and RNA. Libraries were pooled and loaded onto ION Torrent S5 NGS platform to perform massive parallel sequencing. The average Variant Allele Frequency (VAF) for this Test is 5% at 500X coverage. However, it may vary depending on the particular mutation type. Alterations outside of the tested areas of these genes or in other genes will not be detected. This Panel analyzed the following types of mutations- nucleotide substitutions, small insertions, small deletions, indels, and gene fusions. If the mutation(s) fall in the region of no/ low coverage zone, then they may be missed. Tumor sample must be fixed under appropriate conditions (10% Neutral buffered formalin for 12-72hrs) to ensure preservation of amplifiable quality DNA. PCR is a highly sensitive technique; reasons for apparently contradictory results may be due to improper quality control during sample collection and fixation, high degree of necrosis, mucin content and/or presence of PCR inhibitors. Cytosine deamination has been demonstrated to contribute to background noise for DNA sequencing of ancient and formalin fixed paraffin embedded (FFPE) treated DNA. Deamination can be attributed to multiple factors including biologic (intrinsic to the sample prior to isolation) or an artifact of the molecular biology. It has been observed that formalin induces C:G&gt;T:A transitions during sequencing. These deamination related “apparent mutations” are higher in the FFPE samples than in peripheral blood indicating that the process of specimen fixation highly contributes to the noise level. The FASTQ reads were aligned against the hg19 in the Torrent suite software (v5.12). Variant calling was done using Ion Reporter (v5.20) and AMP-ASCO-CAP guidelines were followed for variant classification.</w:t>
      </w:r>
    </w:p>
    <w:p>
      <w:pPr>
        <w:spacing w:before="200" w:after="80"/>
      </w:pPr>
      <w:r>
        <w:rPr>
          <w:rFonts w:ascii="Cambria" w:hAnsi="Cambria"/>
          <w:b/>
          <w:color w:val="1F497D"/>
          <w:sz w:val="22"/>
        </w:rPr>
        <w:t>Database versions used</w:t>
      </w:r>
    </w:p>
    <w:p>
      <w:pPr>
        <w:spacing w:line="276" w:lineRule="auto" w:after="80"/>
      </w:pPr>
      <w:r>
        <w:rPr>
          <w:rFonts w:ascii="Cambria" w:hAnsi="Cambria"/>
          <w:b/>
          <w:color w:val="ED7D31"/>
          <w:sz w:val="20"/>
        </w:rPr>
        <w:t>5000Exomes (Source Version:20161108), Canonical RefSeq Transcripts(Source Version:v95), ClinVar(Source Version:20190909), dbSNP(Source Version:153), DGV(Source Version:20160515), DrugBank(Source Version:20190723), ExAC(Source Version:1), Gene</w:t>
      </w:r>
    </w:p>
    <w:p>
      <w:pPr>
        <w:spacing w:line="276" w:lineRule="auto" w:after="80"/>
        <w:jc w:val="both"/>
      </w:pPr>
      <w:r>
        <w:rPr>
          <w:rFonts w:ascii="Cambria" w:hAnsi="Cambria"/>
          <w:color w:val="0D0D0D"/>
          <w:sz w:val="20"/>
        </w:rPr>
        <w:t>Name : Ms.INDIRA JOSHI Centre Details :HOME COLLECTION – UDAIPUR Age : 71 Yrs          Sex: Female Accession.ID :OQG2607020287 Collection Date : 01/Jul/2026 12:00AM Referred By :DR.ANKIT AGRAWAL Received Date : 02/Jul/2026 12:57PM Report Date :17/Jul/2026 04:39PM Registration Date : 02/Jul/2026 12:57PM Ref.No/TRF.No : /</w:t>
      </w:r>
    </w:p>
    <w:p>
      <w:pPr>
        <w:spacing w:before="200" w:after="80"/>
      </w:pPr>
      <w:r>
        <w:rPr>
          <w:rFonts w:ascii="Cambria" w:hAnsi="Cambria"/>
          <w:b/>
          <w:color w:val="1F497D"/>
          <w:sz w:val="22"/>
        </w:rPr>
        <w:t>ONCQLUNG 12 GENE WITH PDL1 (DAKO)</w:t>
      </w:r>
    </w:p>
    <w:p>
      <w:pPr>
        <w:spacing w:line="276" w:lineRule="auto" w:after="80"/>
        <w:jc w:val="both"/>
      </w:pPr>
      <w:r>
        <w:rPr>
          <w:rFonts w:ascii="Cambria" w:hAnsi="Cambria"/>
          <w:color w:val="0D0D0D"/>
          <w:sz w:val="20"/>
        </w:rPr>
        <w:t>Verify this report by scanning the QR code on top. In case of any discrepancy please report to 01246650000 The sample is processed through      Oncquest Laboratories Ltd.;  A-17 Infocity, Sector-34, Gurugram</w:t>
      </w:r>
    </w:p>
    <w:p>
      <w:pPr>
        <w:spacing w:line="276" w:lineRule="auto" w:after="80"/>
      </w:pPr>
      <w:r>
        <w:rPr>
          <w:rFonts w:ascii="Cambria" w:hAnsi="Cambria"/>
          <w:color w:val="0D0D0D"/>
          <w:sz w:val="20"/>
        </w:rPr>
        <w:t>Page 2 of 3</w:t>
      </w:r>
    </w:p>
    <w:p>
      <w:pPr>
        <w:spacing w:before="200" w:after="80"/>
      </w:pPr>
      <w:r>
        <w:rPr>
          <w:rFonts w:ascii="Cambria" w:hAnsi="Cambria"/>
          <w:b/>
          <w:color w:val="1F497D"/>
          <w:sz w:val="22"/>
        </w:rPr>
        <w:t>General Content / Notes</w:t>
      </w:r>
    </w:p>
    <w:p>
      <w:pPr>
        <w:spacing w:line="276" w:lineRule="auto" w:after="80"/>
      </w:pPr>
      <w:r>
        <w:rPr>
          <w:rFonts w:ascii="Cambria" w:hAnsi="Cambria"/>
          <w:b/>
          <w:color w:val="ED7D31"/>
          <w:sz w:val="20"/>
        </w:rPr>
        <w:t>Ontology(Source Version:20190930), Named Variants(Source Version:1), Pfam(Source Version:32), PhyloP Scores(Source Version:20160919), RefSeq Gene Functional Canonical Transcripts Scores(Source Version:10), RefSeq GeneModel(Source Version:95), CitelineTrialTrove.</w:t>
      </w:r>
    </w:p>
    <w:p>
      <w:pPr>
        <w:spacing w:before="200" w:after="80"/>
      </w:pPr>
      <w:r>
        <w:rPr>
          <w:rFonts w:ascii="Cambria" w:hAnsi="Cambria"/>
          <w:b/>
          <w:color w:val="1F497D"/>
          <w:sz w:val="22"/>
        </w:rPr>
        <w:t>Limitation and Disclaimer</w:t>
      </w:r>
    </w:p>
    <w:p>
      <w:pPr>
        <w:spacing w:line="276" w:lineRule="auto" w:after="80"/>
        <w:jc w:val="both"/>
      </w:pPr>
      <w:r>
        <w:rPr>
          <w:rFonts w:ascii="Cambria" w:hAnsi="Cambria"/>
          <w:color w:val="0D0D0D"/>
          <w:sz w:val="20"/>
        </w:rPr>
        <w:t>Variant with 250X coverage or more are considered for clinical correlation with the disease. This test is limited to listed genes analysis only, It should be noted that this test does not sequence all bases in a human genome, not all variants have been identified or interpreted, and this report is limited only to variants with evidence for causing or contributing to disease/clinical details. This assay is not meant to interrogate most promoter regions, deep intronic regions, or other regulatory elements. Data from this test is based on currently available scientific information. The classification of variants of unknown significance can change over time.This data can be re-assessed for the presence of any variants that may be newly linked to be associated with cancer. The physician can request reanalysis of the data.All investigations have their limitation which is imposed by the limits of sensitivity and specificity of individual assay procedures as well as the quality of the specimen received at laboratory. Inclusion of variations is dependent upon our assessment of their significance. The quality of sequencing and coverage varies between regions. Many factors such as homopolymers, GC-rich regions etc. influence the quality of sequencing and coverage. This may result in an occasional error in sequence reads or lack of detection of a particular genetic lesion.</w:t>
      </w:r>
    </w:p>
    <w:p>
      <w:pPr>
        <w:spacing w:before="200" w:after="80"/>
      </w:pPr>
      <w:r>
        <w:rPr>
          <w:rFonts w:ascii="Cambria" w:hAnsi="Cambria"/>
          <w:b/>
          <w:color w:val="1F497D"/>
          <w:sz w:val="22"/>
        </w:rPr>
        <w:t>Analysis</w:t>
      </w:r>
    </w:p>
    <w:p>
      <w:pPr>
        <w:spacing w:line="276" w:lineRule="auto" w:after="80"/>
        <w:jc w:val="both"/>
      </w:pPr>
      <w:r>
        <w:rPr>
          <w:rFonts w:ascii="Cambria" w:hAnsi="Cambria"/>
          <w:color w:val="0D0D0D"/>
          <w:sz w:val="20"/>
        </w:rPr>
        <w:t>Torrent Variant Caller plugin  – A SNP and indel calling analysis module that is part of the Torrent Suite™ Software and is accessible through the Torrent Browser. The plugin can either be initiated automatically after sequencing data have been generated and bases called or it can be initiated manually to process previously generated datasets. Ion Reporter™ Software –  A cloud-based software service that provides both variant calling and annotations, designed with traceability features that are essential to researchers who perform sequencing assays. It comprises a suite of bioinformatics tools that streamlines and simplifies analysis, reporting, and archiving of semiconductor sequencing data. Ion Reporter™ Software fast‐tracks variant analysis and integrates comprehensive public annotations to reduce the bioinformatics work needed to understand the impact of detected variants and to shorten the time to interpret test results. Oncomine™ Knowledgebase Reporter  ‐ The Oncomine™ Reporter software matches genetic variant information from a source file with relevant data from a curated set of published evidence from public sources. The software is used to prepare a report that presents a sample-specific view of data with each variant matched with relevant data, including labels, guidelines, and clinical trials. Variants of Unknown Significance (VUS)  –  These variants may not have been adequately characterized in the scientific literature at the time this report was issued and/or the genomic context of these alterations makes their significance unclear. We choose to include them here in the event that they become clinically meaningful in the future.</w:t>
      </w:r>
    </w:p>
    <w:p>
      <w:pPr>
        <w:spacing w:before="200" w:after="80"/>
      </w:pPr>
      <w:r>
        <w:rPr>
          <w:rFonts w:ascii="Cambria" w:hAnsi="Cambria"/>
          <w:b/>
          <w:color w:val="1F497D"/>
          <w:sz w:val="22"/>
        </w:rPr>
        <w:t>References:</w:t>
      </w:r>
    </w:p>
    <w:p>
      <w:pPr>
        <w:spacing w:line="276" w:lineRule="auto" w:after="80"/>
      </w:pPr>
      <w:r>
        <w:rPr>
          <w:rFonts w:ascii="Cambria" w:hAnsi="Cambria"/>
          <w:b/>
          <w:color w:val="ED7D31"/>
          <w:sz w:val="20"/>
        </w:rPr>
        <w:t>1.  Watson IR, Takahashi K, Futreal PA et al. (2013) Emerging patterns of somatic mutations in cancer. Nat Rev Genet 14(10):703–718</w:t>
      </w:r>
    </w:p>
    <w:p>
      <w:pPr>
        <w:spacing w:line="276" w:lineRule="auto" w:after="80"/>
      </w:pPr>
      <w:r>
        <w:rPr>
          <w:rFonts w:ascii="Cambria" w:hAnsi="Cambria"/>
          <w:b/>
          <w:color w:val="FF0000"/>
          <w:sz w:val="20"/>
        </w:rPr>
        <w:t>Note: The performance of this Test has been evaluated at Oncquest Laboratories Ltd.</w:t>
      </w:r>
    </w:p>
    <w:p>
      <w:pPr>
        <w:spacing w:before="200" w:after="80"/>
      </w:pPr>
      <w:r>
        <w:rPr>
          <w:rFonts w:ascii="Cambria" w:hAnsi="Cambria"/>
          <w:b/>
          <w:color w:val="1F497D"/>
          <w:sz w:val="22"/>
        </w:rPr>
        <w:t>*** End Of Report ***</w:t>
      </w:r>
    </w:p>
    <w:p>
      <w:pPr>
        <w:spacing w:line="276" w:lineRule="auto" w:after="80"/>
        <w:jc w:val="both"/>
      </w:pPr>
      <w:r>
        <w:rPr>
          <w:rFonts w:ascii="Cambria" w:hAnsi="Cambria"/>
          <w:color w:val="0D0D0D"/>
          <w:sz w:val="20"/>
        </w:rPr>
        <w:t>Disclaimer: All Results released pertain to the specimen submitted to the lab 1. Test results are dependent on the quality of the sample received by the lab 2. Tests are performed as per schedule given in the test listing and in any unforeseen circumstances, report delivery may be delayed 3. Test results may show interlaboratory variations 4. All dispute and claims are subjected to local jurisdiction only. Clinical correlation advised. 5. Test results are not valid for medico legal purposes 6. For all queries, feedbacks, suggestions, and complaints, please contact customer care support +0124 665 0000</w:t>
      </w:r>
    </w:p>
    <w:p>
      <w:pPr>
        <w:spacing w:line="276" w:lineRule="auto" w:after="80"/>
        <w:jc w:val="both"/>
      </w:pPr>
      <w:r>
        <w:rPr>
          <w:rFonts w:ascii="Cambria" w:hAnsi="Cambria"/>
          <w:color w:val="0D0D0D"/>
          <w:sz w:val="20"/>
        </w:rPr>
        <w:t>Name : Ms.INDIRA JOSHI Centre Details :HOME COLLECTION – UDAIPUR Age : 71 Yrs          Sex: Female Accession.ID :OQG2607020287 Collection Date : 01/Jul/2026 12:00AM Referred By :DR.ANKIT AGRAWAL Received Date : 02/Jul/2026 12:57PM Report Date :17/Jul/2026 04:39PM Registration Date : 02/Jul/2026 12:57PM Ref.No/TRF.No : /</w:t>
      </w:r>
    </w:p>
    <w:p>
      <w:pPr>
        <w:spacing w:before="200" w:after="80"/>
      </w:pPr>
      <w:r>
        <w:rPr>
          <w:rFonts w:ascii="Cambria" w:hAnsi="Cambria"/>
          <w:b/>
          <w:color w:val="1F497D"/>
          <w:sz w:val="22"/>
        </w:rPr>
        <w:t>ONCQLUNG 12 GENE WITH PDL1 (DAKO)</w:t>
      </w:r>
    </w:p>
    <w:p>
      <w:pPr>
        <w:spacing w:line="276" w:lineRule="auto" w:after="80"/>
        <w:jc w:val="both"/>
      </w:pPr>
      <w:r>
        <w:rPr>
          <w:rFonts w:ascii="Cambria" w:hAnsi="Cambria"/>
          <w:color w:val="0D0D0D"/>
          <w:sz w:val="20"/>
        </w:rPr>
        <w:t>Verify this report by scanning the QR code on top. In case of any discrepancy please report to 01246650000 The sample is processed through      Oncquest Laboratories Ltd.;  A-17 Infocity, Sector-34, Gurugram</w:t>
      </w:r>
    </w:p>
    <w:p>
      <w:pPr>
        <w:spacing w:line="276" w:lineRule="auto" w:after="80"/>
      </w:pPr>
      <w:r>
        <w:rPr>
          <w:rFonts w:ascii="Cambria" w:hAnsi="Cambria"/>
          <w:color w:val="0D0D0D"/>
          <w:sz w:val="20"/>
        </w:rPr>
        <w:t>Page 3 of 3</w:t>
      </w:r>
    </w:p>
    <w:p>
      <w:pPr>
        <w:spacing w:after="120"/>
      </w:pPr>
    </w:p>
    <w:tbl>
      <w:tblPr>
        <w:tblW w:type="auto" w:w="0"/>
        <w:jc w:val="center"/>
        <w:tblLayout w:type="fixed"/>
        <w:tblLook w:firstColumn="1" w:firstRow="1" w:lastColumn="0" w:lastRow="0" w:noHBand="0" w:noVBand="1" w:val="04A0"/>
      </w:tblPr>
      <w:tblGrid>
        <w:gridCol w:w="3750"/>
        <w:gridCol w:w="3750"/>
        <w:gridCol w:w="3750"/>
      </w:tblGrid>
      <w:tr>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different tumor type (i.e., off-label use of a drug), serve as in</w:t>
            </w:r>
          </w:p>
        </w:tc>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clusion criteria for clinical tri</w:t>
            </w:r>
          </w:p>
        </w:tc>
        <w:tc>
          <w:tcPr>
            <w:tcW w:type="dxa" w:w="37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als, or have diagnostic</w:t>
            </w:r>
          </w:p>
        </w:tc>
      </w:tr>
      <w:tr>
        <w:tc>
          <w:tcPr>
            <w:tcW w:type="dxa" w:w="3750"/>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Tier II: Variants of and/or prognostic significance based on the results of multip Potential Clinical</w:t>
            </w:r>
          </w:p>
        </w:tc>
        <w:tc>
          <w:tcPr>
            <w:tcW w:type="dxa" w:w="3750"/>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le small studies.</w:t>
            </w:r>
          </w:p>
        </w:tc>
        <w:tc>
          <w:tcPr>
            <w:tcW w:type="dxa" w:w="3750"/>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r>
          </w:p>
        </w:tc>
      </w:tr>
      <w:tr>
        <w:tc>
          <w:tcPr>
            <w:tcW w:type="dxa" w:w="3750"/>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Level D, biomarkers that show plausible therapeutic significa Significance</w:t>
            </w:r>
          </w:p>
        </w:tc>
        <w:tc>
          <w:tcPr>
            <w:tcW w:type="dxa" w:w="3750"/>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nce based on preclinical stu</w:t>
            </w:r>
          </w:p>
        </w:tc>
        <w:tc>
          <w:tcPr>
            <w:tcW w:type="dxa" w:w="3750"/>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dies or may assist disease</w:t>
            </w:r>
          </w:p>
        </w:tc>
      </w:tr>
      <w:tr>
        <w:tc>
          <w:tcPr>
            <w:tcW w:type="dxa" w:w="3750"/>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diagnosis and/or prognosis themselves or along with other bi with no consensus.</w:t>
            </w:r>
          </w:p>
        </w:tc>
        <w:tc>
          <w:tcPr>
            <w:tcW w:type="dxa" w:w="3750"/>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omarkers based on small stu</w:t>
            </w:r>
          </w:p>
        </w:tc>
        <w:tc>
          <w:tcPr>
            <w:tcW w:type="dxa" w:w="3750"/>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dies or multiple case reports</w:t>
            </w:r>
          </w:p>
        </w:tc>
      </w:tr>
      <w:tr>
        <w:tc>
          <w:tcPr>
            <w:tcW w:type="dxa" w:w="3750"/>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nd short indels Tier III:</w:t>
            </w:r>
          </w:p>
        </w:tc>
        <w:tc>
          <w:tcPr>
            <w:tcW w:type="dxa" w:w="3750"/>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ERBB2</w:t>
            </w:r>
          </w:p>
        </w:tc>
        <w:tc>
          <w:tcPr>
            <w:tcW w:type="dxa" w:w="3750"/>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Not Detected</w:t>
            </w:r>
          </w:p>
        </w:tc>
      </w:tr>
      <w:tr>
        <w:tc>
          <w:tcPr>
            <w:tcW w:type="dxa" w:w="3750"/>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SNVs and short indels Variants of Not observed at a significant allele frequency in the general o</w:t>
            </w:r>
          </w:p>
        </w:tc>
        <w:tc>
          <w:tcPr>
            <w:tcW w:type="dxa" w:w="3750"/>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KRAS r specific subpopulation or p</w:t>
            </w:r>
          </w:p>
        </w:tc>
        <w:tc>
          <w:tcPr>
            <w:tcW w:type="dxa" w:w="3750"/>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Not Detected an cancer or tumor specific</w:t>
            </w:r>
          </w:p>
        </w:tc>
      </w:tr>
      <w:tr>
        <w:tc>
          <w:tcPr>
            <w:tcW w:type="dxa" w:w="3750"/>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SNVs and short indels unknown clinical variant databases. No convincing published evidence of Canc</w:t>
            </w:r>
          </w:p>
        </w:tc>
        <w:tc>
          <w:tcPr>
            <w:tcW w:type="dxa" w:w="3750"/>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MAP2K1 er Associatio</w:t>
            </w:r>
          </w:p>
        </w:tc>
        <w:tc>
          <w:tcPr>
            <w:tcW w:type="dxa" w:w="3750"/>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Not Detected</w:t>
            </w:r>
          </w:p>
        </w:tc>
      </w:tr>
      <w:tr>
        <w:tc>
          <w:tcPr>
            <w:tcW w:type="dxa" w:w="3750"/>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SNVs, short indels, CNV’s and Fusions significance</w:t>
            </w:r>
          </w:p>
        </w:tc>
        <w:tc>
          <w:tcPr>
            <w:tcW w:type="dxa" w:w="3750"/>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MET</w:t>
            </w:r>
          </w:p>
        </w:tc>
        <w:tc>
          <w:tcPr>
            <w:tcW w:type="dxa" w:w="3750"/>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Not Detected</w:t>
            </w:r>
          </w:p>
        </w:tc>
      </w:tr>
      <w:tr>
        <w:tc>
          <w:tcPr>
            <w:tcW w:type="dxa" w:w="3750"/>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SNVs and short indels Test Attributes</w:t>
            </w:r>
          </w:p>
        </w:tc>
        <w:tc>
          <w:tcPr>
            <w:tcW w:type="dxa" w:w="3750"/>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NRAS</w:t>
            </w:r>
          </w:p>
        </w:tc>
        <w:tc>
          <w:tcPr>
            <w:tcW w:type="dxa" w:w="3750"/>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Not Detected</w:t>
            </w:r>
          </w:p>
        </w:tc>
      </w:tr>
      <w:tr>
        <w:tc>
          <w:tcPr>
            <w:tcW w:type="dxa" w:w="3750"/>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SNVs and short indels OncqLung 12-Gene Panel is a multibiomarker next-generation sequencing (NGS</w:t>
            </w:r>
          </w:p>
        </w:tc>
        <w:tc>
          <w:tcPr>
            <w:tcW w:type="dxa" w:w="3750"/>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PIK3CA ) assay that enables detectio</w:t>
            </w:r>
          </w:p>
        </w:tc>
        <w:tc>
          <w:tcPr>
            <w:tcW w:type="dxa" w:w="3750"/>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Not Detected n of variants in genes</w:t>
            </w:r>
          </w:p>
        </w:tc>
      </w:tr>
      <w:tr>
        <w:tc>
          <w:tcPr>
            <w:tcW w:type="dxa" w:w="3750"/>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SNVs and short indels relevant to Lung cancer as per NCCN guidelines. This is a Next Generation Sequ</w:t>
            </w:r>
          </w:p>
        </w:tc>
        <w:tc>
          <w:tcPr>
            <w:tcW w:type="dxa" w:w="3750"/>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TP53 encing (NGS) based assay t</w:t>
            </w:r>
          </w:p>
        </w:tc>
        <w:tc>
          <w:tcPr>
            <w:tcW w:type="dxa" w:w="3750"/>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Not Detected hat identifies clinically</w:t>
            </w:r>
          </w:p>
        </w:tc>
      </w:tr>
      <w:tr>
        <w:tc>
          <w:tcPr>
            <w:tcW w:type="dxa" w:w="3750"/>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SNVs, short indels &amp; Fusions relevant genomic alterations within the 12 genes [ALK, BRAF, EGFR, ERBB2, KRA</w:t>
            </w:r>
          </w:p>
        </w:tc>
        <w:tc>
          <w:tcPr>
            <w:tcW w:type="dxa" w:w="3750"/>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RET S, MET, NRAS, PIK3CA, RET,</w:t>
            </w:r>
          </w:p>
        </w:tc>
        <w:tc>
          <w:tcPr>
            <w:tcW w:type="dxa" w:w="3750"/>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Not Detected MAP2K1, ROS1, TP53 and</w:t>
            </w:r>
          </w:p>
        </w:tc>
      </w:tr>
      <w:tr>
        <w:tc>
          <w:tcPr>
            <w:tcW w:type="dxa" w:w="3750"/>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SNVs, short indels &amp; Fusions NTRK (1,2,3)] that are most frequently altered in Non Small Cell Lung Cancer (NS RNA to simultaneously detect multiple types of variants, including hotspots, sing</w:t>
            </w:r>
          </w:p>
        </w:tc>
        <w:tc>
          <w:tcPr>
            <w:tcW w:type="dxa" w:w="3750"/>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ROS1 CLC).This assay allows concu le-nucleotide variants (SNV</w:t>
            </w:r>
          </w:p>
        </w:tc>
        <w:tc>
          <w:tcPr>
            <w:tcW w:type="dxa" w:w="3750"/>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Not Detected rrent analysis of DNA and s), indels and gene fusions,</w:t>
            </w:r>
          </w:p>
        </w:tc>
      </w:tr>
      <w:tr>
        <w:tc>
          <w:tcPr>
            <w:tcW w:type="dxa" w:w="3750"/>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Fusions n a single workflow. Some of the alterations detected may provide prognostic/ t</w:t>
            </w:r>
          </w:p>
        </w:tc>
        <w:tc>
          <w:tcPr>
            <w:tcW w:type="dxa" w:w="3750"/>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NTRK (1,2,3) herapeutic information that</w:t>
            </w:r>
          </w:p>
        </w:tc>
        <w:tc>
          <w:tcPr>
            <w:tcW w:type="dxa" w:w="3750"/>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Not Detected may help the Clinician in</w:t>
            </w:r>
          </w:p>
        </w:tc>
      </w:tr>
    </w:tbl>
    <w:p>
      <w:pPr>
        <w:spacing w:after="160"/>
      </w:pPr>
    </w:p>
    <w:tbl>
      <w:tblPr>
        <w:tblW w:type="auto" w:w="0"/>
        <w:jc w:val="center"/>
        <w:tblLayout w:type="fixed"/>
        <w:tblLook w:firstColumn="1" w:firstRow="1" w:lastColumn="0" w:lastRow="0" w:noHBand="0" w:noVBand="1" w:val="04A0"/>
      </w:tblPr>
      <w:tblGrid>
        <w:gridCol w:w="1875"/>
        <w:gridCol w:w="1875"/>
        <w:gridCol w:w="1875"/>
        <w:gridCol w:w="1875"/>
        <w:gridCol w:w="1875"/>
        <w:gridCol w:w="1875"/>
      </w:tblGrid>
      <w:tr>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Gene quanti and lo</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CDS variant details fied on Qubit aded onto ION</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Amino acid change/ Exon No. fluorometer. Amplico Torrent S5 NGS platf</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Overall depth/ Mutant Allele Percentage n based barcoded library was p orm to perform massive parall</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Function of the gene in cancer repared using the extr el sequencing. The ave</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Variant Classification and its relevance in other tumor type acted DNA and RNA. Libraries were pooled rage Variant Allele Frequency (VAF) for this</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None Test is 5% at 500X coverage. However, it may vary depending on the particular mutation type. Alterations outside of the tested areas of</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r>
          </w:p>
        </w:tc>
      </w:tr>
    </w:tbl>
    <w:p>
      <w:pPr>
        <w:spacing w:after="160"/>
      </w:pPr>
    </w:p>
    <w:tbl>
      <w:tblPr>
        <w:tblW w:type="auto" w:w="0"/>
        <w:jc w:val="center"/>
        <w:tblLayout w:type="fixed"/>
        <w:tblLook w:firstColumn="1" w:firstRow="1" w:lastColumn="0" w:lastRow="0" w:noHBand="0" w:noVBand="1" w:val="04A0"/>
      </w:tblPr>
      <w:tblGrid>
        <w:gridCol w:w="1875"/>
        <w:gridCol w:w="1875"/>
        <w:gridCol w:w="1875"/>
        <w:gridCol w:w="1875"/>
        <w:gridCol w:w="1875"/>
        <w:gridCol w:w="1875"/>
      </w:tblGrid>
      <w:tr>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Gene deami embe</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CDS variant details nation has be dded (FFPE) tr</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Amino acid change/ Exon No. en demonstrated to co eated DNA. Deaminati</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Overall depth/ Mutant Allele Percentage ntribute to background noise on can be attributed to multip</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Function of the gene in cancer for DNA sequencing of le factors including bio</w:t>
            </w:r>
          </w:p>
        </w:tc>
        <w:tc>
          <w:tcPr>
            <w:tcW w:type="dxa" w:w="1875"/>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Variant Classification and its relevance in other tumor type ancient and formalin fixed paraffin logic (intrinsic to the sample prior to</w:t>
            </w:r>
          </w:p>
        </w:tc>
      </w:tr>
      <w:tr>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None solation) or an artifact of the molecular biology. It has been observed that formalin induces C:G&gt;T:A transitions during sequencing. These deamination related “apparent mutations” are higher in the FFPE samples than in peripheral blood indicating that the process of specimen</w:t>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r>
          </w:p>
        </w:tc>
        <w:tc>
          <w:tcPr>
            <w:tcW w:type="dxa" w:w="1875"/>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r>
          </w:p>
        </w:tc>
      </w:tr>
    </w:tbl>
    <w:p>
      <w:pPr>
        <w:spacing w:after="160"/>
      </w:pPr>
    </w:p>
    <w:tbl>
      <w:tblPr>
        <w:tblW w:type="auto" w:w="0"/>
        <w:jc w:val="center"/>
        <w:tblLayout w:type="fixed"/>
        <w:tblLook w:firstColumn="1" w:firstRow="1" w:lastColumn="0" w:lastRow="0" w:noHBand="0" w:noVBand="1" w:val="04A0"/>
      </w:tblPr>
      <w:tblGrid>
        <w:gridCol w:w="2250"/>
        <w:gridCol w:w="2250"/>
        <w:gridCol w:w="2250"/>
        <w:gridCol w:w="2250"/>
        <w:gridCol w:w="2250"/>
      </w:tblGrid>
      <w:tr>
        <w:tc>
          <w:tcPr>
            <w:tcW w:type="dxa" w:w="22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Gene Datab</w:t>
            </w:r>
          </w:p>
        </w:tc>
        <w:tc>
          <w:tcPr>
            <w:tcW w:type="dxa" w:w="22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CDS variant details ase versions use</w:t>
            </w:r>
          </w:p>
        </w:tc>
        <w:tc>
          <w:tcPr>
            <w:tcW w:type="dxa" w:w="22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Amino acid change/ Exon No. d</w:t>
            </w:r>
          </w:p>
        </w:tc>
        <w:tc>
          <w:tcPr>
            <w:tcW w:type="dxa" w:w="22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Overall depth/ Mutant Allele Percentage</w:t>
            </w:r>
          </w:p>
        </w:tc>
        <w:tc>
          <w:tcPr>
            <w:tcW w:type="dxa" w:w="2250"/>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Function of the gene in patient tumor/ Other tumor type</w:t>
            </w:r>
          </w:p>
        </w:tc>
      </w:tr>
      <w:tr>
        <w:tc>
          <w:tcPr>
            <w:tcW w:type="dxa" w:w="2250"/>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None 5000Exomes (Source Version:20161108), Canonical RefSeq Transcripts(Source Version:v95), ClinVar(Source Version:20190909)</w:t>
            </w:r>
          </w:p>
        </w:tc>
        <w:tc>
          <w:tcPr>
            <w:tcW w:type="dxa" w:w="2250"/>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r>
          </w:p>
        </w:tc>
        <w:tc>
          <w:tcPr>
            <w:tcW w:type="dxa" w:w="2250"/>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r>
          </w:p>
        </w:tc>
        <w:tc>
          <w:tcPr>
            <w:tcW w:type="dxa" w:w="2250"/>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r>
          </w:p>
        </w:tc>
        <w:tc>
          <w:tcPr>
            <w:tcW w:type="dxa" w:w="2250"/>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r>
          </w:p>
        </w:tc>
      </w:tr>
    </w:tbl>
    <w:p>
      <w:pPr>
        <w:spacing w:after="160"/>
      </w:pPr>
    </w:p>
    <w:tbl>
      <w:tblPr>
        <w:tblW w:type="auto" w:w="0"/>
        <w:jc w:val="center"/>
        <w:tblLayout w:type="fixed"/>
        <w:tblLook w:firstColumn="1" w:firstRow="1" w:lastColumn="0" w:lastRow="0" w:noHBand="0" w:noVBand="1" w:val="04A0"/>
      </w:tblPr>
      <w:tblGrid>
        <w:gridCol w:w="5624"/>
        <w:gridCol w:w="5624"/>
      </w:tblGrid>
      <w:tr>
        <w:tc>
          <w:tcPr>
            <w:tcW w:type="dxa" w:w="5624"/>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Variant</w:t>
            </w:r>
          </w:p>
        </w:tc>
        <w:tc>
          <w:tcPr>
            <w:tcW w:type="dxa" w:w="5624"/>
            <w:shd w:fill="1f497d"/>
            <w:tcBorders>
              <w:top w:val="single" w:sz="4" w:space="0" w:color="1f497d"/>
              <w:left w:val="single" w:sz="4" w:space="0" w:color="1f497d"/>
              <w:bottom w:val="single" w:sz="4" w:space="0" w:color="1f497d"/>
              <w:right w:val="single" w:sz="4" w:space="0" w:color="1f497d"/>
            </w:tcBorders>
            <w:tcMar>
              <w:top w:w="80" w:type="dxa"/>
              <w:left w:w="100" w:type="dxa"/>
              <w:bottom w:w="80" w:type="dxa"/>
              <w:right w:w="100" w:type="dxa"/>
            </w:tcMar>
          </w:tcPr>
          <w:p>
            <w:pPr>
              <w:jc w:val="center"/>
            </w:pPr>
            <w:r>
              <w:rPr>
                <w:rFonts w:ascii="Cambria" w:hAnsi="Cambria"/>
                <w:b/>
                <w:color w:val="FFFFFF"/>
                <w:sz w:val="19"/>
              </w:rPr>
              <w:t>A change in a gene. This could be disease causing (pathogenic) or not disease causing (benign).</w:t>
            </w:r>
          </w:p>
        </w:tc>
      </w:tr>
      <w:tr>
        <w:tc>
          <w:tcPr>
            <w:tcW w:type="dxa" w:w="5624"/>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Tier I: Variants of Strong Clinical Significance</w:t>
            </w:r>
          </w:p>
        </w:tc>
        <w:tc>
          <w:tcPr>
            <w:tcW w:type="dxa" w:w="5624"/>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Level A, biomarkers that predict response or resistance to US FDA-approved therapies for a specific type of tumor or have been included in professional guidelines as therapeutic, diagnostic, and/or prognostic biomarkers for specific types of tumors; Level B, biomarkers that predict response or resistance to a therapy based on well- powered studies with consensus from experts in the field or have diagnostic and/or prognostic significance of certain diseases based on well-powered studies with expert consensus.</w:t>
            </w:r>
          </w:p>
        </w:tc>
      </w:tr>
      <w:tr>
        <w:tc>
          <w:tcPr>
            <w:tcW w:type="dxa" w:w="5624"/>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Tier II: Variants of Potential Clinical Significance</w:t>
            </w:r>
          </w:p>
        </w:tc>
        <w:tc>
          <w:tcPr>
            <w:tcW w:type="dxa" w:w="5624"/>
            <w:shd w:fill="FFFFFF"/>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Level C, biomarkers that predict response or resistance to therapies approved by FDA or professional societies for a different tumor type (i.e., off-label use of a drug), serve as inclusion criteria for clinical trials, or have diagnostic and/or prognostic significance based on the results of multiple small studies. Level D, biomarkers that show plausible therapeutic significance based on preclinical studies or may assist disease diagnosis and/or prognosis themselves or along with other biomarkers based on small studies or multiple case reports with no consensus.</w:t>
            </w:r>
          </w:p>
        </w:tc>
      </w:tr>
      <w:tr>
        <w:tc>
          <w:tcPr>
            <w:tcW w:type="dxa" w:w="5624"/>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Tier III: Variants of unknown clinical significance</w:t>
            </w:r>
          </w:p>
        </w:tc>
        <w:tc>
          <w:tcPr>
            <w:tcW w:type="dxa" w:w="5624"/>
            <w:shd w:fill="DAEDF3"/>
            <w:tcBorders>
              <w:top w:val="single" w:sz="2" w:space="0" w:color="1f497d"/>
              <w:left w:val="single" w:sz="2" w:space="0" w:color="1f497d"/>
              <w:bottom w:val="single" w:sz="2" w:space="0" w:color="1f497d"/>
              <w:right w:val="single" w:sz="2" w:space="0" w:color="1f497d"/>
            </w:tcBorders>
            <w:tcMar>
              <w:top w:w="60" w:type="dxa"/>
              <w:left w:w="80" w:type="dxa"/>
              <w:bottom w:w="60" w:type="dxa"/>
              <w:right w:w="80" w:type="dxa"/>
            </w:tcMar>
          </w:tcPr>
          <w:p>
            <w:r>
              <w:rPr>
                <w:rFonts w:ascii="Cambria" w:hAnsi="Cambria"/>
                <w:color w:val="232729"/>
                <w:sz w:val="18"/>
              </w:rPr>
              <w:t>Not observed at a significant allele frequency in the general or specific subpopulation or pan cancer or tumor specific variant databases. No convincing published evidence of Cancer Associatio</w:t>
            </w:r>
          </w:p>
        </w:tc>
      </w:tr>
    </w:tbl>
    <w:p>
      <w:pPr>
        <w:spacing w:after="160"/>
      </w:pPr>
    </w:p>
    <w:p>
      <w:pPr>
        <w:jc w:val="center"/>
      </w:pPr>
      <w:r>
        <w:drawing>
          <wp:inline xmlns:a="http://schemas.openxmlformats.org/drawingml/2006/main" xmlns:pic="http://schemas.openxmlformats.org/drawingml/2006/picture">
            <wp:extent cx="3200400" cy="4528308"/>
            <wp:docPr id="1" name="Picture 1"/>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3200400" cy="4528308"/>
                    </a:xfrm>
                    <a:prstGeom prst="rect"/>
                  </pic:spPr>
                </pic:pic>
              </a:graphicData>
            </a:graphic>
          </wp:inline>
        </w:drawing>
      </w:r>
    </w:p>
    <w:p>
      <w:pPr>
        <w:jc w:val="center"/>
      </w:pPr>
      <w:r/>
    </w:p>
    <w:p>
      <w:pPr>
        <w:jc w:val="center"/>
      </w:pPr>
      <w:r>
        <w:drawing>
          <wp:inline xmlns:a="http://schemas.openxmlformats.org/drawingml/2006/main" xmlns:pic="http://schemas.openxmlformats.org/drawingml/2006/picture">
            <wp:extent cx="3200400" cy="1772122"/>
            <wp:docPr id="2" name="Picture 2"/>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3200400" cy="1772122"/>
                    </a:xfrm>
                    <a:prstGeom prst="rect"/>
                  </pic:spPr>
                </pic:pic>
              </a:graphicData>
            </a:graphic>
          </wp:inline>
        </w:drawing>
      </w:r>
    </w:p>
    <w:p>
      <w:pPr>
        <w:jc w:val="center"/>
      </w:pPr>
      <w:r>
        <w:drawing>
          <wp:inline xmlns:a="http://schemas.openxmlformats.org/drawingml/2006/main" xmlns:pic="http://schemas.openxmlformats.org/drawingml/2006/picture">
            <wp:extent cx="3200400" cy="3200400"/>
            <wp:docPr id="3" name="Picture 3"/>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3200400" cy="3200400"/>
                    </a:xfrm>
                    <a:prstGeom prst="rect"/>
                  </pic:spPr>
                </pic:pic>
              </a:graphicData>
            </a:graphic>
          </wp:inline>
        </w:drawing>
      </w:r>
    </w:p>
    <w:p>
      <w:pPr>
        <w:jc w:val="center"/>
      </w:pPr>
      <w:r>
        <w:drawing>
          <wp:inline xmlns:a="http://schemas.openxmlformats.org/drawingml/2006/main" xmlns:pic="http://schemas.openxmlformats.org/drawingml/2006/picture">
            <wp:extent cx="3200400" cy="4528308"/>
            <wp:docPr id="4" name="Picture 4"/>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3200400" cy="4528308"/>
                    </a:xfrm>
                    <a:prstGeom prst="rect"/>
                  </pic:spPr>
                </pic:pic>
              </a:graphicData>
            </a:graphic>
          </wp:inline>
        </w:drawing>
      </w:r>
    </w:p>
    <w:p>
      <w:pPr>
        <w:jc w:val="center"/>
      </w:pPr>
      <w:r/>
    </w:p>
    <w:p>
      <w:pPr>
        <w:jc w:val="center"/>
      </w:pPr>
      <w:r>
        <w:drawing>
          <wp:inline xmlns:a="http://schemas.openxmlformats.org/drawingml/2006/main" xmlns:pic="http://schemas.openxmlformats.org/drawingml/2006/picture">
            <wp:extent cx="3200400" cy="1772122"/>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3200400" cy="1772122"/>
                    </a:xfrm>
                    <a:prstGeom prst="rect"/>
                  </pic:spPr>
                </pic:pic>
              </a:graphicData>
            </a:graphic>
          </wp:inline>
        </w:drawing>
      </w:r>
    </w:p>
    <w:p>
      <w:pPr>
        <w:jc w:val="center"/>
      </w:pPr>
      <w:r>
        <w:drawing>
          <wp:inline xmlns:a="http://schemas.openxmlformats.org/drawingml/2006/main" xmlns:pic="http://schemas.openxmlformats.org/drawingml/2006/picture">
            <wp:extent cx="3200400" cy="320040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3200400" cy="3200400"/>
                    </a:xfrm>
                    <a:prstGeom prst="rect"/>
                  </pic:spPr>
                </pic:pic>
              </a:graphicData>
            </a:graphic>
          </wp:inline>
        </w:drawing>
      </w:r>
    </w:p>
    <w:p>
      <w:pPr>
        <w:jc w:val="center"/>
      </w:pPr>
      <w:r>
        <w:drawing>
          <wp:inline xmlns:a="http://schemas.openxmlformats.org/drawingml/2006/main" xmlns:pic="http://schemas.openxmlformats.org/drawingml/2006/picture">
            <wp:extent cx="3200400" cy="4528308"/>
            <wp:docPr id="7" name="Picture 7"/>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3200400" cy="4528308"/>
                    </a:xfrm>
                    <a:prstGeom prst="rect"/>
                  </pic:spPr>
                </pic:pic>
              </a:graphicData>
            </a:graphic>
          </wp:inline>
        </w:drawing>
      </w:r>
    </w:p>
    <w:p>
      <w:pPr>
        <w:jc w:val="center"/>
      </w:pPr>
      <w:r>
        <w:drawing>
          <wp:inline xmlns:a="http://schemas.openxmlformats.org/drawingml/2006/main" xmlns:pic="http://schemas.openxmlformats.org/drawingml/2006/picture">
            <wp:extent cx="3200400" cy="3200400"/>
            <wp:docPr id="8" name="Picture 8"/>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3200400" cy="3200400"/>
                    </a:xfrm>
                    <a:prstGeom prst="rect"/>
                  </pic:spPr>
                </pic:pic>
              </a:graphicData>
            </a:graphic>
          </wp:inline>
        </w:drawing>
      </w:r>
    </w:p>
    <w:p>
      <w:pPr>
        <w:jc w:val="center"/>
      </w:pPr>
      <w:r/>
    </w:p>
    <w:p>
      <w:pPr>
        <w:jc w:val="center"/>
      </w:pPr>
      <w:r>
        <w:drawing>
          <wp:inline xmlns:a="http://schemas.openxmlformats.org/drawingml/2006/main" xmlns:pic="http://schemas.openxmlformats.org/drawingml/2006/picture">
            <wp:extent cx="3200400" cy="1772122"/>
            <wp:docPr id="9" name="Picture 9"/>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3200400" cy="1772122"/>
                    </a:xfrm>
                    <a:prstGeom prst="rect"/>
                  </pic:spPr>
                </pic:pic>
              </a:graphicData>
            </a:graphic>
          </wp:inline>
        </w:drawing>
      </w:r>
    </w:p>
    <w:tbl>
      <w:tblPr>
        <w:tblW w:type="auto" w:w="0"/>
        <w:jc w:val="center"/>
        <w:tblLayout w:type="fixed"/>
        <w:tblLook w:firstColumn="1" w:firstRow="1" w:lastColumn="0" w:lastRow="0" w:noHBand="0" w:noVBand="1" w:val="04A0"/>
      </w:tblPr>
      <w:tblGrid>
        <w:gridCol w:w="3750"/>
        <w:gridCol w:w="3750"/>
        <w:gridCol w:w="3750"/>
      </w:tblGrid>
      <w:tr>
        <w:tc>
          <w:tcPr>
            <w:tcW w:type="dxa" w:w="3750"/>
            <w:tcBorders>
              <w:top w:val="single" w:sz="4" w:space="0" w:color="FFFFFF"/>
              <w:left w:val="single" w:sz="4" w:space="0" w:color="FFFFFF"/>
              <w:bottom w:val="single" w:sz="4" w:space="0" w:color="FFFFFF"/>
              <w:right w:val="single" w:sz="4" w:space="0" w:color="FFFFFF"/>
            </w:tcBorders>
          </w:tcPr>
          <w:p>
            <w:pPr>
              <w:jc w:val="center"/>
            </w:pPr>
            <w:r>
              <w:drawing>
                <wp:inline xmlns:a="http://schemas.openxmlformats.org/drawingml/2006/main" xmlns:pic="http://schemas.openxmlformats.org/drawingml/2006/picture">
                  <wp:extent cx="1097280" cy="771761"/>
                  <wp:docPr id="10" name="Picture 10"/>
                  <wp:cNvGraphicFramePr>
                    <a:graphicFrameLocks noChangeAspect="1"/>
                  </wp:cNvGraphicFramePr>
                  <a:graphic>
                    <a:graphicData uri="http://schemas.openxmlformats.org/drawingml/2006/picture">
                      <pic:pic>
                        <pic:nvPicPr>
                          <pic:cNvPr id="0" name="image4.png"/>
                          <pic:cNvPicPr/>
                        </pic:nvPicPr>
                        <pic:blipFill>
                          <a:blip r:embed="rId15"/>
                          <a:stretch>
                            <a:fillRect/>
                          </a:stretch>
                        </pic:blipFill>
                        <pic:spPr>
                          <a:xfrm>
                            <a:off x="0" y="0"/>
                            <a:ext cx="1097280" cy="771761"/>
                          </a:xfrm>
                          <a:prstGeom prst="rect"/>
                        </pic:spPr>
                      </pic:pic>
                    </a:graphicData>
                  </a:graphic>
                </wp:inline>
              </w:drawing>
            </w:r>
          </w:p>
        </w:tc>
        <w:tc>
          <w:tcPr>
            <w:tcW w:type="dxa" w:w="3750"/>
            <w:tcBorders>
              <w:top w:val="single" w:sz="4" w:space="0" w:color="FFFFFF"/>
              <w:left w:val="single" w:sz="4" w:space="0" w:color="FFFFFF"/>
              <w:bottom w:val="single" w:sz="4" w:space="0" w:color="FFFFFF"/>
              <w:right w:val="single" w:sz="4" w:space="0" w:color="FFFFFF"/>
            </w:tcBorders>
          </w:tcPr>
          <w:p>
            <w:pPr>
              <w:jc w:val="center"/>
            </w:pPr>
            <w:r>
              <w:drawing>
                <wp:inline xmlns:a="http://schemas.openxmlformats.org/drawingml/2006/main" xmlns:pic="http://schemas.openxmlformats.org/drawingml/2006/picture">
                  <wp:extent cx="1097280" cy="771761"/>
                  <wp:docPr id="11" name="Picture 11"/>
                  <wp:cNvGraphicFramePr>
                    <a:graphicFrameLocks noChangeAspect="1"/>
                  </wp:cNvGraphicFramePr>
                  <a:graphic>
                    <a:graphicData uri="http://schemas.openxmlformats.org/drawingml/2006/picture">
                      <pic:pic>
                        <pic:nvPicPr>
                          <pic:cNvPr id="0" name="image4.png"/>
                          <pic:cNvPicPr/>
                        </pic:nvPicPr>
                        <pic:blipFill>
                          <a:blip r:embed="rId15"/>
                          <a:stretch>
                            <a:fillRect/>
                          </a:stretch>
                        </pic:blipFill>
                        <pic:spPr>
                          <a:xfrm>
                            <a:off x="0" y="0"/>
                            <a:ext cx="1097280" cy="771761"/>
                          </a:xfrm>
                          <a:prstGeom prst="rect"/>
                        </pic:spPr>
                      </pic:pic>
                    </a:graphicData>
                  </a:graphic>
                </wp:inline>
              </w:drawing>
            </w:r>
          </w:p>
        </w:tc>
        <w:tc>
          <w:tcPr>
            <w:tcW w:type="dxa" w:w="3750"/>
            <w:tcBorders>
              <w:top w:val="single" w:sz="4" w:space="0" w:color="FFFFFF"/>
              <w:left w:val="single" w:sz="4" w:space="0" w:color="FFFFFF"/>
              <w:bottom w:val="single" w:sz="4" w:space="0" w:color="FFFFFF"/>
              <w:right w:val="single" w:sz="4" w:space="0" w:color="FFFFFF"/>
            </w:tcBorders>
          </w:tcPr>
          <w:p>
            <w:pPr>
              <w:jc w:val="center"/>
            </w:pPr>
            <w:r>
              <w:drawing>
                <wp:inline xmlns:a="http://schemas.openxmlformats.org/drawingml/2006/main" xmlns:pic="http://schemas.openxmlformats.org/drawingml/2006/picture">
                  <wp:extent cx="1097280" cy="764837"/>
                  <wp:docPr id="12" name="Picture 12"/>
                  <wp:cNvGraphicFramePr>
                    <a:graphicFrameLocks noChangeAspect="1"/>
                  </wp:cNvGraphicFramePr>
                  <a:graphic>
                    <a:graphicData uri="http://schemas.openxmlformats.org/drawingml/2006/picture">
                      <pic:pic>
                        <pic:nvPicPr>
                          <pic:cNvPr id="0" name="image6.png"/>
                          <pic:cNvPicPr/>
                        </pic:nvPicPr>
                        <pic:blipFill>
                          <a:blip r:embed="rId16"/>
                          <a:stretch>
                            <a:fillRect/>
                          </a:stretch>
                        </pic:blipFill>
                        <pic:spPr>
                          <a:xfrm>
                            <a:off x="0" y="0"/>
                            <a:ext cx="1097280" cy="764837"/>
                          </a:xfrm>
                          <a:prstGeom prst="rect"/>
                        </pic:spPr>
                      </pic:pic>
                    </a:graphicData>
                  </a:graphic>
                </wp:inline>
              </w:drawing>
            </w:r>
          </w:p>
        </w:tc>
      </w:tr>
      <w:tr>
        <w:tc>
          <w:tcPr>
            <w:tcW w:type="dxa" w:w="3750"/>
            <w:tcBorders>
              <w:top w:val="single" w:sz="4" w:space="0" w:color="FFFFFF"/>
              <w:left w:val="single" w:sz="4" w:space="0" w:color="FFFFFF"/>
              <w:bottom w:val="single" w:sz="4" w:space="0" w:color="FFFFFF"/>
              <w:right w:val="single" w:sz="4" w:space="0" w:color="FFFFFF"/>
            </w:tcBorders>
          </w:tcPr>
          <w:p>
            <w:pPr>
              <w:jc w:val="center"/>
            </w:pPr>
            <w:r>
              <w:rPr>
                <w:rFonts w:ascii="Cambria" w:hAnsi="Cambria"/>
                <w:b/>
                <w:color w:val="1F497D"/>
                <w:sz w:val="18"/>
              </w:rPr>
              <w:t>Prepared / Verified By</w:t>
            </w:r>
          </w:p>
        </w:tc>
        <w:tc>
          <w:tcPr>
            <w:tcW w:type="dxa" w:w="3750"/>
            <w:tcBorders>
              <w:top w:val="single" w:sz="4" w:space="0" w:color="FFFFFF"/>
              <w:left w:val="single" w:sz="4" w:space="0" w:color="FFFFFF"/>
              <w:bottom w:val="single" w:sz="4" w:space="0" w:color="FFFFFF"/>
              <w:right w:val="single" w:sz="4" w:space="0" w:color="FFFFFF"/>
            </w:tcBorders>
          </w:tcPr>
          <w:p>
            <w:pPr>
              <w:jc w:val="center"/>
            </w:pPr>
            <w:r>
              <w:rPr>
                <w:rFonts w:ascii="Cambria" w:hAnsi="Cambria"/>
                <w:b/>
                <w:color w:val="1F497D"/>
                <w:sz w:val="18"/>
              </w:rPr>
              <w:t>Reviewing Officer</w:t>
            </w:r>
          </w:p>
        </w:tc>
        <w:tc>
          <w:tcPr>
            <w:tcW w:type="dxa" w:w="3750"/>
            <w:tcBorders>
              <w:top w:val="single" w:sz="4" w:space="0" w:color="FFFFFF"/>
              <w:left w:val="single" w:sz="4" w:space="0" w:color="FFFFFF"/>
              <w:bottom w:val="single" w:sz="4" w:space="0" w:color="FFFFFF"/>
              <w:right w:val="single" w:sz="4" w:space="0" w:color="FFFFFF"/>
            </w:tcBorders>
          </w:tcPr>
          <w:p>
            <w:pPr>
              <w:jc w:val="center"/>
            </w:pPr>
            <w:r>
              <w:rPr>
                <w:rFonts w:ascii="Cambria" w:hAnsi="Cambria"/>
                <w:b/>
                <w:color w:val="1F497D"/>
                <w:sz w:val="18"/>
              </w:rPr>
              <w:t>Authorized Signatory</w:t>
            </w:r>
          </w:p>
        </w:tc>
      </w:tr>
    </w:tbl>
    <w:p>
      <w:pPr>
        <w:jc w:val="center"/>
      </w:pPr>
      <w:r>
        <w:rPr>
          <w:rFonts w:ascii="Cambria" w:hAnsi="Cambria"/>
          <w:b/>
          <w:color w:val="1F497D"/>
          <w:sz w:val="20"/>
        </w:rPr>
        <w:br/>
        <w:t>------------------ End Of Report ------------------</w:t>
        <w:br/>
      </w:r>
    </w:p>
    <w:sectPr w:rsidR="00FC693F" w:rsidRPr="0006063C" w:rsidSect="00034616">
      <w:headerReference w:type="default" r:id="rId9"/>
      <w:footerReference w:type="default" r:id="rId10"/>
      <w:pgSz w:w="12240" w:h="15840"/>
      <w:pgMar w:top="2080" w:right="425" w:bottom="2780" w:left="566" w:header="1152" w:footer="259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MT" w:hAnsi="Arial MT"/>
        <w:sz w:val="16"/>
      </w:rPr>
      <w:tab/>
      <w:t xml:space="preserve">Page </w:t>
      <w:fldChar w:fldCharType="begin"/>
      <w:instrText xml:space="preserve"> PAGE </w:instrText>
      <w:fldChar w:fldCharType="separate"/>
      <w:fldChar w:fldCharType="end"/>
    </w:r>
    <w:r>
      <w:rPr>
        <w:rFonts w:ascii="Arial MT" w:hAnsi="Arial MT"/>
        <w:sz w:val="16"/>
      </w:rPr>
      <w:t xml:space="preserve"> of </w:t>
      <w:fldChar w:fldCharType="begin"/>
      <w:instrText xml:space="preserve"> NUMPAGES </w:instrText>
      <w:fldChar w:fldCharType="separate"/>
      <w:fldChar w:fldCharType="end"/>
    </w:r>
    <w:r>
      <w:rPr>
        <w:rFonts w:ascii="Arial MT" w:hAnsi="Arial MT"/>
        <w:sz w:val="16"/>
      </w:rPr>
      <w:tab/>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center"/>
    </w:pPr>
    <w:r>
      <w:drawing>
        <wp:inline xmlns:a="http://schemas.openxmlformats.org/drawingml/2006/main" xmlns:pic="http://schemas.openxmlformats.org/drawingml/2006/picture">
          <wp:extent cx="6858000" cy="8291286"/>
          <wp:docPr id="1" name="Picture 1"/>
          <wp:cNvGraphicFramePr>
            <a:graphicFrameLocks noChangeAspect="1"/>
          </wp:cNvGraphicFramePr>
          <a:graphic>
            <a:graphicData uri="http://schemas.openxmlformats.org/drawingml/2006/picture">
              <pic:pic>
                <pic:nvPicPr>
                  <pic:cNvPr id="0" name="header_image1.png"/>
                  <pic:cNvPicPr/>
                </pic:nvPicPr>
                <pic:blipFill>
                  <a:blip r:embed="rId1"/>
                  <a:stretch>
                    <a:fillRect/>
                  </a:stretch>
                </pic:blipFill>
                <pic:spPr>
                  <a:xfrm>
                    <a:off x="0" y="0"/>
                    <a:ext cx="6858000" cy="8291286"/>
                  </a:xfrm>
                  <a:prstGeom prst="rect"/>
                </pic:spPr>
              </pic:pic>
            </a:graphicData>
          </a:graphic>
        </wp:inline>
      </w:drawing>
    </w:r>
  </w:p>
  <w:tbl>
    <w:tblPr>
      <w:tblW w:type="auto" w:w="0"/>
      <w:jc w:val="center"/>
      <w:tblLayout w:type="fixed"/>
      <w:tblLook w:firstColumn="1" w:firstRow="1" w:lastColumn="0" w:lastRow="0" w:noHBand="0" w:noVBand="1" w:val="04A0"/>
    </w:tblPr>
    <w:tblGrid>
      <w:gridCol w:w="2700"/>
      <w:gridCol w:w="2700"/>
      <w:gridCol w:w="2700"/>
      <w:gridCol w:w="2700"/>
    </w:tblGrid>
    <w:tr>
      <w:tc>
        <w:tcPr>
          <w:tcW w:type="dxa" w:w="2700"/>
          <w:tcW w:w="1744" w:type="dxa"/>
          <w:tcMar>
            <w:top w:w="40" w:type="dxa"/>
            <w:left w:w="60" w:type="dxa"/>
            <w:bottom w:w="40" w:type="dxa"/>
            <w:right w:w="60" w:type="dxa"/>
          </w:tcMar>
          <w:tcBorders>
            <w:top w:val="single" w:sz="2" w:space="0" w:color="CBD5E1"/>
            <w:left w:val="single" w:sz="2" w:space="0" w:color="CBD5E1"/>
            <w:bottom w:val="single" w:sz="2" w:space="0" w:color="CBD5E1"/>
            <w:right w:val="single" w:sz="2" w:space="0" w:color="CBD5E1"/>
          </w:tcBorders>
        </w:tcPr>
        <w:p>
          <w:pPr>
            <w:spacing w:before="0" w:after="0" w:line="240" w:lineRule="auto"/>
          </w:pPr>
          <w:r>
            <w:rPr>
              <w:rFonts w:ascii="Cambria" w:hAnsi="Cambria"/>
              <w:b/>
              <w:color w:val="1F497D"/>
              <w:sz w:val="18"/>
            </w:rPr>
            <w:t>Name</w:t>
          </w:r>
        </w:p>
      </w:tc>
      <w:tc>
        <w:tcPr>
          <w:tcW w:type="dxa" w:w="2700"/>
          <w:tcW w:w="3215" w:type="dxa"/>
          <w:tcMar>
            <w:top w:w="40" w:type="dxa"/>
            <w:left w:w="60" w:type="dxa"/>
            <w:bottom w:w="40" w:type="dxa"/>
            <w:right w:w="60" w:type="dxa"/>
          </w:tcMar>
          <w:tcBorders>
            <w:top w:val="single" w:sz="2" w:space="0" w:color="CBD5E1"/>
            <w:left w:val="single" w:sz="2" w:space="0" w:color="CBD5E1"/>
            <w:bottom w:val="single" w:sz="2" w:space="0" w:color="CBD5E1"/>
            <w:right w:val="single" w:sz="2" w:space="0" w:color="CBD5E1"/>
          </w:tcBorders>
        </w:tcPr>
        <w:p>
          <w:pPr>
            <w:spacing w:before="0" w:after="0" w:line="240" w:lineRule="auto"/>
          </w:pPr>
          <w:r>
            <w:rPr>
              <w:rFonts w:ascii="Cambria" w:hAnsi="Cambria"/>
              <w:color w:val="0D0D0D"/>
              <w:sz w:val="18"/>
            </w:rPr>
            <w:t>: MasterRUDRANSH GARG</w:t>
          </w:r>
        </w:p>
      </w:tc>
      <w:tc>
        <w:tcPr>
          <w:tcW w:type="dxa" w:w="2700"/>
          <w:tcW w:w="1779" w:type="dxa"/>
          <w:tcMar>
            <w:top w:w="40" w:type="dxa"/>
            <w:left w:w="60" w:type="dxa"/>
            <w:bottom w:w="40" w:type="dxa"/>
            <w:right w:w="60" w:type="dxa"/>
          </w:tcMar>
          <w:tcBorders>
            <w:top w:val="single" w:sz="2" w:space="0" w:color="CBD5E1"/>
            <w:left w:val="single" w:sz="2" w:space="0" w:color="CBD5E1"/>
            <w:bottom w:val="single" w:sz="2" w:space="0" w:color="CBD5E1"/>
            <w:right w:val="single" w:sz="2" w:space="0" w:color="CBD5E1"/>
          </w:tcBorders>
        </w:tcPr>
        <w:p>
          <w:pPr>
            <w:spacing w:before="0" w:after="0" w:line="240" w:lineRule="auto"/>
          </w:pPr>
          <w:r>
            <w:rPr>
              <w:rFonts w:ascii="Cambria" w:hAnsi="Cambria"/>
              <w:b/>
              <w:color w:val="1F497D"/>
              <w:sz w:val="18"/>
            </w:rPr>
            <w:t>Centre Details</w:t>
          </w:r>
        </w:p>
      </w:tc>
      <w:tc>
        <w:tcPr>
          <w:tcW w:type="dxa" w:w="2700"/>
          <w:tcW w:w="4062" w:type="dxa"/>
          <w:tcMar>
            <w:top w:w="40" w:type="dxa"/>
            <w:left w:w="60" w:type="dxa"/>
            <w:bottom w:w="40" w:type="dxa"/>
            <w:right w:w="60" w:type="dxa"/>
          </w:tcMar>
          <w:tcBorders>
            <w:top w:val="single" w:sz="2" w:space="0" w:color="CBD5E1"/>
            <w:left w:val="single" w:sz="2" w:space="0" w:color="CBD5E1"/>
            <w:bottom w:val="single" w:sz="2" w:space="0" w:color="CBD5E1"/>
            <w:right w:val="single" w:sz="2" w:space="0" w:color="CBD5E1"/>
          </w:tcBorders>
        </w:tcPr>
        <w:p>
          <w:pPr>
            <w:spacing w:before="0" w:after="0" w:line="240" w:lineRule="auto"/>
          </w:pPr>
          <w:r>
            <w:rPr>
              <w:rFonts w:ascii="Cambria" w:hAnsi="Cambria"/>
              <w:color w:val="0D0D0D"/>
              <w:sz w:val="18"/>
            </w:rPr>
            <w:t>:VIVEK KALRA2219</w:t>
          </w:r>
        </w:p>
      </w:tc>
    </w:tr>
    <w:tr>
      <w:tc>
        <w:tcPr>
          <w:tcW w:type="dxa" w:w="2700"/>
          <w:tcW w:w="1744" w:type="dxa"/>
          <w:tcMar>
            <w:top w:w="40" w:type="dxa"/>
            <w:left w:w="60" w:type="dxa"/>
            <w:bottom w:w="40" w:type="dxa"/>
            <w:right w:w="60" w:type="dxa"/>
          </w:tcMar>
          <w:tcBorders>
            <w:top w:val="single" w:sz="2" w:space="0" w:color="CBD5E1"/>
            <w:left w:val="single" w:sz="2" w:space="0" w:color="CBD5E1"/>
            <w:bottom w:val="single" w:sz="2" w:space="0" w:color="CBD5E1"/>
            <w:right w:val="single" w:sz="2" w:space="0" w:color="CBD5E1"/>
          </w:tcBorders>
        </w:tcPr>
        <w:p>
          <w:pPr>
            <w:spacing w:before="0" w:after="0" w:line="240" w:lineRule="auto"/>
          </w:pPr>
          <w:r>
            <w:rPr>
              <w:rFonts w:ascii="Cambria" w:hAnsi="Cambria"/>
              <w:b/>
              <w:color w:val="1F497D"/>
              <w:sz w:val="18"/>
            </w:rPr>
            <w:t>Age</w:t>
          </w:r>
        </w:p>
      </w:tc>
      <w:tc>
        <w:tcPr>
          <w:tcW w:type="dxa" w:w="2700"/>
          <w:tcW w:w="3215" w:type="dxa"/>
          <w:tcMar>
            <w:top w:w="40" w:type="dxa"/>
            <w:left w:w="60" w:type="dxa"/>
            <w:bottom w:w="40" w:type="dxa"/>
            <w:right w:w="60" w:type="dxa"/>
          </w:tcMar>
          <w:tcBorders>
            <w:top w:val="single" w:sz="2" w:space="0" w:color="CBD5E1"/>
            <w:left w:val="single" w:sz="2" w:space="0" w:color="CBD5E1"/>
            <w:bottom w:val="single" w:sz="2" w:space="0" w:color="CBD5E1"/>
            <w:right w:val="single" w:sz="2" w:space="0" w:color="CBD5E1"/>
          </w:tcBorders>
        </w:tcPr>
        <w:p>
          <w:pPr>
            <w:spacing w:before="0" w:after="0" w:line="240" w:lineRule="auto"/>
          </w:pPr>
          <w:r>
            <w:rPr>
              <w:rFonts w:ascii="Cambria" w:hAnsi="Cambria"/>
              <w:color w:val="0D0D0D"/>
              <w:sz w:val="18"/>
            </w:rPr>
            <w:t>: 10 Mon 26 Days</w:t>
            <w:tab/>
            <w:t>Sex: Male</w:t>
          </w:r>
        </w:p>
      </w:tc>
      <w:tc>
        <w:tcPr>
          <w:tcW w:type="dxa" w:w="2700"/>
          <w:tcW w:w="1779" w:type="dxa"/>
          <w:tcMar>
            <w:top w:w="40" w:type="dxa"/>
            <w:left w:w="60" w:type="dxa"/>
            <w:bottom w:w="40" w:type="dxa"/>
            <w:right w:w="60" w:type="dxa"/>
          </w:tcMar>
          <w:tcBorders>
            <w:top w:val="single" w:sz="2" w:space="0" w:color="CBD5E1"/>
            <w:left w:val="single" w:sz="2" w:space="0" w:color="CBD5E1"/>
            <w:bottom w:val="single" w:sz="2" w:space="0" w:color="CBD5E1"/>
            <w:right w:val="single" w:sz="2" w:space="0" w:color="CBD5E1"/>
          </w:tcBorders>
        </w:tcPr>
        <w:p>
          <w:pPr>
            <w:spacing w:before="0" w:after="0" w:line="240" w:lineRule="auto"/>
          </w:pPr>
          <w:r>
            <w:rPr>
              <w:rFonts w:ascii="Cambria" w:hAnsi="Cambria"/>
              <w:b/>
              <w:color w:val="1F497D"/>
              <w:sz w:val="18"/>
            </w:rPr>
            <w:t>Accession.ID</w:t>
          </w:r>
        </w:p>
      </w:tc>
      <w:tc>
        <w:tcPr>
          <w:tcW w:type="dxa" w:w="2700"/>
          <w:tcW w:w="4062" w:type="dxa"/>
          <w:tcMar>
            <w:top w:w="40" w:type="dxa"/>
            <w:left w:w="60" w:type="dxa"/>
            <w:bottom w:w="40" w:type="dxa"/>
            <w:right w:w="60" w:type="dxa"/>
          </w:tcMar>
          <w:tcBorders>
            <w:top w:val="single" w:sz="2" w:space="0" w:color="CBD5E1"/>
            <w:left w:val="single" w:sz="2" w:space="0" w:color="CBD5E1"/>
            <w:bottom w:val="single" w:sz="2" w:space="0" w:color="CBD5E1"/>
            <w:right w:val="single" w:sz="2" w:space="0" w:color="CBD5E1"/>
          </w:tcBorders>
        </w:tcPr>
        <w:p>
          <w:pPr>
            <w:spacing w:before="0" w:after="0" w:line="240" w:lineRule="auto"/>
          </w:pPr>
          <w:r>
            <w:rPr>
              <w:rFonts w:ascii="Cambria" w:hAnsi="Cambria"/>
              <w:color w:val="0D0D0D"/>
              <w:sz w:val="18"/>
            </w:rPr>
            <w:t>:SDL2603090101</w:t>
          </w:r>
        </w:p>
      </w:tc>
    </w:tr>
    <w:tr>
      <w:tc>
        <w:tcPr>
          <w:tcW w:type="dxa" w:w="2700"/>
          <w:tcW w:w="1744" w:type="dxa"/>
          <w:tcMar>
            <w:top w:w="40" w:type="dxa"/>
            <w:left w:w="60" w:type="dxa"/>
            <w:bottom w:w="40" w:type="dxa"/>
            <w:right w:w="60" w:type="dxa"/>
          </w:tcMar>
          <w:tcBorders>
            <w:top w:val="single" w:sz="2" w:space="0" w:color="CBD5E1"/>
            <w:left w:val="single" w:sz="2" w:space="0" w:color="CBD5E1"/>
            <w:bottom w:val="single" w:sz="2" w:space="0" w:color="CBD5E1"/>
            <w:right w:val="single" w:sz="2" w:space="0" w:color="CBD5E1"/>
          </w:tcBorders>
        </w:tcPr>
        <w:p>
          <w:pPr>
            <w:spacing w:before="0" w:after="0" w:line="240" w:lineRule="auto"/>
          </w:pPr>
          <w:r>
            <w:rPr>
              <w:rFonts w:ascii="Cambria" w:hAnsi="Cambria"/>
              <w:b/>
              <w:color w:val="1F497D"/>
              <w:sz w:val="18"/>
            </w:rPr>
            <w:t>Collection Date</w:t>
          </w:r>
        </w:p>
      </w:tc>
      <w:tc>
        <w:tcPr>
          <w:tcW w:type="dxa" w:w="2700"/>
          <w:tcW w:w="3215" w:type="dxa"/>
          <w:tcMar>
            <w:top w:w="40" w:type="dxa"/>
            <w:left w:w="60" w:type="dxa"/>
            <w:bottom w:w="40" w:type="dxa"/>
            <w:right w:w="60" w:type="dxa"/>
          </w:tcMar>
          <w:tcBorders>
            <w:top w:val="single" w:sz="2" w:space="0" w:color="CBD5E1"/>
            <w:left w:val="single" w:sz="2" w:space="0" w:color="CBD5E1"/>
            <w:bottom w:val="single" w:sz="2" w:space="0" w:color="CBD5E1"/>
            <w:right w:val="single" w:sz="2" w:space="0" w:color="CBD5E1"/>
          </w:tcBorders>
        </w:tcPr>
        <w:p>
          <w:pPr>
            <w:spacing w:before="0" w:after="0" w:line="240" w:lineRule="auto"/>
          </w:pPr>
          <w:r>
            <w:rPr>
              <w:rFonts w:ascii="Cambria" w:hAnsi="Cambria"/>
              <w:color w:val="0D0D0D"/>
              <w:sz w:val="18"/>
            </w:rPr>
            <w:t>: 09/Mar/2026 08:21PM</w:t>
          </w:r>
        </w:p>
      </w:tc>
      <w:tc>
        <w:tcPr>
          <w:tcW w:type="dxa" w:w="2700"/>
          <w:tcW w:w="1779" w:type="dxa"/>
          <w:tcMar>
            <w:top w:w="40" w:type="dxa"/>
            <w:left w:w="60" w:type="dxa"/>
            <w:bottom w:w="40" w:type="dxa"/>
            <w:right w:w="60" w:type="dxa"/>
          </w:tcMar>
          <w:tcBorders>
            <w:top w:val="single" w:sz="2" w:space="0" w:color="CBD5E1"/>
            <w:left w:val="single" w:sz="2" w:space="0" w:color="CBD5E1"/>
            <w:bottom w:val="single" w:sz="2" w:space="0" w:color="CBD5E1"/>
            <w:right w:val="single" w:sz="2" w:space="0" w:color="CBD5E1"/>
          </w:tcBorders>
        </w:tcPr>
        <w:p>
          <w:pPr>
            <w:spacing w:before="0" w:after="0" w:line="240" w:lineRule="auto"/>
          </w:pPr>
          <w:r>
            <w:rPr>
              <w:rFonts w:ascii="Cambria" w:hAnsi="Cambria"/>
              <w:b/>
              <w:color w:val="1F497D"/>
              <w:sz w:val="18"/>
            </w:rPr>
            <w:t>Referred By</w:t>
          </w:r>
        </w:p>
      </w:tc>
      <w:tc>
        <w:tcPr>
          <w:tcW w:type="dxa" w:w="2700"/>
          <w:tcW w:w="4062" w:type="dxa"/>
          <w:tcMar>
            <w:top w:w="40" w:type="dxa"/>
            <w:left w:w="60" w:type="dxa"/>
            <w:bottom w:w="40" w:type="dxa"/>
            <w:right w:w="60" w:type="dxa"/>
          </w:tcMar>
          <w:tcBorders>
            <w:top w:val="single" w:sz="2" w:space="0" w:color="CBD5E1"/>
            <w:left w:val="single" w:sz="2" w:space="0" w:color="CBD5E1"/>
            <w:bottom w:val="single" w:sz="2" w:space="0" w:color="CBD5E1"/>
            <w:right w:val="single" w:sz="2" w:space="0" w:color="CBD5E1"/>
          </w:tcBorders>
        </w:tcPr>
        <w:p>
          <w:pPr>
            <w:spacing w:before="0" w:after="0" w:line="240" w:lineRule="auto"/>
          </w:pPr>
          <w:r>
            <w:rPr>
              <w:rFonts w:ascii="Cambria" w:hAnsi="Cambria"/>
              <w:color w:val="0D0D0D"/>
              <w:sz w:val="18"/>
            </w:rPr>
            <w:t>:DR VEENA KALRA</w:t>
          </w:r>
        </w:p>
      </w:tc>
    </w:tr>
    <w:tr>
      <w:tc>
        <w:tcPr>
          <w:tcW w:type="dxa" w:w="2700"/>
          <w:tcW w:w="1744" w:type="dxa"/>
          <w:tcMar>
            <w:top w:w="40" w:type="dxa"/>
            <w:left w:w="60" w:type="dxa"/>
            <w:bottom w:w="40" w:type="dxa"/>
            <w:right w:w="60" w:type="dxa"/>
          </w:tcMar>
          <w:tcBorders>
            <w:top w:val="single" w:sz="2" w:space="0" w:color="CBD5E1"/>
            <w:left w:val="single" w:sz="2" w:space="0" w:color="CBD5E1"/>
            <w:bottom w:val="single" w:sz="2" w:space="0" w:color="CBD5E1"/>
            <w:right w:val="single" w:sz="2" w:space="0" w:color="CBD5E1"/>
          </w:tcBorders>
        </w:tcPr>
        <w:p>
          <w:pPr>
            <w:spacing w:before="0" w:after="0" w:line="240" w:lineRule="auto"/>
          </w:pPr>
          <w:r>
            <w:rPr>
              <w:rFonts w:ascii="Cambria" w:hAnsi="Cambria"/>
              <w:b/>
              <w:color w:val="1F497D"/>
              <w:sz w:val="18"/>
            </w:rPr>
            <w:t>Received Date</w:t>
          </w:r>
        </w:p>
      </w:tc>
      <w:tc>
        <w:tcPr>
          <w:tcW w:type="dxa" w:w="2700"/>
          <w:tcW w:w="3215" w:type="dxa"/>
          <w:tcMar>
            <w:top w:w="40" w:type="dxa"/>
            <w:left w:w="60" w:type="dxa"/>
            <w:bottom w:w="40" w:type="dxa"/>
            <w:right w:w="60" w:type="dxa"/>
          </w:tcMar>
          <w:tcBorders>
            <w:top w:val="single" w:sz="2" w:space="0" w:color="CBD5E1"/>
            <w:left w:val="single" w:sz="2" w:space="0" w:color="CBD5E1"/>
            <w:bottom w:val="single" w:sz="2" w:space="0" w:color="CBD5E1"/>
            <w:right w:val="single" w:sz="2" w:space="0" w:color="CBD5E1"/>
          </w:tcBorders>
        </w:tcPr>
        <w:p>
          <w:pPr>
            <w:spacing w:before="0" w:after="0" w:line="240" w:lineRule="auto"/>
          </w:pPr>
          <w:r>
            <w:rPr>
              <w:rFonts w:ascii="Cambria" w:hAnsi="Cambria"/>
              <w:color w:val="0D0D0D"/>
              <w:sz w:val="18"/>
            </w:rPr>
            <w:t>: 10/Mar/2026 02:08PM</w:t>
          </w:r>
        </w:p>
      </w:tc>
      <w:tc>
        <w:tcPr>
          <w:tcW w:type="dxa" w:w="2700"/>
          <w:tcW w:w="1779" w:type="dxa"/>
          <w:tcMar>
            <w:top w:w="40" w:type="dxa"/>
            <w:left w:w="60" w:type="dxa"/>
            <w:bottom w:w="40" w:type="dxa"/>
            <w:right w:w="60" w:type="dxa"/>
          </w:tcMar>
          <w:tcBorders>
            <w:top w:val="single" w:sz="2" w:space="0" w:color="CBD5E1"/>
            <w:left w:val="single" w:sz="2" w:space="0" w:color="CBD5E1"/>
            <w:bottom w:val="single" w:sz="2" w:space="0" w:color="CBD5E1"/>
            <w:right w:val="single" w:sz="2" w:space="0" w:color="CBD5E1"/>
          </w:tcBorders>
        </w:tcPr>
        <w:p>
          <w:pPr>
            <w:spacing w:before="0" w:after="0" w:line="240" w:lineRule="auto"/>
          </w:pPr>
          <w:r>
            <w:rPr>
              <w:rFonts w:ascii="Cambria" w:hAnsi="Cambria"/>
              <w:b/>
              <w:color w:val="1F497D"/>
              <w:sz w:val="18"/>
            </w:rPr>
            <w:t>Report Date</w:t>
          </w:r>
        </w:p>
      </w:tc>
      <w:tc>
        <w:tcPr>
          <w:tcW w:type="dxa" w:w="2700"/>
          <w:tcW w:w="4062" w:type="dxa"/>
          <w:tcMar>
            <w:top w:w="40" w:type="dxa"/>
            <w:left w:w="60" w:type="dxa"/>
            <w:bottom w:w="40" w:type="dxa"/>
            <w:right w:w="60" w:type="dxa"/>
          </w:tcMar>
          <w:tcBorders>
            <w:top w:val="single" w:sz="2" w:space="0" w:color="CBD5E1"/>
            <w:left w:val="single" w:sz="2" w:space="0" w:color="CBD5E1"/>
            <w:bottom w:val="single" w:sz="2" w:space="0" w:color="CBD5E1"/>
            <w:right w:val="single" w:sz="2" w:space="0" w:color="CBD5E1"/>
          </w:tcBorders>
        </w:tcPr>
        <w:p>
          <w:pPr>
            <w:spacing w:before="0" w:after="0" w:line="240" w:lineRule="auto"/>
          </w:pPr>
          <w:r>
            <w:rPr>
              <w:rFonts w:ascii="Cambria" w:hAnsi="Cambria"/>
              <w:color w:val="0D0D0D"/>
              <w:sz w:val="18"/>
            </w:rPr>
            <w:t>:15/APR/2026 03:41PM</w:t>
          </w:r>
        </w:p>
      </w:tc>
    </w:tr>
    <w:tr>
      <w:tc>
        <w:tcPr>
          <w:tcW w:type="dxa" w:w="2700"/>
          <w:tcW w:w="1744" w:type="dxa"/>
          <w:tcMar>
            <w:top w:w="40" w:type="dxa"/>
            <w:left w:w="60" w:type="dxa"/>
            <w:bottom w:w="40" w:type="dxa"/>
            <w:right w:w="60" w:type="dxa"/>
          </w:tcMar>
          <w:tcBorders>
            <w:top w:val="single" w:sz="2" w:space="0" w:color="CBD5E1"/>
            <w:left w:val="single" w:sz="2" w:space="0" w:color="CBD5E1"/>
            <w:bottom w:val="single" w:sz="2" w:space="0" w:color="CBD5E1"/>
            <w:right w:val="single" w:sz="2" w:space="0" w:color="CBD5E1"/>
          </w:tcBorders>
        </w:tcPr>
        <w:p>
          <w:pPr>
            <w:spacing w:before="0" w:after="0" w:line="240" w:lineRule="auto"/>
          </w:pPr>
          <w:r>
            <w:rPr>
              <w:rFonts w:ascii="Cambria" w:hAnsi="Cambria"/>
              <w:b/>
              <w:color w:val="1F497D"/>
              <w:sz w:val="18"/>
            </w:rPr>
            <w:t>Registration Date</w:t>
          </w:r>
        </w:p>
      </w:tc>
      <w:tc>
        <w:tcPr>
          <w:tcW w:type="dxa" w:w="2700"/>
          <w:tcW w:w="3215" w:type="dxa"/>
          <w:tcMar>
            <w:top w:w="40" w:type="dxa"/>
            <w:left w:w="60" w:type="dxa"/>
            <w:bottom w:w="40" w:type="dxa"/>
            <w:right w:w="60" w:type="dxa"/>
          </w:tcMar>
          <w:tcBorders>
            <w:top w:val="single" w:sz="2" w:space="0" w:color="CBD5E1"/>
            <w:left w:val="single" w:sz="2" w:space="0" w:color="CBD5E1"/>
            <w:bottom w:val="single" w:sz="2" w:space="0" w:color="CBD5E1"/>
            <w:right w:val="single" w:sz="2" w:space="0" w:color="CBD5E1"/>
          </w:tcBorders>
        </w:tcPr>
        <w:p>
          <w:pPr>
            <w:spacing w:before="0" w:after="0" w:line="240" w:lineRule="auto"/>
          </w:pPr>
          <w:r>
            <w:rPr>
              <w:rFonts w:ascii="Cambria" w:hAnsi="Cambria"/>
              <w:color w:val="0D0D0D"/>
              <w:sz w:val="18"/>
            </w:rPr>
            <w:t>: 02/Jul/2026 12</w:t>
          </w:r>
        </w:p>
      </w:tc>
      <w:tc>
        <w:tcPr>
          <w:tcW w:type="dxa" w:w="2700"/>
          <w:tcW w:w="1779" w:type="dxa"/>
          <w:tcMar>
            <w:top w:w="40" w:type="dxa"/>
            <w:left w:w="60" w:type="dxa"/>
            <w:bottom w:w="40" w:type="dxa"/>
            <w:right w:w="60" w:type="dxa"/>
          </w:tcMar>
          <w:tcBorders>
            <w:top w:val="single" w:sz="2" w:space="0" w:color="CBD5E1"/>
            <w:left w:val="single" w:sz="2" w:space="0" w:color="CBD5E1"/>
            <w:bottom w:val="single" w:sz="2" w:space="0" w:color="CBD5E1"/>
            <w:right w:val="single" w:sz="2" w:space="0" w:color="CBD5E1"/>
          </w:tcBorders>
        </w:tcPr>
        <w:p>
          <w:pPr>
            <w:spacing w:before="0" w:after="0" w:line="240" w:lineRule="auto"/>
          </w:pPr>
          <w:r>
            <w:rPr>
              <w:rFonts w:ascii="Cambria" w:hAnsi="Cambria"/>
              <w:b/>
              <w:color w:val="1F497D"/>
              <w:sz w:val="18"/>
            </w:rPr>
            <w:t>Sample Type</w:t>
          </w:r>
        </w:p>
      </w:tc>
      <w:tc>
        <w:tcPr>
          <w:tcW w:type="dxa" w:w="2700"/>
          <w:tcW w:w="4062" w:type="dxa"/>
          <w:tcMar>
            <w:top w:w="40" w:type="dxa"/>
            <w:left w:w="60" w:type="dxa"/>
            <w:bottom w:w="40" w:type="dxa"/>
            <w:right w:w="60" w:type="dxa"/>
          </w:tcMar>
          <w:tcBorders>
            <w:top w:val="single" w:sz="2" w:space="0" w:color="CBD5E1"/>
            <w:left w:val="single" w:sz="2" w:space="0" w:color="CBD5E1"/>
            <w:bottom w:val="single" w:sz="2" w:space="0" w:color="CBD5E1"/>
            <w:right w:val="single" w:sz="2" w:space="0" w:color="CBD5E1"/>
          </w:tcBorders>
        </w:tcPr>
        <w:p>
          <w:pPr>
            <w:spacing w:before="0" w:after="0" w:line="240" w:lineRule="auto"/>
          </w:pPr>
          <w:r>
            <w:rPr>
              <w:rFonts w:ascii="Cambria" w:hAnsi="Cambria"/>
              <w:color w:val="0D0D0D"/>
              <w:sz w:val="18"/>
            </w:rPr>
            <w:t>: 10 Unstained Slides from FFPE Block</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png"/><Relationship Id="rId16"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