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mbria" w:hAnsi="Cambria"/>
          <w:b/>
          <w:color w:val="1F497D"/>
          <w:sz w:val="28"/>
        </w:rPr>
        <w:t>Whole exome with Mitochondrial Genome Sequencing</w:t>
      </w:r>
    </w:p>
    <w:p>
      <w:pPr>
        <w:spacing w:before="200" w:after="80"/>
      </w:pPr>
      <w:r>
        <w:rPr>
          <w:rFonts w:ascii="Cambria" w:hAnsi="Cambria"/>
          <w:b/>
          <w:color w:val="1F497D"/>
          <w:sz w:val="22"/>
        </w:rPr>
        <w:t>patient tumor type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KRAS c.35G&gt;T p.Gly12Val/ Exon 2 1537x/ 16.72% Gain-of-Function Tier I:A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TABLE 2: NON DRUGGABLE / DRUGGABLE ALTERATIONS WITH POTENTIAL CLINICAL AND THERAPEUTIC SIGNIFICANCE IN OTHER TUMOR TYPES</w:t>
      </w:r>
    </w:p>
    <w:p>
      <w:pPr>
        <w:spacing w:before="200" w:after="80"/>
      </w:pPr>
      <w:r>
        <w:rPr>
          <w:rFonts w:ascii="Cambria" w:hAnsi="Cambria"/>
          <w:b/>
          <w:color w:val="1F497D"/>
          <w:sz w:val="22"/>
        </w:rPr>
        <w:t>details</w:t>
      </w:r>
    </w:p>
    <w:p>
      <w:pPr>
        <w:spacing w:line="276" w:lineRule="auto" w:after="80"/>
      </w:pPr>
      <w:r>
        <w:rPr>
          <w:rFonts w:ascii="Cambria" w:hAnsi="Cambria"/>
          <w:color w:val="0D0D0D"/>
          <w:sz w:val="20"/>
        </w:rPr>
        <w:t>Amino acid change/ Exon No.</w:t>
      </w:r>
    </w:p>
    <w:p>
      <w:pPr>
        <w:spacing w:before="200" w:after="80"/>
      </w:pPr>
      <w:r>
        <w:rPr>
          <w:rFonts w:ascii="Cambria" w:hAnsi="Cambria"/>
          <w:b/>
          <w:color w:val="1F497D"/>
          <w:sz w:val="22"/>
        </w:rPr>
        <w:t>Gene Finding Gene Finding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BRAF None detected NTRK2 None detected ERBB2 None detected NTRK3 None detected KRAS KRAS G12V PIK3CA None detected NRAS None detected RET None detected NTRK1 None detected</w:t>
      </w:r>
    </w:p>
    <w:p>
      <w:pPr>
        <w:spacing w:before="200" w:after="80"/>
      </w:pPr>
      <w:r>
        <w:rPr>
          <w:rFonts w:ascii="Cambria" w:hAnsi="Cambria"/>
          <w:b/>
          <w:color w:val="1F497D"/>
          <w:sz w:val="22"/>
        </w:rPr>
        <w:t>KRAS G12V</w:t>
      </w:r>
    </w:p>
    <w:p>
      <w:pPr>
        <w:spacing w:line="276" w:lineRule="auto" w:after="80"/>
      </w:pPr>
      <w:r>
        <w:rPr>
          <w:rFonts w:ascii="Cambria" w:hAnsi="Cambria"/>
          <w:color w:val="0D0D0D"/>
          <w:sz w:val="20"/>
        </w:rPr>
        <w:t>Allele Frequency: 16.72%</w:t>
      </w:r>
    </w:p>
    <w:p>
      <w:pPr>
        <w:spacing w:before="200" w:after="80"/>
      </w:pPr>
      <w:r>
        <w:rPr>
          <w:rFonts w:ascii="Cambria" w:hAnsi="Cambria"/>
          <w:b/>
          <w:color w:val="1F497D"/>
          <w:sz w:val="22"/>
        </w:rPr>
        <w:t>bevacizumab + chemotherapy avutometinib + defactinib  1 14</w:t>
      </w:r>
    </w:p>
    <w:p>
      <w:pPr>
        <w:spacing w:line="276" w:lineRule="auto" w:after="80"/>
        <w:ind w:left="360"/>
        <w:jc w:val="both"/>
      </w:pPr>
      <w:r>
        <w:rPr>
          <w:rFonts w:ascii="Cambria" w:hAnsi="Cambria"/>
          <w:color w:val="0D0D0D"/>
          <w:sz w:val="20"/>
        </w:rPr>
        <w:t>* Public data sources included in relevant therapies:  NCCN, ESMO,  FDA 1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 Alerts informed by public data sources:   Contraindicated,      Resistance,      Breakthrough,      Fast Track</w:t>
      </w:r>
    </w:p>
    <w:p>
      <w:pPr>
        <w:spacing w:before="200" w:after="80"/>
      </w:pPr>
      <w:r>
        <w:rPr>
          <w:rFonts w:ascii="Cambria" w:hAnsi="Cambria"/>
          <w:b/>
          <w:color w:val="1F497D"/>
          <w:sz w:val="22"/>
        </w:rPr>
        <w:t>KRAS proto-oncogene, GTPase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Background: The KRAS proto-oncogene encodes a GTPase that functions in signal transduction and is a member of the RAS superfamily which also includes NRAS and HRAS 1 . RAS proteins mediate the transmission of growth signals from the cell surface to the nucleus via the PI3K/AKT/MTOR and RAS/RAF/MEK/ERK pathways, which regulate cell division, differentiation, and survival 2,3,4 . Germline mutations in KRAS lead to several genetic disorders known as RASopathies, including Noonan syndrome, which results in heart and congenital defects, growth inhibition, and facial dysmorphic features 5 . Somatic mutations in KRAS are commonly altered in several cancers including non-small cell lung cancer, pancreatic cancer, and multiple myeloma 5 .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Alterations and prevalence: The majority of KRAS mutations consist of point mutations occurring at G12, G13, and Q61 6,7,8 . Mutations at A59, K117, and A146 have also been observed but are less frequent 9,10 . Somatic mutations in KRAS are observed in 66% of pancreatic adenocarcinoma, 41% of colorectal adenocarcinoma, 30% of lung adenocarcinoma, 19% of uterine corpus endometrial carcinoma, 12% of uterine carcinosarcoma, 9% of stomach adenocarcinoma, 8% of testicular germ cell tumors, 6% of cholangiocarcinoma, 5% of cervical squamous cell carcinoma, acute myeloid leukemia, and diffuse large B-cell lymphoma, 4% of bladder urothelial carcinoma, and 2% of skin cutaneous melanoma and kidney renal papillary cell carcinoma 6,9 . KRAS is amplified in 9% of ovarian serous cystadenocarcinoma and testicular germ cell tumors, 8% of stomach adenocarcinoma , 7% of esophageal adenocarcinoma and uterine carcinosarcoma, 6% of lung adenocarcinoma, 4% of pancreatic adenocarcinoma and bladder urothelial carcinoma, 3% of lung squamous cell carcinoma, and 2% of sarcoma, mesothelioma, brain lower grade glioma, and uterine corpus endometrial carcinoma 6,9 . Alterations in KRAS are also observed in pediatric cancers 9 . Somatic mutations in KRAS are observed in 10% of B-lymphoblastic</w:t>
      </w:r>
    </w:p>
    <w:p>
      <w:pPr>
        <w:spacing w:before="200" w:after="80"/>
      </w:pPr>
      <w:r>
        <w:rPr>
          <w:rFonts w:ascii="Cambria" w:hAnsi="Cambria"/>
          <w:b/>
          <w:color w:val="1F497D"/>
          <w:sz w:val="22"/>
        </w:rPr>
        <w:t>General Content / Notes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Potential relevance: The FDA has approved the small molecule inhibitors, sotorasib 11  (2021) and adagrasib 12  (2022), for the treatment of adult patients with KRAS G12C-mutated locally advanced or metastatic non-small cell lung cancer (NSCLC). Sotorasib and adagrasib are also useful in certain circumstances for KRAS G12C-mutated pancreatic adenocarcinoma 13 . The FDA has approved adagrasib 12  in combination with cetuximab (2024), and sotorasib 11  in combination with panitumumab 14  (2025) for KRAS G12C-mutated colorectal cancer (CRC) after prior fluoropyrimidine-, oxaliplatin-, and irinotecan-based chemotherapy. The EGFR antagonists, cetuximab 15 and panitumumab 14 , are contraindicated for treatment of colorectal cancer patients with KRAS mutations in exon 2 (codons 12 and 13), exon 3 (codons 59 and 61), and exon 4 (codons 117 and 146) 10 . The FDA has approved the combination of kinase inhibitors, avutometinib and defactinib 16  (2025), for the treatment of adult patients with KRAS-mutated recurrent low-grade serous ovarian cancer (LGSOC) after prior systemic therapy. The FDA has granted breakthrough therapy designation (2022) to the KRAS G12C inhibitor, GDC-6036 17 , for KRAS G12C-mutated NSCLC. The KRAS-G12C/NRAS-G12C dual inhibitor, elironrasib 18 , and the KRAS G12C inhibitor, D3S-001 19 , were both granted breakthrough therapy designation (2025) for KRAS G12C-mutated locally advanced or metastatic NSCLC in adults previously treated with chemotherapy and immunotherapy, excluding KRAS G12C inhibitors. The KRAS- G12C inhibitor, olomorasib 20 , was granted breakthrough designation (2025) in combination with pembrolizumab 21  for unresectable advanced or metastatic NSCLC with a KRAS G12C mutation and PD-L1 expression ≥ 50%. The RAF/MEK clamp, avutometinib 22  was also granted fast track designation (2024) in combination with sotorasib for KRAS G12C-mutated metastatic NSCLC in patients who have received at least one prior systemic therapy and have not been previously treated with a KRAS G12C inhibitor. The KRAS G12C inhibitor, BBO-8520 23 , was granted fast track designation in 2025 for previously treated KRAS G12C-mutated patients with metastatic NSCLC. The RAS(ON) G12D-selective inhibitor, zoldonrasib 24 , was granted breakthrough designation (2026) for patients with KRAS G12D-mutated locally advanced or metastatic NSCLC who have been previously treated with anti-PD-1/PD-L1 therapy and platinum-based chemotherapy. The RAS inhibitor, daraxonrasib 25 , was granted breakthrough designation (2025) for previously treated metastatic pancreatic ductal adenocarcinoma (PDAC) with KRAS G12 mutations. The KRAS G12D (ON/OFF) inhibitor, GFH-375 26 , was also granted fast track designation (2025) for first-line and previously treated KRAS G12D-mutated locally advanced or metastatic PDAC. The pan-KRAS inhibitor, BBO-11818 27 , was also granted fast track designation (2026) for adult patients with advanced KRAS- mutant PDAC. The KRAS G12C inhibitor, D3S-001 28 , was granted fast track designation in 2024 for KRAS G12C-mutated patients with advanced unresectable or metastatic CRC. The PLK1 inhibitor, onvansertib 29 , was granted fast track designation (2020) in combination with bevacizumab and FOLFIRI for second-line treatment of patients with KRAS-mutated metastatic CRC. The immuno-oncolytic virus, pelareorep 30 , was also granted fast track designation (2026) in combination with bevacizumab and FOLFIRI for second-line treatment of patients with KRAS-mutated microsatellite-stable metastatic CRC. Additionally, KRAS mutations are associated with poor prognosis in NSCLC 31 . Mutations in the RAS pathway, including KRAS, are ancillary diagnostic markers in pediatric gene fusion-negative rhabdomyosarcoma (RMS) 32 .</w:t>
      </w:r>
    </w:p>
    <w:p>
      <w:pPr>
        <w:spacing w:before="200" w:after="80"/>
      </w:pPr>
      <w:r>
        <w:rPr>
          <w:rFonts w:ascii="Cambria" w:hAnsi="Cambria"/>
          <w:b/>
          <w:color w:val="1F497D"/>
          <w:sz w:val="22"/>
        </w:rPr>
        <w:t>General Content / Notes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NCT07004244 Safety and Efficacy of KRAS Vaccine in the Treatment of KRAS-mutant Malignancies I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NCT07435038 A Phase I/II Clinical Study Evaluating the Safety, Tolerability, Pharmacokinetics, and Efficacy of BPI-572270 Capsules in Patients with RAS-mutant Advanced Solid Tumors.</w:t>
      </w:r>
    </w:p>
    <w:p>
      <w:pPr>
        <w:spacing w:line="276" w:lineRule="auto" w:after="80"/>
      </w:pPr>
      <w:r>
        <w:rPr>
          <w:rFonts w:ascii="Cambria" w:hAnsi="Cambria"/>
          <w:color w:val="0D0D0D"/>
          <w:sz w:val="20"/>
        </w:rPr>
        <w:t>I/II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NCT06895031 A Multi-center, Open-label, Phase I/II Clinical Study to Evaluate the Safety, Tolerability, Pharmacokinetics, and Antitumor Activity of JYP0015 in Advanced Solid Tumors With RAS Mutation</w:t>
      </w:r>
    </w:p>
    <w:p>
      <w:pPr>
        <w:spacing w:line="276" w:lineRule="auto" w:after="80"/>
      </w:pPr>
      <w:r>
        <w:rPr>
          <w:rFonts w:ascii="Cambria" w:hAnsi="Cambria"/>
          <w:color w:val="0D0D0D"/>
          <w:sz w:val="20"/>
        </w:rPr>
        <w:t>I/II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NCT05369312 Phase I Study of BPI-442096 in Advanced Solid Tumor Patients I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NCT06962254 Treatment of Solid Tumors Harboring KRAS Mutation With Imatinib and Trametinib I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NCT05004441 Fruquintinib Combined With mFOLFOX6/FOLFIRI in First-line Treatment for Metastatic Colorectal Cancer:HCCSC C02 Trial</w:t>
      </w:r>
    </w:p>
    <w:p>
      <w:pPr>
        <w:spacing w:line="276" w:lineRule="auto" w:after="80"/>
      </w:pPr>
      <w:r>
        <w:rPr>
          <w:rFonts w:ascii="Cambria" w:hAnsi="Cambria"/>
          <w:color w:val="0D0D0D"/>
          <w:sz w:val="20"/>
        </w:rPr>
        <w:t>II</w:t>
      </w:r>
    </w:p>
    <w:p>
      <w:pPr>
        <w:spacing w:before="200" w:after="80"/>
      </w:pPr>
      <w:r>
        <w:rPr>
          <w:rFonts w:ascii="Cambria" w:hAnsi="Cambria"/>
          <w:b/>
          <w:color w:val="1F497D"/>
          <w:sz w:val="22"/>
        </w:rPr>
        <w:t>General Content / Notes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3. Karnoub et al. Ras oncogenes: split personalities. Nat. Rev. Mol. Cell Biol. 2008 Jul;9(7):517-31. PMID: 18568040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4. Scott et al. Therapeutic Approaches to RAS Mutation. Cancer J. 2016 May-Jun;22(3):165-74. doi: 10.1097/ PPO.0000000000000187. PMID: 27341593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5. Johnson et al. Classification of KRAS-Activating Mutations and the Implications for Therapeutic Intervention. Cancer Discov. 2022 Apr 1;12(4):913-923. PMID: 35373279</w:t>
      </w:r>
    </w:p>
    <w:p>
      <w:pPr>
        <w:spacing w:line="276" w:lineRule="auto" w:after="80"/>
        <w:jc w:val="both"/>
      </w:pPr>
      <w:r>
        <w:rPr>
          <w:rFonts w:ascii="Cambria" w:hAnsi="Cambria"/>
          <w:b/>
          <w:color w:val="ED7D31"/>
          <w:sz w:val="20"/>
        </w:rPr>
        <w:t xml:space="preserve">6. Weinstein et al. The Cancer Genome Atlas Pan-Cancer analysis project. Nat. Genet. 2013 Oct; </w:t>
      </w:r>
      <w:r>
        <w:rPr>
          <w:rFonts w:ascii="Cambria" w:hAnsi="Cambria"/>
          <w:sz w:val="20"/>
        </w:rPr>
        <w:t>45(10):1113-20. PMID: 24071849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7. Román et al. KRAS oncogene in non-small cell lung cancer: clinical perspectives on the treatment of an old target. Mol Cancer. 2018 Feb 19;17(1):33. doi: 10.1186/s12943-018-0789-x. PMID: 29455666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8. Dinu et al. Prognostic significance of KRAS gene mutations in colorectal cancer--preliminary study. J Med Life. 2014 Oct- Dec;7(4):581-7. PMID: 25713627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9. Cerami et al. The cBio cancer genomics portal: an open platform for exploring multidimensional cancer genomics data. Cancer Discov. 2012 May;2(5):401-4. PMID: 22588877</w:t>
      </w:r>
    </w:p>
    <w:p>
      <w:pPr>
        <w:spacing w:line="276" w:lineRule="auto" w:after="80"/>
        <w:jc w:val="both"/>
      </w:pPr>
      <w:r>
        <w:rPr>
          <w:rFonts w:ascii="Cambria" w:hAnsi="Cambria"/>
          <w:b/>
          <w:color w:val="ED7D31"/>
          <w:sz w:val="20"/>
        </w:rPr>
        <w:t xml:space="preserve">10. Allegra et al. Extended RAS Gene Mutation Testing in Metastatic Colorectal Carcinoma to Predict Response to Anti-Epidermal Growth Factor Receptor Monoclonal Antibody Therapy: American Society of Clinical Oncology Provisional Clinical Opinion Update 2015. J. Clin. Oncol. 2016 Jan 10; </w:t>
      </w:r>
      <w:r>
        <w:rPr>
          <w:rFonts w:ascii="Cambria" w:hAnsi="Cambria"/>
          <w:sz w:val="20"/>
        </w:rPr>
        <w:t>34(2):179-85. PMID: 26438111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11. https://www.accessdata.fda.gov/drugsatfda_docs/label/2025/214665Orig1s009correctedlbl.pdf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12. https://www.accessdata.fda.gov/drugsatfda_docs/label/2026/216340s009lbl.pdf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13. NCCN Guidelines® - NCCN-Pancreatic Adenocarcinoma [Version 2.2026]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14. https://www.accessdata.fda.gov/drugsatfda_docs/label/2025/125147s213lbl.pdf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15. https://www.accessdata.fda.gov/drugsatfda_docs/label/2021/125084s279lbl.pdf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16. https://www.accessdata.fda.gov/drugsatfda_docs/label/2025/219616s000lbl.pdf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17. https://assets.cwp.roche.com/f/126832/x/5738a7538b/irp230202.pdf</w:t>
      </w:r>
    </w:p>
    <w:p>
      <w:pPr>
        <w:spacing w:line="276" w:lineRule="auto" w:after="80"/>
      </w:pPr>
      <w:r>
        <w:rPr>
          <w:rFonts w:ascii="Cambria" w:hAnsi="Cambria"/>
          <w:color w:val="0D0D0D"/>
          <w:sz w:val="20"/>
        </w:rPr>
        <w:t>18. https://ir.revmed.com/node/11881/pdf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19. https://www.prnewswire.com/news-releases/d3-bio-inc-announces-fda-breakthrough-therapy-designation-and-orphan-drug- designation-for-d3s-001-for-the-treatment-of-patients-with-kras-g12c-mutated-cancers-302540808.html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20. https://www.prnewswire.com/news-releases/lillys-olomorasib-receives-us-fdas-breakthrough-therapy-designation-for-the- treatment-of-certain-newly-diagnosed-metastatic-kras-g12c-mutant-lung-cancers-302545643.html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21. https://www.accessdata.fda.gov/drugsatfda_docs/label/2026/125514s190lbl.pdf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22. https://investor.verastem.com/news-releases/news-release-details/verastem-oncology-granted-fast-track-designation- combination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23. https://www.businesswire.com/news/home/20250109170439/en/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24. https://ir.revmed.com/news-releases/news-release-details/revolution-medicines-announces-fda-breakthrough-therapy-1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25. https://ir.revmed.com/news-releases/news-release-details/revolution-medicines-announces-fda-breakthrough-therapy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26. https://investor.verastem.com/news-releases/news-release-details/verastem-oncology-granted-fast-track-designation-vs-7375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27. https://www.targetedonc.com/view/fda-grants-fast-track-designation-to-bbo-11818-in-kras-mutant-pdac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28. https://www.d3bio.com/press-releases/d3-bios-d3s-001-receives-u-s-fda-fast-track-designation-for-the-treatment-of-colorectal- cancer-with-kras-g12c-mutation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29. https://cardiffoncology.com/wp-content/uploads/2021/07/Cardiff_Oncology_Investor_Presentation-_July_2021.pdf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30. https://oncolyticsbiotech.com/press_releases/oncolytics-biotech-receives-fda-fast-track-designation-for-pelareorep-in-2l-kras- mutant-mss-metastatic-colorectal-cancer/</w:t>
      </w:r>
    </w:p>
    <w:p>
      <w:pPr>
        <w:spacing w:line="276" w:lineRule="auto" w:after="80"/>
        <w:jc w:val="both"/>
      </w:pPr>
      <w:r>
        <w:rPr>
          <w:rFonts w:ascii="Cambria" w:hAnsi="Cambria"/>
          <w:color w:val="0D0D0D"/>
          <w:sz w:val="20"/>
        </w:rPr>
        <w:t>31. Slebos et al. K-ras oncogene activation as a prognostic marker in adenocarcinoma of the lung. N. Engl. J. Med. 1990 Aug 30;323(9):561-5. PMID: 2199829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5"/>
        <w:gridCol w:w="1875"/>
        <w:gridCol w:w="1875"/>
        <w:gridCol w:w="1875"/>
        <w:gridCol w:w="1875"/>
        <w:gridCol w:w="1875"/>
      </w:tblGrid>
      <w:tr>
        <w:tc>
          <w:tcPr>
            <w:tcW w:type="dxa" w:w="1875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Gene</w:t>
            </w:r>
          </w:p>
        </w:tc>
        <w:tc>
          <w:tcPr>
            <w:tcW w:type="dxa" w:w="1875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CDS variant details</w:t>
            </w:r>
          </w:p>
        </w:tc>
        <w:tc>
          <w:tcPr>
            <w:tcW w:type="dxa" w:w="1875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Amino acid change/ Exon No.</w:t>
            </w:r>
          </w:p>
        </w:tc>
        <w:tc>
          <w:tcPr>
            <w:tcW w:type="dxa" w:w="1875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Overall depth/ Mutant Allele Percentage</w:t>
            </w:r>
          </w:p>
        </w:tc>
        <w:tc>
          <w:tcPr>
            <w:tcW w:type="dxa" w:w="1875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Function of the gene in cancer</w:t>
            </w:r>
          </w:p>
        </w:tc>
        <w:tc>
          <w:tcPr>
            <w:tcW w:type="dxa" w:w="1875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Variant Classification and its relevance in other tumor type</w:t>
            </w:r>
          </w:p>
        </w:tc>
      </w:tr>
      <w:tr>
        <w:tc>
          <w:tcPr>
            <w:tcW w:type="dxa" w:w="1875"/>
            <w:shd w:fill="DAEDF3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mbria" w:hAnsi="Cambria"/>
                <w:color w:val="232729"/>
                <w:sz w:val="18"/>
              </w:rPr>
              <w:t>None</w:t>
            </w:r>
          </w:p>
        </w:tc>
        <w:tc>
          <w:tcPr>
            <w:tcW w:type="dxa" w:w="1875"/>
            <w:shd w:fill="DAEDF3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mbria" w:hAnsi="Cambria"/>
                <w:color w:val="232729"/>
                <w:sz w:val="18"/>
              </w:rPr>
            </w:r>
          </w:p>
        </w:tc>
        <w:tc>
          <w:tcPr>
            <w:tcW w:type="dxa" w:w="1875"/>
            <w:shd w:fill="DAEDF3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mbria" w:hAnsi="Cambria"/>
                <w:color w:val="232729"/>
                <w:sz w:val="18"/>
              </w:rPr>
            </w:r>
          </w:p>
        </w:tc>
        <w:tc>
          <w:tcPr>
            <w:tcW w:type="dxa" w:w="1875"/>
            <w:shd w:fill="DAEDF3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mbria" w:hAnsi="Cambria"/>
                <w:color w:val="232729"/>
                <w:sz w:val="18"/>
              </w:rPr>
            </w:r>
          </w:p>
        </w:tc>
        <w:tc>
          <w:tcPr>
            <w:tcW w:type="dxa" w:w="1875"/>
            <w:shd w:fill="DAEDF3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mbria" w:hAnsi="Cambria"/>
                <w:color w:val="232729"/>
                <w:sz w:val="18"/>
              </w:rPr>
            </w:r>
          </w:p>
        </w:tc>
        <w:tc>
          <w:tcPr>
            <w:tcW w:type="dxa" w:w="1875"/>
            <w:shd w:fill="DAEDF3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mbria" w:hAnsi="Cambria"/>
                <w:color w:val="232729"/>
                <w:sz w:val="18"/>
              </w:rPr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7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78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78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78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78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789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789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78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789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89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0"/>
        <w:gridCol w:w="3750"/>
        <w:gridCol w:w="3750"/>
      </w:tblGrid>
      <w:tr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77176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717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77176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717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76483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64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Prepared / Verified By</w:t>
            </w:r>
          </w:p>
        </w:tc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Reviewing Officer</w:t>
            </w:r>
          </w:p>
        </w:tc>
        <w:tc>
          <w:tcPr>
            <w:tcW w:type="dxa" w:w="37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Authorized Signatory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1F497D"/>
          <w:sz w:val="20"/>
        </w:rPr>
        <w:br/>
        <w:t>------------------ End Of Report ------------------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2080" w:right="425" w:bottom="2780" w:left="566" w:header="1152" w:footer="259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MT" w:hAnsi="Arial MT"/>
        <w:sz w:val="16"/>
      </w:rPr>
      <w:tab/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Arial MT" w:hAnsi="Arial MT"/>
        <w:sz w:val="16"/>
      </w:rPr>
      <w:t xml:space="preserve"> of </w:t>
      <w:fldChar w:fldCharType="begin"/>
      <w:instrText xml:space="preserve"> NUMPAGES </w:instrText>
      <w:fldChar w:fldCharType="separate"/>
      <w:fldChar w:fldCharType="end"/>
    </w:r>
    <w:r>
      <w:rPr>
        <w:rFonts w:ascii="Arial MT" w:hAnsi="Arial MT"/>
        <w:sz w:val="16"/>
      </w:rP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</w:pPr>
    <w:r>
      <w:drawing>
        <wp:inline xmlns:a="http://schemas.openxmlformats.org/drawingml/2006/main" xmlns:pic="http://schemas.openxmlformats.org/drawingml/2006/picture">
          <wp:extent cx="6858000" cy="829128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8291286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700"/>
      <w:gridCol w:w="2700"/>
      <w:gridCol w:w="2700"/>
      <w:gridCol w:w="2700"/>
    </w:tblGrid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Name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MasterRUDRANSH GARG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Centre Details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:VIVEK KALRA2219</w:t>
          </w:r>
        </w:p>
      </w:tc>
    </w:tr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Age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10 Mon 26 Days</w:t>
            <w:tab/>
            <w:t>Sex: Male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Accession.ID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:SDL2603090101</w:t>
          </w:r>
        </w:p>
      </w:tc>
    </w:tr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Collection Date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09/Mar/2026 08:21PM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Referred By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:DR VEENA KALRA</w:t>
          </w:r>
        </w:p>
      </w:tc>
    </w:tr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Received Date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10/Mar/2026 02:08PM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Report Date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:15/APR/2026 03:41PM</w:t>
          </w:r>
        </w:p>
      </w:tc>
    </w:tr>
    <w:tr>
      <w:tc>
        <w:tcPr>
          <w:tcW w:type="dxa" w:w="2700"/>
          <w:tcW w:w="1744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Registration Date</w:t>
          </w:r>
        </w:p>
      </w:tc>
      <w:tc>
        <w:tcPr>
          <w:tcW w:type="dxa" w:w="2700"/>
          <w:tcW w:w="3215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09/Mar/2026 08:21PM</w:t>
          </w:r>
        </w:p>
      </w:tc>
      <w:tc>
        <w:tcPr>
          <w:tcW w:type="dxa" w:w="2700"/>
          <w:tcW w:w="1779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Sample Type</w:t>
          </w:r>
        </w:p>
      </w:tc>
      <w:tc>
        <w:tcPr>
          <w:tcW w:type="dxa" w:w="2700"/>
          <w:tcW w:w="4062" w:type="dxa"/>
          <w:tcMar>
            <w:top w:w="40" w:type="dxa"/>
            <w:left w:w="60" w:type="dxa"/>
            <w:bottom w:w="40" w:type="dxa"/>
            <w:right w:w="6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D0D0D"/>
              <w:sz w:val="18"/>
            </w:rPr>
            <w:t>: Colon Cancer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