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tcW w:w="10800" w:type="dxa"/>
            <w:shd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/>
                <w:b/>
                <w:color w:val="FFFFFF"/>
                <w:sz w:val="20"/>
              </w:rPr>
              <w:t>CLINICAL INTERPRETATION</w:t>
            </w:r>
          </w:p>
        </w:tc>
      </w:tr>
    </w:tbl>
    <w:p>
      <w:pPr>
        <w:spacing w:before="0" w:after="40" w:line="252" w:lineRule="auto"/>
        <w:jc w:val="left"/>
      </w:pPr>
      <w:r>
        <w:rPr>
          <w:rFonts w:ascii="Cambria" w:hAnsi="Cambria"/>
          <w:b/>
          <w:color w:val="1F497D"/>
          <w:sz w:val="20"/>
        </w:rPr>
        <w:t xml:space="preserve">Final conclusion: </w:t>
      </w:r>
      <w:r>
        <w:rPr>
          <w:rFonts w:ascii="Cambria" w:hAnsi="Cambria"/>
          <w:color w:val="000000"/>
          <w:sz w:val="20"/>
        </w:rPr>
        <w:t>The patient is found to have L248V mutation.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  <w:tcW w:w="3600" w:type="dxa"/>
            <w:tcMar>
              <w:top w:w="15" w:type="dxa"/>
              <w:left w:w="30" w:type="dxa"/>
              <w:bottom w:w="15" w:type="dxa"/>
              <w:right w:w="30" w:type="dxa"/>
            </w:tcMar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0" w:after="0"/>
            </w:pPr>
            <w:r>
              <w:rPr>
                <w:rFonts w:ascii="Cambria" w:hAnsi="Cambria"/>
                <w:b/>
                <w:color w:val="1F497D"/>
                <w:sz w:val="20"/>
              </w:rPr>
              <w:t>Gene</w:t>
            </w:r>
          </w:p>
        </w:tc>
        <w:tc>
          <w:tcPr>
            <w:tcW w:type="dxa" w:w="5400"/>
            <w:tcW w:w="7200" w:type="dxa"/>
            <w:tcMar>
              <w:top w:w="15" w:type="dxa"/>
              <w:left w:w="30" w:type="dxa"/>
              <w:bottom w:w="15" w:type="dxa"/>
              <w:right w:w="30" w:type="dxa"/>
            </w:tcMar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0" w:after="0"/>
            </w:pPr>
            <w:r>
              <w:rPr>
                <w:rFonts w:ascii="Cambria" w:hAnsi="Cambria"/>
                <w:color w:val="000000"/>
                <w:sz w:val="20"/>
              </w:rPr>
              <w:t>: BRCA1</w:t>
            </w:r>
          </w:p>
        </w:tc>
      </w:tr>
      <w:tr>
        <w:tc>
          <w:tcPr>
            <w:tcW w:type="dxa" w:w="5400"/>
            <w:tcW w:w="3600" w:type="dxa"/>
            <w:tcMar>
              <w:top w:w="15" w:type="dxa"/>
              <w:left w:w="30" w:type="dxa"/>
              <w:bottom w:w="15" w:type="dxa"/>
              <w:right w:w="30" w:type="dxa"/>
            </w:tcMar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0" w:after="0"/>
            </w:pPr>
            <w:r>
              <w:rPr>
                <w:rFonts w:ascii="Cambria" w:hAnsi="Cambria"/>
                <w:b/>
                <w:color w:val="1F497D"/>
                <w:sz w:val="20"/>
              </w:rPr>
              <w:t>Variant</w:t>
            </w:r>
          </w:p>
        </w:tc>
        <w:tc>
          <w:tcPr>
            <w:tcW w:type="dxa" w:w="5400"/>
            <w:tcW w:w="7200" w:type="dxa"/>
            <w:tcMar>
              <w:top w:w="15" w:type="dxa"/>
              <w:left w:w="30" w:type="dxa"/>
              <w:bottom w:w="15" w:type="dxa"/>
              <w:right w:w="30" w:type="dxa"/>
            </w:tcMar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0" w:after="0"/>
            </w:pPr>
            <w:r>
              <w:rPr>
                <w:rFonts w:ascii="Cambria" w:hAnsi="Cambria"/>
                <w:color w:val="000000"/>
                <w:sz w:val="20"/>
              </w:rPr>
              <w:t>: c.123A&gt;T</w:t>
            </w:r>
          </w:p>
        </w:tc>
      </w:tr>
      <w:tr>
        <w:tc>
          <w:tcPr>
            <w:tcW w:type="dxa" w:w="5400"/>
            <w:tcW w:w="3600" w:type="dxa"/>
            <w:tcMar>
              <w:top w:w="15" w:type="dxa"/>
              <w:left w:w="30" w:type="dxa"/>
              <w:bottom w:w="15" w:type="dxa"/>
              <w:right w:w="30" w:type="dxa"/>
            </w:tcMar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0" w:after="0"/>
            </w:pPr>
            <w:r>
              <w:rPr>
                <w:rFonts w:ascii="Cambria" w:hAnsi="Cambria"/>
                <w:b/>
                <w:color w:val="1F497D"/>
                <w:sz w:val="20"/>
              </w:rPr>
              <w:t>Zygosity</w:t>
            </w:r>
          </w:p>
        </w:tc>
        <w:tc>
          <w:tcPr>
            <w:tcW w:type="dxa" w:w="5400"/>
            <w:tcW w:w="7200" w:type="dxa"/>
            <w:tcMar>
              <w:top w:w="15" w:type="dxa"/>
              <w:left w:w="30" w:type="dxa"/>
              <w:bottom w:w="15" w:type="dxa"/>
              <w:right w:w="30" w:type="dxa"/>
            </w:tcMar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0" w:after="0"/>
            </w:pPr>
            <w:r>
              <w:rPr>
                <w:rFonts w:ascii="Cambria" w:hAnsi="Cambria"/>
                <w:color w:val="000000"/>
                <w:sz w:val="20"/>
              </w:rPr>
              <w:t>: Heterozygous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rPr>
          <w:tblHeader/>
        </w:trPr>
        <w:tc>
          <w:tcPr>
            <w:tcW w:type="dxa" w:w="2160"/>
            <w:shd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/>
                <w:b/>
                <w:color w:val="FFFFFF"/>
                <w:sz w:val="19"/>
              </w:rPr>
              <w:t>Sr. No.</w:t>
            </w:r>
          </w:p>
        </w:tc>
        <w:tc>
          <w:tcPr>
            <w:tcW w:type="dxa" w:w="2160"/>
            <w:shd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/>
                <w:b/>
                <w:color w:val="FFFFFF"/>
                <w:sz w:val="19"/>
              </w:rPr>
              <w:t>Gene</w:t>
            </w:r>
          </w:p>
        </w:tc>
        <w:tc>
          <w:tcPr>
            <w:tcW w:type="dxa" w:w="2160"/>
            <w:shd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/>
                <w:b/>
                <w:color w:val="FFFFFF"/>
                <w:sz w:val="19"/>
              </w:rPr>
              <w:t>Variant</w:t>
            </w:r>
          </w:p>
        </w:tc>
        <w:tc>
          <w:tcPr>
            <w:tcW w:type="dxa" w:w="2160"/>
            <w:shd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/>
                <w:b/>
                <w:color w:val="FFFFFF"/>
                <w:sz w:val="19"/>
              </w:rPr>
              <w:t>Zygosity</w:t>
            </w:r>
          </w:p>
        </w:tc>
        <w:tc>
          <w:tcPr>
            <w:tcW w:type="dxa" w:w="2160"/>
            <w:shd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/>
                <w:b/>
                <w:color w:val="FFFFFF"/>
                <w:sz w:val="19"/>
              </w:rPr>
              <w:t>Clinical Significance</w:t>
            </w:r>
          </w:p>
        </w:tc>
      </w:tr>
      <w:tr>
        <w:trPr>
          <w:cantSplit/>
        </w:trPr>
        <w:tc>
          <w:tcPr>
            <w:tcW w:type="dxa" w:w="2160"/>
            <w:shd w:fill="f8fafc"/>
            <w:tcBorders>
              <w:top w:val="single" w:sz="2" w:space="0" w:color="1f497d"/>
              <w:left w:val="single" w:sz="2" w:space="0" w:color="1f497d"/>
              <w:bottom w:val="single" w:sz="2" w:space="0" w:color="1f497d"/>
              <w:right w:val="single" w:sz="2" w:space="0" w:color="1f497d"/>
            </w:tcBorders>
            <w:tcMar>
              <w:top w:w="15" w:type="dxa"/>
              <w:left w:w="30" w:type="dxa"/>
              <w:bottom w:w="15" w:type="dxa"/>
              <w:right w:w="3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/>
                <w:color w:val="000000"/>
                <w:sz w:val="18"/>
              </w:rPr>
              <w:t>1</w:t>
            </w:r>
          </w:p>
        </w:tc>
        <w:tc>
          <w:tcPr>
            <w:tcW w:type="dxa" w:w="2160"/>
            <w:shd w:fill="f8fafc"/>
            <w:tcBorders>
              <w:top w:val="single" w:sz="2" w:space="0" w:color="1f497d"/>
              <w:left w:val="single" w:sz="2" w:space="0" w:color="1f497d"/>
              <w:bottom w:val="single" w:sz="2" w:space="0" w:color="1f497d"/>
              <w:right w:val="single" w:sz="2" w:space="0" w:color="1f497d"/>
            </w:tcBorders>
            <w:tcMar>
              <w:top w:w="15" w:type="dxa"/>
              <w:left w:w="30" w:type="dxa"/>
              <w:bottom w:w="15" w:type="dxa"/>
              <w:right w:w="3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/>
                <w:color w:val="000000"/>
                <w:sz w:val="18"/>
              </w:rPr>
              <w:t>BRCA1</w:t>
            </w:r>
          </w:p>
        </w:tc>
        <w:tc>
          <w:tcPr>
            <w:tcW w:type="dxa" w:w="2160"/>
            <w:shd w:fill="f8fafc"/>
            <w:tcBorders>
              <w:top w:val="single" w:sz="2" w:space="0" w:color="1f497d"/>
              <w:left w:val="single" w:sz="2" w:space="0" w:color="1f497d"/>
              <w:bottom w:val="single" w:sz="2" w:space="0" w:color="1f497d"/>
              <w:right w:val="single" w:sz="2" w:space="0" w:color="1f497d"/>
            </w:tcBorders>
            <w:tcMar>
              <w:top w:w="15" w:type="dxa"/>
              <w:left w:w="30" w:type="dxa"/>
              <w:bottom w:w="15" w:type="dxa"/>
              <w:right w:w="3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/>
                <w:color w:val="000000"/>
                <w:sz w:val="18"/>
              </w:rPr>
              <w:t>c.123A&gt;T</w:t>
            </w:r>
          </w:p>
        </w:tc>
        <w:tc>
          <w:tcPr>
            <w:tcW w:type="dxa" w:w="2160"/>
            <w:shd w:fill="f8fafc"/>
            <w:tcBorders>
              <w:top w:val="single" w:sz="2" w:space="0" w:color="1f497d"/>
              <w:left w:val="single" w:sz="2" w:space="0" w:color="1f497d"/>
              <w:bottom w:val="single" w:sz="2" w:space="0" w:color="1f497d"/>
              <w:right w:val="single" w:sz="2" w:space="0" w:color="1f497d"/>
            </w:tcBorders>
            <w:tcMar>
              <w:top w:w="15" w:type="dxa"/>
              <w:left w:w="30" w:type="dxa"/>
              <w:bottom w:w="15" w:type="dxa"/>
              <w:right w:w="3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/>
                <w:color w:val="000000"/>
                <w:sz w:val="18"/>
              </w:rPr>
              <w:t>Heterozygous</w:t>
            </w:r>
          </w:p>
        </w:tc>
        <w:tc>
          <w:tcPr>
            <w:tcW w:type="dxa" w:w="2160"/>
            <w:shd w:fill="f8fafc"/>
            <w:tcBorders>
              <w:top w:val="single" w:sz="2" w:space="0" w:color="1f497d"/>
              <w:left w:val="single" w:sz="2" w:space="0" w:color="1f497d"/>
              <w:bottom w:val="single" w:sz="2" w:space="0" w:color="1f497d"/>
              <w:right w:val="single" w:sz="2" w:space="0" w:color="1f497d"/>
            </w:tcBorders>
            <w:tcMar>
              <w:top w:w="15" w:type="dxa"/>
              <w:left w:w="30" w:type="dxa"/>
              <w:bottom w:w="15" w:type="dxa"/>
              <w:right w:w="3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/>
                <w:color w:val="000000"/>
                <w:sz w:val="18"/>
              </w:rPr>
              <w:t>Pathogenic</w:t>
            </w:r>
          </w:p>
        </w:tc>
      </w:tr>
      <w:tr>
        <w:trPr>
          <w:cantSplit/>
        </w:trPr>
        <w:tc>
          <w:tcPr>
            <w:tcW w:type="dxa" w:w="2160"/>
            <w:shd w:fill="FFFFFF"/>
            <w:tcBorders>
              <w:top w:val="single" w:sz="2" w:space="0" w:color="1f497d"/>
              <w:left w:val="single" w:sz="2" w:space="0" w:color="1f497d"/>
              <w:bottom w:val="single" w:sz="2" w:space="0" w:color="1f497d"/>
              <w:right w:val="single" w:sz="2" w:space="0" w:color="1f497d"/>
            </w:tcBorders>
            <w:tcMar>
              <w:top w:w="15" w:type="dxa"/>
              <w:left w:w="30" w:type="dxa"/>
              <w:bottom w:w="15" w:type="dxa"/>
              <w:right w:w="3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/>
                <w:color w:val="000000"/>
                <w:sz w:val="18"/>
              </w:rPr>
              <w:t>2</w:t>
            </w:r>
          </w:p>
        </w:tc>
        <w:tc>
          <w:tcPr>
            <w:tcW w:type="dxa" w:w="2160"/>
            <w:shd w:fill="FFFFFF"/>
            <w:tcBorders>
              <w:top w:val="single" w:sz="2" w:space="0" w:color="1f497d"/>
              <w:left w:val="single" w:sz="2" w:space="0" w:color="1f497d"/>
              <w:bottom w:val="single" w:sz="2" w:space="0" w:color="1f497d"/>
              <w:right w:val="single" w:sz="2" w:space="0" w:color="1f497d"/>
            </w:tcBorders>
            <w:tcMar>
              <w:top w:w="15" w:type="dxa"/>
              <w:left w:w="30" w:type="dxa"/>
              <w:bottom w:w="15" w:type="dxa"/>
              <w:right w:w="3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/>
                <w:color w:val="000000"/>
                <w:sz w:val="18"/>
              </w:rPr>
              <w:t>TP53</w:t>
            </w:r>
          </w:p>
        </w:tc>
        <w:tc>
          <w:tcPr>
            <w:tcW w:type="dxa" w:w="2160"/>
            <w:shd w:fill="FFFFFF"/>
            <w:tcBorders>
              <w:top w:val="single" w:sz="2" w:space="0" w:color="1f497d"/>
              <w:left w:val="single" w:sz="2" w:space="0" w:color="1f497d"/>
              <w:bottom w:val="single" w:sz="2" w:space="0" w:color="1f497d"/>
              <w:right w:val="single" w:sz="2" w:space="0" w:color="1f497d"/>
            </w:tcBorders>
            <w:tcMar>
              <w:top w:w="15" w:type="dxa"/>
              <w:left w:w="30" w:type="dxa"/>
              <w:bottom w:w="15" w:type="dxa"/>
              <w:right w:w="3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/>
                <w:color w:val="000000"/>
                <w:sz w:val="18"/>
              </w:rPr>
              <w:t>c.456C&gt;G</w:t>
            </w:r>
          </w:p>
        </w:tc>
        <w:tc>
          <w:tcPr>
            <w:tcW w:type="dxa" w:w="2160"/>
            <w:shd w:fill="FFFFFF"/>
            <w:tcBorders>
              <w:top w:val="single" w:sz="2" w:space="0" w:color="1f497d"/>
              <w:left w:val="single" w:sz="2" w:space="0" w:color="1f497d"/>
              <w:bottom w:val="single" w:sz="2" w:space="0" w:color="1f497d"/>
              <w:right w:val="single" w:sz="2" w:space="0" w:color="1f497d"/>
            </w:tcBorders>
            <w:tcMar>
              <w:top w:w="15" w:type="dxa"/>
              <w:left w:w="30" w:type="dxa"/>
              <w:bottom w:w="15" w:type="dxa"/>
              <w:right w:w="3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/>
                <w:color w:val="000000"/>
                <w:sz w:val="18"/>
              </w:rPr>
              <w:t>Heterozygous</w:t>
            </w:r>
          </w:p>
        </w:tc>
        <w:tc>
          <w:tcPr>
            <w:tcW w:type="dxa" w:w="2160"/>
            <w:shd w:fill="FFFFFF"/>
            <w:tcBorders>
              <w:top w:val="single" w:sz="2" w:space="0" w:color="1f497d"/>
              <w:left w:val="single" w:sz="2" w:space="0" w:color="1f497d"/>
              <w:bottom w:val="single" w:sz="2" w:space="0" w:color="1f497d"/>
              <w:right w:val="single" w:sz="2" w:space="0" w:color="1f497d"/>
            </w:tcBorders>
            <w:tcMar>
              <w:top w:w="15" w:type="dxa"/>
              <w:left w:w="30" w:type="dxa"/>
              <w:bottom w:w="15" w:type="dxa"/>
              <w:right w:w="3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/>
                <w:color w:val="000000"/>
                <w:sz w:val="18"/>
              </w:rPr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/>
        </w:trPr>
        <w:tc>
          <w:tcPr>
            <w:tcW w:type="dxa" w:w="3600"/>
            <w:shd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/>
                <w:b/>
                <w:color w:val="FFFFFF"/>
                <w:sz w:val="19"/>
              </w:rPr>
              <w:t>Header 1 Promoted</w:t>
            </w:r>
          </w:p>
        </w:tc>
        <w:tc>
          <w:tcPr>
            <w:tcW w:type="dxa" w:w="3600"/>
            <w:shd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/>
                <w:b/>
                <w:color w:val="FFFFFF"/>
                <w:sz w:val="19"/>
              </w:rPr>
              <w:t>Header 2 Promoted</w:t>
            </w:r>
          </w:p>
        </w:tc>
        <w:tc>
          <w:tcPr>
            <w:tcW w:type="dxa" w:w="3600"/>
            <w:shd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/>
                <w:b/>
                <w:color w:val="FFFFFF"/>
                <w:sz w:val="19"/>
              </w:rPr>
              <w:t>Header 3 Promoted</w:t>
            </w:r>
          </w:p>
        </w:tc>
      </w:tr>
      <w:tr>
        <w:trPr>
          <w:cantSplit/>
        </w:trPr>
        <w:tc>
          <w:tcPr>
            <w:tcW w:type="dxa" w:w="3600"/>
            <w:shd w:fill="f8fafc"/>
            <w:tcBorders>
              <w:top w:val="single" w:sz="2" w:space="0" w:color="1f497d"/>
              <w:left w:val="single" w:sz="2" w:space="0" w:color="1f497d"/>
              <w:bottom w:val="single" w:sz="2" w:space="0" w:color="1f497d"/>
              <w:right w:val="single" w:sz="2" w:space="0" w:color="1f497d"/>
            </w:tcBorders>
            <w:tcMar>
              <w:top w:w="15" w:type="dxa"/>
              <w:left w:w="30" w:type="dxa"/>
              <w:bottom w:w="15" w:type="dxa"/>
              <w:right w:w="3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/>
                <w:color w:val="000000"/>
                <w:sz w:val="18"/>
              </w:rPr>
              <w:t>Val 1</w:t>
            </w:r>
          </w:p>
        </w:tc>
        <w:tc>
          <w:tcPr>
            <w:tcW w:type="dxa" w:w="3600"/>
            <w:shd w:fill="f8fafc"/>
            <w:tcBorders>
              <w:top w:val="single" w:sz="2" w:space="0" w:color="1f497d"/>
              <w:left w:val="single" w:sz="2" w:space="0" w:color="1f497d"/>
              <w:bottom w:val="single" w:sz="2" w:space="0" w:color="1f497d"/>
              <w:right w:val="single" w:sz="2" w:space="0" w:color="1f497d"/>
            </w:tcBorders>
            <w:tcMar>
              <w:top w:w="15" w:type="dxa"/>
              <w:left w:w="30" w:type="dxa"/>
              <w:bottom w:w="15" w:type="dxa"/>
              <w:right w:w="3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/>
                <w:color w:val="000000"/>
                <w:sz w:val="18"/>
              </w:rPr>
              <w:t>Val 2</w:t>
            </w:r>
          </w:p>
        </w:tc>
        <w:tc>
          <w:tcPr>
            <w:tcW w:type="dxa" w:w="3600"/>
            <w:shd w:fill="f8fafc"/>
            <w:tcBorders>
              <w:top w:val="single" w:sz="2" w:space="0" w:color="1f497d"/>
              <w:left w:val="single" w:sz="2" w:space="0" w:color="1f497d"/>
              <w:bottom w:val="single" w:sz="2" w:space="0" w:color="1f497d"/>
              <w:right w:val="single" w:sz="2" w:space="0" w:color="1f497d"/>
            </w:tcBorders>
            <w:tcMar>
              <w:top w:w="15" w:type="dxa"/>
              <w:left w:w="30" w:type="dxa"/>
              <w:bottom w:w="15" w:type="dxa"/>
              <w:right w:w="3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/>
                <w:color w:val="000000"/>
                <w:sz w:val="18"/>
              </w:rPr>
              <w:t>Val 3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tcW w:w="10800" w:type="dxa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>
            <w:pPr>
              <w:spacing w:before="0" w:after="40"/>
            </w:pPr>
            <w:r>
              <w:rPr>
                <w:rFonts w:ascii="Cambria" w:hAnsi="Cambria"/>
                <w:b/>
                <w:color w:val="1F497D"/>
                <w:sz w:val="20"/>
              </w:rPr>
              <w:t>Method &amp; References</w:t>
            </w:r>
          </w:p>
          <w:p>
            <w:pPr>
              <w:spacing w:before="0" w:after="40" w:line="252" w:lineRule="auto"/>
              <w:jc w:val="left"/>
            </w:pPr>
            <w:r>
              <w:rPr>
                <w:rFonts w:ascii="Cambria" w:hAnsi="Cambria"/>
                <w:color w:val="000000"/>
                <w:sz w:val="20"/>
              </w:rPr>
              <w:t>Whole exome sequencing performed on Illumina platform.</w:t>
            </w:r>
          </w:p>
          <w:p>
            <w:pPr>
              <w:spacing w:before="0" w:after="40" w:line="252" w:lineRule="auto"/>
              <w:jc w:val="left"/>
            </w:pPr>
            <w:r>
              <w:rPr>
                <w:rFonts w:ascii="Cambria" w:hAnsi="Cambria"/>
                <w:b/>
                <w:color w:val="1F497D"/>
                <w:sz w:val="20"/>
              </w:rPr>
              <w:t xml:space="preserve">Note: </w:t>
            </w:r>
            <w:r>
              <w:rPr>
                <w:rFonts w:ascii="Cambria" w:hAnsi="Cambria"/>
                <w:color w:val="000000"/>
                <w:sz w:val="20"/>
              </w:rPr>
              <w:t>Standard alignment against GRCh38 human reference genome.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mbria" w:hAnsi="Cambria"/>
                <w:color w:val="94A3B8"/>
                <w:sz w:val="17"/>
              </w:rPr>
              <w:t>_______________________</w:t>
              <w:br/>
              <w:t>(Signature / Stamp)</w:t>
            </w:r>
          </w:p>
        </w:tc>
        <w:tc>
          <w:tcPr>
            <w:tcW w:type="dxa" w:w="360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mbria" w:hAnsi="Cambria"/>
                <w:color w:val="94A3B8"/>
                <w:sz w:val="17"/>
              </w:rPr>
              <w:t>_______________________</w:t>
              <w:br/>
              <w:t>(Signature / Stamp)</w:t>
            </w:r>
          </w:p>
        </w:tc>
        <w:tc>
          <w:tcPr>
            <w:tcW w:type="dxa" w:w="360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mbria" w:hAnsi="Cambria"/>
                <w:color w:val="94A3B8"/>
                <w:sz w:val="17"/>
              </w:rPr>
              <w:t>_______________________</w:t>
              <w:br/>
              <w:t>(Signature / Stamp)</w:t>
            </w:r>
          </w:p>
        </w:tc>
      </w:tr>
      <w:tr>
        <w:tc>
          <w:tcPr>
            <w:tcW w:type="dxa" w:w="360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mbria" w:hAnsi="Cambria"/>
                <w:b/>
                <w:color w:val="1F497D"/>
                <w:sz w:val="18"/>
              </w:rPr>
              <w:t>Prepared / Verified By</w:t>
            </w:r>
          </w:p>
        </w:tc>
        <w:tc>
          <w:tcPr>
            <w:tcW w:type="dxa" w:w="360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mbria" w:hAnsi="Cambria"/>
                <w:b/>
                <w:color w:val="1F497D"/>
                <w:sz w:val="18"/>
              </w:rPr>
              <w:t>Reviewing Officer</w:t>
            </w:r>
          </w:p>
        </w:tc>
        <w:tc>
          <w:tcPr>
            <w:tcW w:type="dxa" w:w="360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mbria" w:hAnsi="Cambria"/>
                <w:b/>
                <w:color w:val="1F497D"/>
                <w:sz w:val="18"/>
              </w:rPr>
              <w:t>Authorized Signatory</w:t>
            </w:r>
          </w:p>
        </w:tc>
      </w:tr>
    </w:tbl>
    <w:p>
      <w:pPr>
        <w:spacing w:before="240" w:after="240"/>
        <w:jc w:val="center"/>
      </w:pPr>
      <w:r>
        <w:rPr>
          <w:rFonts w:ascii="Calibri" w:hAnsi="Calibri"/>
          <w:b/>
          <w:color w:val="1F497D"/>
          <w:sz w:val="20"/>
        </w:rPr>
        <w:t>------------------ End Of Report ------------------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20" w:right="720" w:bottom="720" w:left="72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mbria" w:hAnsi="Cambria"/>
        <w:sz w:val="18"/>
      </w:rPr>
      <w:tab/>
      <w:t xml:space="preserve">Page </w:t>
      <w:fldChar w:fldCharType="begin"/>
      <w:instrText xml:space="preserve"> PAGE </w:instrText>
      <w:fldChar w:fldCharType="separate"/>
      <w:fldChar w:fldCharType="end"/>
    </w:r>
    <w:r>
      <w:rPr>
        <w:rFonts w:ascii="Cambria" w:hAnsi="Cambria"/>
        <w:sz w:val="18"/>
      </w:rPr>
      <w:t xml:space="preserve"> of </w:t>
      <w:fldChar w:fldCharType="begin"/>
      <w:instrText xml:space="preserve"> NUMPAGES </w:instrText>
      <w:fldChar w:fldCharType="separate"/>
      <w:fldChar w:fldCharType="end"/>
    </w:r>
    <w:r>
      <w:rPr>
        <w:rFonts w:ascii="Cambria" w:hAnsi="Cambria"/>
        <w:sz w:val="18"/>
      </w:rPr>
      <w:tab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center"/>
    </w:pPr>
    <w:r>
      <w:drawing>
        <wp:inline xmlns:a="http://schemas.openxmlformats.org/drawingml/2006/main" xmlns:pic="http://schemas.openxmlformats.org/drawingml/2006/picture">
          <wp:extent cx="6858000" cy="829128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_image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858000" cy="8291286"/>
                  </a:xfrm>
                  <a:prstGeom prst="rect"/>
                </pic:spPr>
              </pic:pic>
            </a:graphicData>
          </a:graphic>
        </wp:inline>
      </w:drawing>
    </w: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2700"/>
      <w:gridCol w:w="2700"/>
      <w:gridCol w:w="2700"/>
      <w:gridCol w:w="2700"/>
    </w:tblGrid>
    <w:tr>
      <w:tc>
        <w:tcPr>
          <w:tcW w:type="dxa" w:w="2700"/>
          <w:tcW w:w="1900" w:type="dxa"/>
          <w:tcMar>
            <w:top w:w="20" w:type="dxa"/>
            <w:left w:w="40" w:type="dxa"/>
            <w:bottom w:w="20" w:type="dxa"/>
            <w:right w:w="40" w:type="dxa"/>
          </w:tcMar>
          <w:tcBorders>
            <w:top w:val="single" w:sz="2" w:space="0" w:color="cbd5e1"/>
            <w:left w:val="single" w:sz="2" w:space="0" w:color="cbd5e1"/>
            <w:bottom w:val="single" w:sz="2" w:space="0" w:color="cbd5e1"/>
            <w:right w:val="single" w:sz="2" w:space="0" w:color="cbd5e1"/>
          </w:tcBorders>
        </w:tcPr>
        <w:p>
          <w:pPr>
            <w:spacing w:before="0" w:after="0" w:line="240" w:lineRule="auto"/>
          </w:pPr>
          <w:r>
            <w:rPr>
              <w:rFonts w:ascii="Cambria" w:hAnsi="Cambria"/>
              <w:b/>
              <w:color w:val="1F497D"/>
              <w:sz w:val="18"/>
            </w:rPr>
            <w:t>Patient Name</w:t>
          </w:r>
        </w:p>
      </w:tc>
      <w:tc>
        <w:tcPr>
          <w:tcW w:type="dxa" w:w="2700"/>
          <w:tcW w:w="3500" w:type="dxa"/>
          <w:tcMar>
            <w:top w:w="20" w:type="dxa"/>
            <w:left w:w="40" w:type="dxa"/>
            <w:bottom w:w="20" w:type="dxa"/>
            <w:right w:w="40" w:type="dxa"/>
          </w:tcMar>
          <w:tcBorders>
            <w:top w:val="single" w:sz="2" w:space="0" w:color="cbd5e1"/>
            <w:left w:val="single" w:sz="2" w:space="0" w:color="cbd5e1"/>
            <w:bottom w:val="single" w:sz="2" w:space="0" w:color="cbd5e1"/>
            <w:right w:val="single" w:sz="2" w:space="0" w:color="cbd5e1"/>
          </w:tcBorders>
        </w:tcPr>
        <w:p>
          <w:pPr>
            <w:spacing w:before="0" w:after="0" w:line="240" w:lineRule="auto"/>
          </w:pPr>
          <w:r>
            <w:rPr>
              <w:rFonts w:ascii="Cambria" w:hAnsi="Cambria"/>
              <w:color w:val="000000"/>
              <w:sz w:val="18"/>
            </w:rPr>
            <w:t>: Rahul Sharma</w:t>
          </w:r>
        </w:p>
      </w:tc>
      <w:tc>
        <w:tcPr>
          <w:tcW w:type="dxa" w:w="2700"/>
          <w:tcW w:w="1900" w:type="dxa"/>
          <w:tcMar>
            <w:top w:w="20" w:type="dxa"/>
            <w:left w:w="40" w:type="dxa"/>
            <w:bottom w:w="20" w:type="dxa"/>
            <w:right w:w="40" w:type="dxa"/>
          </w:tcMar>
          <w:tcBorders>
            <w:top w:val="single" w:sz="2" w:space="0" w:color="cbd5e1"/>
            <w:left w:val="single" w:sz="2" w:space="0" w:color="cbd5e1"/>
            <w:bottom w:val="single" w:sz="2" w:space="0" w:color="cbd5e1"/>
            <w:right w:val="single" w:sz="2" w:space="0" w:color="cbd5e1"/>
          </w:tcBorders>
        </w:tcPr>
        <w:p>
          <w:pPr>
            <w:spacing w:before="0" w:after="0" w:line="240" w:lineRule="auto"/>
          </w:pPr>
          <w:r>
            <w:rPr>
              <w:rFonts w:ascii="Cambria" w:hAnsi="Cambria"/>
              <w:b/>
              <w:color w:val="1F497D"/>
              <w:sz w:val="18"/>
            </w:rPr>
            <w:t>Age/Gender</w:t>
          </w:r>
        </w:p>
      </w:tc>
      <w:tc>
        <w:tcPr>
          <w:tcW w:type="dxa" w:w="2700"/>
          <w:tcW w:w="3500" w:type="dxa"/>
          <w:tcMar>
            <w:top w:w="20" w:type="dxa"/>
            <w:left w:w="40" w:type="dxa"/>
            <w:bottom w:w="20" w:type="dxa"/>
            <w:right w:w="40" w:type="dxa"/>
          </w:tcMar>
          <w:tcBorders>
            <w:top w:val="single" w:sz="2" w:space="0" w:color="cbd5e1"/>
            <w:left w:val="single" w:sz="2" w:space="0" w:color="cbd5e1"/>
            <w:bottom w:val="single" w:sz="2" w:space="0" w:color="cbd5e1"/>
            <w:right w:val="single" w:sz="2" w:space="0" w:color="cbd5e1"/>
          </w:tcBorders>
        </w:tcPr>
        <w:p>
          <w:pPr>
            <w:spacing w:before="0" w:after="0" w:line="240" w:lineRule="auto"/>
          </w:pPr>
          <w:r>
            <w:rPr>
              <w:rFonts w:ascii="Cambria" w:hAnsi="Cambria"/>
              <w:color w:val="000000"/>
              <w:sz w:val="18"/>
            </w:rPr>
            <w:t>: 45 / Male</w:t>
          </w:r>
        </w:p>
      </w:tc>
    </w:tr>
    <w:tr>
      <w:tc>
        <w:tcPr>
          <w:tcW w:type="dxa" w:w="2700"/>
          <w:tcW w:w="1900" w:type="dxa"/>
          <w:tcMar>
            <w:top w:w="20" w:type="dxa"/>
            <w:left w:w="40" w:type="dxa"/>
            <w:bottom w:w="20" w:type="dxa"/>
            <w:right w:w="40" w:type="dxa"/>
          </w:tcMar>
          <w:tcBorders>
            <w:top w:val="single" w:sz="2" w:space="0" w:color="cbd5e1"/>
            <w:left w:val="single" w:sz="2" w:space="0" w:color="cbd5e1"/>
            <w:bottom w:val="single" w:sz="2" w:space="0" w:color="cbd5e1"/>
            <w:right w:val="single" w:sz="2" w:space="0" w:color="cbd5e1"/>
          </w:tcBorders>
        </w:tcPr>
        <w:p>
          <w:pPr>
            <w:spacing w:before="0" w:after="0" w:line="240" w:lineRule="auto"/>
          </w:pPr>
          <w:r>
            <w:rPr>
              <w:rFonts w:ascii="Cambria" w:hAnsi="Cambria"/>
              <w:b/>
              <w:color w:val="1F497D"/>
              <w:sz w:val="18"/>
            </w:rPr>
            <w:t>Ref By</w:t>
          </w:r>
        </w:p>
      </w:tc>
      <w:tc>
        <w:tcPr>
          <w:tcW w:type="dxa" w:w="2700"/>
          <w:tcW w:w="3500" w:type="dxa"/>
          <w:tcMar>
            <w:top w:w="20" w:type="dxa"/>
            <w:left w:w="40" w:type="dxa"/>
            <w:bottom w:w="20" w:type="dxa"/>
            <w:right w:w="40" w:type="dxa"/>
          </w:tcMar>
          <w:tcBorders>
            <w:top w:val="single" w:sz="2" w:space="0" w:color="cbd5e1"/>
            <w:left w:val="single" w:sz="2" w:space="0" w:color="cbd5e1"/>
            <w:bottom w:val="single" w:sz="2" w:space="0" w:color="cbd5e1"/>
            <w:right w:val="single" w:sz="2" w:space="0" w:color="cbd5e1"/>
          </w:tcBorders>
        </w:tcPr>
        <w:p>
          <w:pPr>
            <w:spacing w:before="0" w:after="0" w:line="240" w:lineRule="auto"/>
          </w:pPr>
          <w:r>
            <w:rPr>
              <w:rFonts w:ascii="Cambria" w:hAnsi="Cambria"/>
              <w:color w:val="000000"/>
              <w:sz w:val="18"/>
            </w:rPr>
            <w:t>: Dr. A. K. Gupta</w:t>
          </w:r>
        </w:p>
      </w:tc>
      <w:tc>
        <w:tcPr>
          <w:tcW w:type="dxa" w:w="2700"/>
          <w:tcW w:w="1900" w:type="dxa"/>
          <w:tcMar>
            <w:top w:w="20" w:type="dxa"/>
            <w:left w:w="40" w:type="dxa"/>
            <w:bottom w:w="20" w:type="dxa"/>
            <w:right w:w="40" w:type="dxa"/>
          </w:tcMar>
          <w:tcBorders>
            <w:top w:val="single" w:sz="2" w:space="0" w:color="cbd5e1"/>
            <w:left w:val="single" w:sz="2" w:space="0" w:color="cbd5e1"/>
            <w:bottom w:val="single" w:sz="2" w:space="0" w:color="cbd5e1"/>
            <w:right w:val="single" w:sz="2" w:space="0" w:color="cbd5e1"/>
          </w:tcBorders>
        </w:tcPr>
        <w:p>
          <w:pPr>
            <w:spacing w:before="0" w:after="0" w:line="240" w:lineRule="auto"/>
          </w:pPr>
          <w:r>
            <w:rPr>
              <w:rFonts w:ascii="Cambria" w:hAnsi="Cambria"/>
              <w:b/>
              <w:color w:val="1F497D"/>
              <w:sz w:val="18"/>
            </w:rPr>
          </w:r>
        </w:p>
      </w:tc>
      <w:tc>
        <w:tcPr>
          <w:tcW w:type="dxa" w:w="2700"/>
          <w:tcW w:w="3500" w:type="dxa"/>
          <w:tcMar>
            <w:top w:w="20" w:type="dxa"/>
            <w:left w:w="40" w:type="dxa"/>
            <w:bottom w:w="20" w:type="dxa"/>
            <w:right w:w="40" w:type="dxa"/>
          </w:tcMar>
          <w:tcBorders>
            <w:top w:val="single" w:sz="2" w:space="0" w:color="cbd5e1"/>
            <w:left w:val="single" w:sz="2" w:space="0" w:color="cbd5e1"/>
            <w:bottom w:val="single" w:sz="2" w:space="0" w:color="cbd5e1"/>
            <w:right w:val="single" w:sz="2" w:space="0" w:color="cbd5e1"/>
          </w:tcBorders>
        </w:tcPr>
        <w:p>
          <w:pPr>
            <w:spacing w:before="0" w:after="0" w:line="240" w:lineRule="auto"/>
          </w:pPr>
          <w:r>
            <w:rPr>
              <w:rFonts w:ascii="Cambria" w:hAnsi="Cambria"/>
              <w:color w:val="000000"/>
              <w:sz w:val="18"/>
            </w:rPr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