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/>
      <w:r/>
    </w:p>
    <w:p>
      <w:r/>
      <w:r>
        <w:rPr>
          <w:b/>
          <w:i/>
          <w:color w:val="008080"/>
        </w:rPr>
        <w:t>Endometseq Genomic Profiling Panel</w:t>
      </w:r>
      <w:r>
        <w:rPr>
          <w:b/>
          <w:i/>
          <w:color w:val="008080"/>
        </w:rPr>
        <w:t>–</w:t>
      </w:r>
      <w:r>
        <w:rPr>
          <w:b/>
          <w:i/>
          <w:color w:val="008080"/>
        </w:rPr>
        <w:t xml:space="preserve"> Basic</w:t>
      </w:r>
      <w:r/>
    </w:p>
    <w:p>
      <w:r/>
      <w:r>
        <w:rPr>
          <w:b/>
          <w:i/>
          <w:color w:val="008080"/>
        </w:rPr>
        <w:t>On Illumina Novaseq 6000 Platform</w:t>
      </w:r>
      <w:r/>
    </w:p>
    <w:p>
      <w:r/>
      <w:r>
        <w:rPr>
          <w:b/>
          <w:color w:val="FFFFFF"/>
          <w:highlight w:val="lightGray"/>
        </w:rPr>
        <w:t>Clinical Indication:</w:t>
      </w:r>
      <w:r/>
    </w:p>
    <w:p>
      <w:r/>
      <w:r>
        <w:rPr>
          <w:color w:val="000000"/>
        </w:rPr>
        <w:t>Moderately-differentiated endometrioid adenocarcinoma (Grade 2) of the endometrium.</w:t>
      </w:r>
      <w:r/>
    </w:p>
    <w:p>
      <w:r/>
      <w:r>
        <w:rPr>
          <w:b/>
          <w:color w:val="000000"/>
        </w:rPr>
        <w:t>Block No.: AH-536/26-D</w:t>
      </w:r>
      <w:r/>
    </w:p>
    <w:p>
      <w:r/>
      <w:r>
        <w:rPr>
          <w:b/>
          <w:color w:val="FFFFFF"/>
          <w:highlight w:val="lightGray"/>
        </w:rPr>
        <w:t>Positive</w:t>
      </w:r>
      <w:r/>
    </w:p>
    <w:p>
      <w:r/>
      <w:r>
        <w:rPr>
          <w:color w:val="FFFFFF"/>
          <w:highlight w:val="lightGray"/>
        </w:rPr>
        <w:t>(Clinically significant Variant detected)</w:t>
      </w:r>
      <w:r/>
    </w:p>
    <w:p>
      <w:r/>
      <w:r>
        <w:rPr>
          <w:b/>
          <w:color w:val="008080"/>
        </w:rPr>
        <w:t>Report Highlights: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>
        <w:rPr>
          <w:color w:val="000000"/>
        </w:rPr>
        <w:t>0</w:t>
      </w:r>
      <w:r/>
    </w:p>
    <w:p>
      <w:r/>
      <w:r>
        <w:rPr>
          <w:color w:val="000000"/>
        </w:rPr>
        <w:t>1</w:t>
      </w:r>
      <w:r/>
    </w:p>
    <w:p>
      <w:r/>
      <w:r>
        <w:rPr>
          <w:color w:val="000000"/>
        </w:rPr>
        <w:t>0</w:t>
      </w:r>
      <w:r/>
    </w:p>
    <w:p>
      <w:r/>
      <w:r>
        <w:rPr>
          <w:color w:val="000000"/>
        </w:rPr>
        <w:t>Stable</w:t>
      </w:r>
      <w:r/>
    </w:p>
    <w:p>
      <w:r/>
      <w:r>
        <w:rPr>
          <w:color w:val="000000"/>
        </w:rPr>
        <w:t>1</w:t>
      </w:r>
      <w:r/>
    </w:p>
    <w:p>
      <w:r/>
      <w:r>
        <w:rPr>
          <w:color w:val="000000"/>
        </w:rPr>
        <w:t>14</w:t>
      </w:r>
      <w:r/>
    </w:p>
    <w:p>
      <w:r/>
      <w:r>
        <w:rPr>
          <w:b/>
          <w:color w:val="008080"/>
        </w:rPr>
        <w:t>Key Findings: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>
        <w:rPr>
          <w:color w:val="000000"/>
        </w:rPr>
        <w:t>IIC</w:t>
      </w:r>
      <w:r/>
    </w:p>
    <w:p>
      <w:r/>
      <w:r>
        <w:rPr>
          <w:color w:val="000000"/>
        </w:rPr>
        <w:t>PTEN</w:t>
      </w:r>
      <w:r/>
    </w:p>
    <w:p>
      <w:r/>
      <w:r>
        <w:rPr>
          <w:color w:val="000000"/>
        </w:rPr>
        <w:t>NM_000314.8</w:t>
      </w:r>
      <w:r/>
    </w:p>
    <w:p>
      <w:r/>
      <w:r>
        <w:rPr>
          <w:color w:val="000000"/>
        </w:rPr>
        <w:t>c.46_47insT</w:t>
      </w:r>
      <w:r/>
    </w:p>
    <w:p>
      <w:r/>
      <w:r>
        <w:rPr>
          <w:color w:val="000000"/>
        </w:rPr>
        <w:t>p.(Y16Lfs*28)</w:t>
      </w:r>
      <w:r/>
    </w:p>
    <w:p>
      <w:r/>
      <w:r>
        <w:rPr>
          <w:color w:val="000000"/>
        </w:rPr>
        <w:t>1</w:t>
      </w:r>
      <w:r/>
    </w:p>
    <w:p>
      <w:r/>
      <w:r>
        <w:rPr>
          <w:color w:val="000000"/>
        </w:rPr>
        <w:t>483x / 3.93%</w:t>
      </w:r>
      <w:r/>
    </w:p>
    <w:p>
      <w:r/>
      <w:r>
        <w:rPr>
          <w:i/>
          <w:color w:val="000000"/>
        </w:rPr>
        <w:t>*Genetic test results are reported based on the recommendations of AMP-ASCO-CAP guidelines.</w:t>
      </w:r>
      <w:r/>
    </w:p>
    <w:p>
      <w:r/>
      <w:r>
        <w:rPr>
          <w:i/>
          <w:color w:val="000000"/>
        </w:rPr>
        <w:t>**Public data sources included in relevant targeted therapies, guidelines: EMA, FDA, ESMO, NCCN.</w:t>
      </w:r>
      <w:r/>
    </w:p>
    <w:p>
      <w:r/>
      <w:r>
        <w:rPr>
          <w:b/>
          <w:color w:val="008080"/>
        </w:rPr>
        <w:t>Multi-Gene Biomarkers Results:</w:t>
      </w:r>
      <w:r/>
    </w:p>
    <w:p>
      <w:r/>
      <w:r/>
    </w:p>
    <w:p>
      <w:r/>
      <w:r/>
    </w:p>
    <w:p>
      <w:r/>
      <w:r/>
    </w:p>
    <w:p>
      <w:r/>
      <w:r>
        <w:rPr>
          <w:color w:val="000000"/>
        </w:rPr>
        <w:t>Microsatellite Instability (MSI)</w:t>
      </w:r>
      <w:r/>
    </w:p>
    <w:p>
      <w:r/>
      <w:r>
        <w:rPr>
          <w:color w:val="000000"/>
        </w:rPr>
        <w:t>Stable</w:t>
      </w:r>
      <w:r/>
    </w:p>
    <w:p>
      <w:r/>
      <w:r>
        <w:rPr>
          <w:color w:val="000000"/>
        </w:rPr>
        <w:t>Stable Microsatellite detected</w:t>
      </w:r>
      <w:r/>
    </w:p>
    <w:p>
      <w:r/>
      <w:r>
        <w:rPr>
          <w:i/>
          <w:color w:val="000000"/>
        </w:rPr>
        <w:t># Correlation of the genetic findings with the clinical condition of the patient is required to arrive at accurate</w:t>
      </w:r>
      <w:r/>
    </w:p>
    <w:p>
      <w:r/>
      <w:r>
        <w:rPr>
          <w:i/>
          <w:color w:val="000000"/>
        </w:rPr>
        <w:t>diagnosis, prognosis or therapeutic decisions.</w:t>
      </w:r>
      <w:r/>
      <w:r/>
      <w:r/>
      <w:r/>
      <w:r/>
      <w:r/>
      <w:r/>
      <w:r>
        <w:t>Tier I</w:t>
      </w:r>
      <w:r/>
      <w:r>
        <w:t>Tier II</w:t>
      </w:r>
      <w:r/>
      <w:r>
        <w:t>Tier III</w:t>
      </w:r>
      <w:r/>
      <w:r>
        <w:t>MSI</w:t>
      </w:r>
      <w:r/>
      <w:r>
        <w:t>Therapies</w:t>
      </w:r>
      <w:r/>
      <w:r>
        <w:t>Clinical Trials</w:t>
      </w:r>
      <w:r/>
      <w:r>
        <w:t>Tier</w:t>
      </w:r>
      <w:r/>
      <w:r>
        <w:t>Gene &amp; Transcript</w:t>
      </w:r>
      <w:r/>
      <w:r>
        <w:t>Variant</w:t>
      </w:r>
      <w:r/>
      <w:r>
        <w:t>Exon</w:t>
      </w:r>
      <w:r/>
      <w:r>
        <w:t>Coverage/ VAF</w:t>
      </w:r>
      <w:r/>
      <w:r>
        <w:t>Assay Biomarker</w:t>
      </w:r>
      <w:r/>
      <w:r>
        <w:t>Result</w:t>
      </w:r>
      <w:r/>
      <w:r>
        <w:t>Interpretation</w:t>
      </w:r>
      <w:r/>
      <w:r/>
      <w:r/>
      <w:r/>
    </w:p>
    <w:p>
      <w:r/>
      <w:r>
        <w:rPr>
          <w:b/>
          <w:color w:val="008080"/>
        </w:rPr>
        <w:t>Clinical Significance:</w:t>
      </w:r>
      <w:r/>
    </w:p>
    <w:p>
      <w:r/>
      <w:r/>
    </w:p>
    <w:p>
      <w:r/>
      <w:r/>
    </w:p>
    <w:p>
      <w:r/>
      <w:r>
        <w:rPr>
          <w:b/>
          <w:color w:val="FFFFFF"/>
          <w:highlight w:val="lightGray"/>
        </w:rPr>
        <w:t>In This Cancer</w:t>
      </w:r>
      <w:r/>
    </w:p>
    <w:p>
      <w:r/>
      <w:r>
        <w:rPr>
          <w:b/>
          <w:color w:val="FFFFFF"/>
          <w:highlight w:val="lightGray"/>
        </w:rPr>
        <w:t>In Other Cancer</w:t>
      </w:r>
      <w:r/>
    </w:p>
    <w:p>
      <w:r/>
      <w:r>
        <w:rPr>
          <w:color w:val="000000"/>
        </w:rPr>
        <w:t>IIC</w:t>
      </w:r>
      <w:r/>
    </w:p>
    <w:p>
      <w:r/>
      <w:r>
        <w:rPr>
          <w:color w:val="000000"/>
        </w:rPr>
        <w:t>PTEN</w:t>
      </w:r>
      <w:r/>
    </w:p>
    <w:p>
      <w:r/>
      <w:r>
        <w:rPr>
          <w:color w:val="000000"/>
        </w:rPr>
        <w:t>p.(Y16Lfs*28)</w:t>
      </w:r>
      <w:r/>
    </w:p>
    <w:p>
      <w:r/>
      <w:r>
        <w:rPr>
          <w:color w:val="006666"/>
        </w:rPr>
        <w:t>▪</w:t>
      </w:r>
      <w:r>
        <w:rPr>
          <w:color w:val="000000"/>
        </w:rPr>
        <w:t>None*</w:t>
      </w:r>
      <w:r/>
    </w:p>
    <w:p>
      <w:r/>
      <w:r>
        <w:rPr>
          <w:color w:val="006666"/>
        </w:rPr>
        <w:t>▪</w:t>
      </w:r>
      <w:r>
        <w:rPr>
          <w:color w:val="000000"/>
        </w:rPr>
        <w:t>capivasertib + hormone therapy</w:t>
      </w:r>
      <w:r/>
    </w:p>
    <w:p>
      <w:r/>
      <w:r/>
    </w:p>
    <w:p>
      <w:r/>
      <w:r/>
    </w:p>
    <w:p>
      <w:r/>
      <w:r/>
    </w:p>
    <w:p>
      <w:r/>
      <w:r>
        <w:rPr>
          <w:color w:val="000000"/>
        </w:rPr>
        <w:t>PTEN</w:t>
      </w:r>
      <w:r/>
    </w:p>
    <w:p>
      <w:r/>
      <w:r>
        <w:rPr>
          <w:color w:val="000000"/>
        </w:rPr>
        <w:t>p.(Y16Lfs*28)</w:t>
      </w:r>
      <w:r/>
    </w:p>
    <w:p>
      <w:r/>
      <w:r>
        <w:rPr>
          <w:color w:val="000000"/>
        </w:rPr>
        <w:t>None*</w:t>
      </w:r>
      <w:r/>
    </w:p>
    <w:p>
      <w:r/>
      <w:r>
        <w:rPr>
          <w:color w:val="000000"/>
        </w:rPr>
        <w:t>None*</w:t>
      </w:r>
      <w:r/>
    </w:p>
    <w:p>
      <w:r/>
      <w:r>
        <w:rPr>
          <w:b/>
          <w:color w:val="008080"/>
        </w:rPr>
        <w:t>Biomarker Description:</w:t>
      </w:r>
      <w:r/>
    </w:p>
    <w:p>
      <w:r/>
      <w:r>
        <w:rPr>
          <w:b/>
          <w:color w:val="FFFFFF"/>
          <w:highlight w:val="lightGray"/>
        </w:rPr>
        <w:t>Variant</w:t>
      </w:r>
      <w:r/>
    </w:p>
    <w:p>
      <w:r/>
      <w:r>
        <w:rPr>
          <w:b/>
          <w:color w:val="FFFFFF"/>
          <w:highlight w:val="lightGray"/>
        </w:rPr>
        <w:t>Biomarker Description</w:t>
      </w:r>
      <w:r/>
    </w:p>
    <w:p>
      <w:r/>
      <w:r>
        <w:rPr>
          <w:color w:val="000000"/>
        </w:rPr>
        <w:t>PTEN</w:t>
      </w:r>
      <w:r/>
    </w:p>
    <w:p>
      <w:r/>
      <w:r>
        <w:rPr>
          <w:color w:val="000000"/>
        </w:rPr>
        <w:t>NM_000314.8</w:t>
      </w:r>
      <w:r/>
    </w:p>
    <w:p>
      <w:r/>
      <w:r>
        <w:rPr>
          <w:color w:val="000000"/>
        </w:rPr>
        <w:t>chr10:89624271</w:t>
      </w:r>
      <w:r/>
    </w:p>
    <w:p>
      <w:r/>
      <w:r>
        <w:rPr>
          <w:color w:val="000000"/>
        </w:rPr>
        <w:t>c.46_47insT</w:t>
      </w:r>
      <w:r/>
    </w:p>
    <w:p>
      <w:r/>
      <w:r>
        <w:rPr>
          <w:color w:val="000000"/>
        </w:rPr>
        <w:t>p.(Y16Lfs*28)</w:t>
      </w:r>
      <w:r/>
    </w:p>
    <w:p>
      <w:r/>
      <w:r>
        <w:rPr>
          <w:color w:val="000000"/>
        </w:rPr>
        <w:t>The PTEN gene encodes the phosphatase and tensin homolog, a tumor suppressor protein with lipid</w:t>
      </w:r>
      <w:r/>
    </w:p>
    <w:p>
      <w:r/>
      <w:r>
        <w:rPr>
          <w:color w:val="000000"/>
        </w:rPr>
        <w:t>and protein phosphatase activities[1]. PTEN antagonizes PI3K/AKT signaling by catalyzing the</w:t>
      </w:r>
      <w:r/>
    </w:p>
    <w:p>
      <w:r/>
      <w:r>
        <w:rPr>
          <w:color w:val="000000"/>
        </w:rPr>
        <w:t>dephosphorylation of phosphatidylinositol (3,4,5)-trisphosphate (PIP3) to PIP2 at the cell</w:t>
      </w:r>
      <w:r/>
    </w:p>
    <w:p>
      <w:r/>
      <w:r>
        <w:rPr>
          <w:color w:val="000000"/>
        </w:rPr>
        <w:t>membrane, which inhibits the activation of AKT[2,3]. In addition, PTEN has been proposed to</w:t>
      </w:r>
      <w:r/>
    </w:p>
    <w:p>
      <w:r/>
      <w:r>
        <w:rPr>
          <w:color w:val="000000"/>
        </w:rPr>
        <w:t>influence RAD51 loading at double strand breaks during homologous recombination repair (HRR)</w:t>
      </w:r>
      <w:r/>
    </w:p>
    <w:p>
      <w:r/>
      <w:r>
        <w:rPr>
          <w:color w:val="000000"/>
        </w:rPr>
        <w:t>and regulate the G2/M checkpoint by influencing CHEK1 localization through AKT inhibition,</w:t>
      </w:r>
      <w:r/>
    </w:p>
    <w:p>
      <w:r/>
      <w:r>
        <w:rPr>
          <w:color w:val="000000"/>
        </w:rPr>
        <w:t>thereby regulating HRR efficiency[4]. Germline mutations in PTEN are linked to hamartoma tumor</w:t>
      </w:r>
      <w:r/>
    </w:p>
    <w:p>
      <w:r/>
      <w:r>
        <w:rPr>
          <w:color w:val="000000"/>
        </w:rPr>
        <w:t>syndromes, including Cowden disease, which are defined by uncontrolled cell growth and benign or</w:t>
      </w:r>
      <w:r/>
    </w:p>
    <w:p>
      <w:r/>
      <w:r>
        <w:rPr>
          <w:color w:val="000000"/>
        </w:rPr>
        <w:t>malignant tumor formation[5]. PTEN germline mutations are also associated with inherited cancer</w:t>
      </w:r>
      <w:r/>
    </w:p>
    <w:p>
      <w:r/>
      <w:r>
        <w:rPr>
          <w:color w:val="000000"/>
        </w:rPr>
        <w:t>risk</w:t>
      </w:r>
      <w:r/>
    </w:p>
    <w:p>
      <w:r/>
      <w:r>
        <w:rPr>
          <w:color w:val="000000"/>
        </w:rPr>
        <w:t>in</w:t>
      </w:r>
      <w:r/>
    </w:p>
    <w:p>
      <w:r/>
      <w:r>
        <w:rPr>
          <w:color w:val="000000"/>
        </w:rPr>
        <w:t>several</w:t>
      </w:r>
      <w:r/>
    </w:p>
    <w:p>
      <w:r/>
      <w:r>
        <w:rPr>
          <w:color w:val="000000"/>
        </w:rPr>
        <w:t>cancer</w:t>
      </w:r>
      <w:r/>
    </w:p>
    <w:p>
      <w:r/>
      <w:r>
        <w:rPr>
          <w:color w:val="000000"/>
        </w:rPr>
        <w:t>types[6].</w:t>
      </w:r>
      <w:r/>
    </w:p>
    <w:p>
      <w:r/>
      <w:r>
        <w:rPr>
          <w:color w:val="000000"/>
        </w:rPr>
        <w:t>PTEN is frequently altered in cancer by inactivating loss-of-function mutations and by gene deletion.</w:t>
      </w:r>
      <w:r/>
    </w:p>
    <w:p>
      <w:r/>
      <w:r>
        <w:rPr>
          <w:color w:val="000000"/>
        </w:rPr>
        <w:t>PTEN mutations are frequently observed in 50%-60% of uterine cancer[7,8]. Nearly half of somatic</w:t>
      </w:r>
      <w:r/>
    </w:p>
    <w:p>
      <w:r/>
      <w:r>
        <w:rPr>
          <w:color w:val="000000"/>
        </w:rPr>
        <w:t>mutations in PTEN are stop-gain or frame-shift mutations that result in truncation of the protein</w:t>
      </w:r>
      <w:r/>
    </w:p>
    <w:p>
      <w:r/>
      <w:r>
        <w:rPr>
          <w:color w:val="000000"/>
        </w:rPr>
        <w:t>reading frame. Recurrent missense or stop-gain mutations at codons R130, R173, and R233 result in</w:t>
      </w:r>
      <w:r/>
    </w:p>
    <w:p>
      <w:r/>
      <w:r>
        <w:rPr>
          <w:color w:val="000000"/>
        </w:rPr>
        <w:t>loss of phosphatase activity and inhibition of wild-type PTEN[3,9,10,11,12]. PTEN gene deletion is</w:t>
      </w:r>
      <w:r/>
    </w:p>
    <w:p>
      <w:r/>
      <w:r>
        <w:rPr>
          <w:color w:val="000000"/>
        </w:rPr>
        <w:t>observed in 15% of prostate cancer, 9% of squamous lung cancer, 9% of glioblastoma, and 1-5% of</w:t>
      </w:r>
      <w:r/>
    </w:p>
    <w:p>
      <w:r/>
      <w:r>
        <w:rPr>
          <w:color w:val="000000"/>
        </w:rPr>
        <w:t>melanoma,</w:t>
      </w:r>
      <w:r/>
    </w:p>
    <w:p>
      <w:r/>
      <w:r>
        <w:rPr>
          <w:color w:val="000000"/>
        </w:rPr>
        <w:t>sarcoma,</w:t>
      </w:r>
      <w:r/>
    </w:p>
    <w:p>
      <w:r/>
      <w:r>
        <w:rPr>
          <w:color w:val="000000"/>
        </w:rPr>
        <w:t>and</w:t>
      </w:r>
      <w:r/>
    </w:p>
    <w:p>
      <w:r/>
      <w:r>
        <w:rPr>
          <w:color w:val="000000"/>
        </w:rPr>
        <w:t>ovarian</w:t>
      </w:r>
      <w:r/>
    </w:p>
    <w:p>
      <w:r/>
      <w:r>
        <w:rPr>
          <w:color w:val="000000"/>
        </w:rPr>
        <w:t>cancer[7,8].</w:t>
      </w:r>
      <w:r/>
    </w:p>
    <w:p>
      <w:r/>
      <w:r>
        <w:rPr>
          <w:color w:val="000000"/>
        </w:rPr>
        <w:t>Due to the role of PTEN in HRR, poly(ADP-ribose) polymerase inhibitors (PARPi) are being explored</w:t>
      </w:r>
      <w:r/>
      <w:r/>
      <w:r/>
      <w:r/>
      <w:r/>
      <w:r>
        <w:t>Variant</w:t>
      </w:r>
      <w:r/>
      <w:r>
        <w:t>Therapy</w:t>
      </w:r>
      <w:r/>
      <w:r>
        <w:t>Variant</w:t>
      </w:r>
      <w:r/>
      <w:r>
        <w:t>Diagnostic Significance</w:t>
      </w:r>
      <w:r/>
      <w:r>
        <w:t>Prognostic Significance</w:t>
      </w:r>
      <w:r/>
      <w:r/>
      <w:r/>
      <w:r/>
      <w:r/>
      <w:r/>
      <w:r/>
    </w:p>
    <w:p>
      <w:r/>
      <w:r>
        <w:rPr>
          <w:color w:val="000000"/>
        </w:rPr>
        <w:t>homologous recombination deficiency (HRD) mutations in breast and ovarian cancers. In 2023, the</w:t>
      </w:r>
      <w:r/>
    </w:p>
    <w:p>
      <w:r/>
      <w:r>
        <w:rPr>
          <w:color w:val="000000"/>
        </w:rPr>
        <w:t>FDA approved the kinase inhibitor, capivasertib[16] in combination with fulvestrant for locally</w:t>
      </w:r>
      <w:r/>
    </w:p>
    <w:p>
      <w:r/>
      <w:r>
        <w:rPr>
          <w:color w:val="000000"/>
        </w:rPr>
        <w:t>advanced or metastatic hormone receptor (HR)-positive, human epidermal growth factor receptor 2</w:t>
      </w:r>
      <w:r/>
    </w:p>
    <w:p>
      <w:r/>
      <w:r>
        <w:rPr>
          <w:color w:val="000000"/>
        </w:rPr>
        <w:t>(HER2)-negative breast cancer with one or more PIK3CA/AKT1/PTEN-alterations following</w:t>
      </w:r>
      <w:r/>
    </w:p>
    <w:p>
      <w:r/>
      <w:r>
        <w:rPr>
          <w:color w:val="000000"/>
        </w:rPr>
        <w:t>progression</w:t>
      </w:r>
      <w:r/>
    </w:p>
    <w:p>
      <w:r/>
      <w:r>
        <w:rPr>
          <w:color w:val="000000"/>
        </w:rPr>
        <w:t>after</w:t>
      </w:r>
      <w:r/>
    </w:p>
    <w:p>
      <w:r/>
      <w:r>
        <w:rPr>
          <w:color w:val="000000"/>
        </w:rPr>
        <w:t>endocrine</w:t>
      </w:r>
      <w:r/>
    </w:p>
    <w:p>
      <w:r/>
      <w:r>
        <w:rPr>
          <w:color w:val="000000"/>
        </w:rPr>
        <w:t>treatment.</w:t>
      </w:r>
      <w:r/>
    </w:p>
    <w:p>
      <w:r/>
      <w:r>
        <w:rPr>
          <w:color w:val="000000"/>
        </w:rPr>
        <w:t>capivasertib</w:t>
      </w:r>
      <w:r/>
    </w:p>
    <w:p>
      <w:r/>
      <w:r>
        <w:rPr>
          <w:color w:val="000000"/>
        </w:rPr>
        <w:t>+</w:t>
      </w:r>
      <w:r/>
    </w:p>
    <w:p>
      <w:r/>
      <w:r>
        <w:rPr>
          <w:color w:val="000000"/>
        </w:rPr>
        <w:t>fulvestrant</w:t>
      </w:r>
      <w:r/>
    </w:p>
    <w:p>
      <w:r/>
      <w:r>
        <w:rPr>
          <w:color w:val="000000"/>
        </w:rPr>
        <w:t>with</w:t>
      </w:r>
      <w:r/>
    </w:p>
    <w:p>
      <w:r/>
      <w:r>
        <w:rPr>
          <w:color w:val="000000"/>
        </w:rPr>
        <w:t>ERBB2</w:t>
      </w:r>
      <w:r/>
    </w:p>
    <w:p>
      <w:r/>
      <w:r>
        <w:rPr>
          <w:color w:val="000000"/>
        </w:rPr>
        <w:t>negative,</w:t>
      </w:r>
      <w:r/>
    </w:p>
    <w:p>
      <w:r/>
      <w:r>
        <w:rPr>
          <w:color w:val="000000"/>
        </w:rPr>
        <w:t>Hormone</w:t>
      </w:r>
      <w:r/>
    </w:p>
    <w:p>
      <w:r/>
      <w:r>
        <w:rPr>
          <w:color w:val="000000"/>
        </w:rPr>
        <w:t>receptor</w:t>
      </w:r>
      <w:r/>
    </w:p>
    <w:p>
      <w:r/>
      <w:r>
        <w:rPr>
          <w:color w:val="000000"/>
        </w:rPr>
        <w:t>positive</w:t>
      </w:r>
      <w:r/>
    </w:p>
    <w:p>
      <w:r/>
      <w:r>
        <w:rPr>
          <w:color w:val="000000"/>
        </w:rPr>
        <w:t>TRUQAP® is a kinase inhibitor indicated, in combination with fulvestrant for the treatment of adult</w:t>
      </w:r>
      <w:r/>
    </w:p>
    <w:p>
      <w:r/>
      <w:r>
        <w:rPr>
          <w:color w:val="000000"/>
        </w:rPr>
        <w:t>patients with hormone receptor (HR)-positive, human epidermal growth factor receptor 2 (HER2)-</w:t>
      </w:r>
      <w:r/>
    </w:p>
    <w:p>
      <w:r/>
      <w:r>
        <w:rPr>
          <w:color w:val="000000"/>
        </w:rPr>
        <w:t>negative, locally advanced or metastatic breast cancer with one or more PIK3CA/AKT1/PTEN-</w:t>
      </w:r>
      <w:r/>
    </w:p>
    <w:p>
      <w:r/>
      <w:r>
        <w:rPr>
          <w:color w:val="000000"/>
        </w:rPr>
        <w:t>alterations as detected by an FDA-approved test following progression on at least one endocrine-</w:t>
      </w:r>
      <w:r/>
    </w:p>
    <w:p>
      <w:r/>
      <w:r>
        <w:rPr>
          <w:color w:val="000000"/>
        </w:rPr>
        <w:t>based regimen in the metastatic setting or recurrence on or within 12 months of completing</w:t>
      </w:r>
      <w:r/>
    </w:p>
    <w:p>
      <w:r/>
      <w:r>
        <w:rPr>
          <w:color w:val="000000"/>
        </w:rPr>
        <w:t>adjuvant</w:t>
      </w:r>
      <w:r/>
    </w:p>
    <w:p>
      <w:r/>
      <w:r>
        <w:rPr>
          <w:color w:val="000000"/>
        </w:rPr>
        <w:t>therapy.</w:t>
      </w:r>
      <w:r/>
    </w:p>
    <w:p>
      <w:r/>
      <w:r>
        <w:rPr>
          <w:color w:val="000000"/>
        </w:rPr>
        <w:t>Cancer type: Breast Cancer</w:t>
      </w:r>
      <w:r/>
    </w:p>
    <w:p>
      <w:r/>
      <w:r>
        <w:rPr>
          <w:b/>
          <w:color w:val="008080"/>
        </w:rPr>
        <w:t>Therapy &amp; Clinical Trials:</w:t>
      </w:r>
      <w:r/>
    </w:p>
    <w:p>
      <w:r/>
      <w:r>
        <w:rPr>
          <w:b/>
          <w:color w:val="008080"/>
        </w:rPr>
        <w:t>PTEN p.(Y16Lfs*28) c.46_47insT</w:t>
      </w:r>
      <w:r/>
    </w:p>
    <w:p>
      <w:r/>
      <w:r>
        <w:rPr>
          <w:b/>
          <w:color w:val="FFFFFF"/>
          <w:highlight w:val="lightGray"/>
        </w:rPr>
        <w:t>Therapy</w:t>
      </w:r>
      <w:r/>
    </w:p>
    <w:p>
      <w:r/>
      <w:r>
        <w:rPr>
          <w:b/>
          <w:color w:val="FFFFFF"/>
          <w:highlight w:val="lightGray"/>
        </w:rPr>
        <w:t>FDA</w:t>
      </w:r>
      <w:r/>
    </w:p>
    <w:p>
      <w:r/>
      <w:r>
        <w:rPr>
          <w:b/>
          <w:color w:val="FFFFFF"/>
          <w:highlight w:val="lightGray"/>
        </w:rPr>
        <w:t>NCCN</w:t>
      </w:r>
      <w:r/>
    </w:p>
    <w:p>
      <w:r/>
      <w:r>
        <w:rPr>
          <w:b/>
          <w:color w:val="FFFFFF"/>
          <w:highlight w:val="lightGray"/>
        </w:rPr>
        <w:t>EMA</w:t>
      </w:r>
      <w:r/>
    </w:p>
    <w:p>
      <w:r/>
      <w:r>
        <w:rPr>
          <w:b/>
          <w:color w:val="FFFFFF"/>
          <w:highlight w:val="lightGray"/>
        </w:rPr>
        <w:t>ESMO</w:t>
      </w:r>
      <w:r/>
    </w:p>
    <w:p>
      <w:r/>
      <w:r>
        <w:rPr>
          <w:b/>
          <w:color w:val="FFFFFF"/>
          <w:highlight w:val="lightGray"/>
        </w:rPr>
        <w:t>Trials</w:t>
      </w:r>
      <w:r/>
    </w:p>
    <w:p>
      <w:r/>
      <w:r>
        <w:rPr>
          <w:color w:val="000000"/>
        </w:rPr>
        <w:t>capivasertib + fulvestrant</w:t>
      </w:r>
      <w:r/>
    </w:p>
    <w:p>
      <w:r/>
      <w:r>
        <w:rPr>
          <w:color w:val="FFC000"/>
        </w:rPr>
        <w:t>✓</w:t>
      </w:r>
      <w:r/>
    </w:p>
    <w:p>
      <w:r/>
      <w:r>
        <w:rPr>
          <w:color w:val="FFC000"/>
        </w:rPr>
        <w:t>✓</w:t>
      </w:r>
      <w:r/>
    </w:p>
    <w:p>
      <w:r/>
      <w:r>
        <w:rPr>
          <w:color w:val="FFC000"/>
        </w:rPr>
        <w:t>✓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atezolizumab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II</w:t>
      </w:r>
      <w:r/>
    </w:p>
    <w:p>
      <w:r/>
      <w:r>
        <w:rPr>
          <w:color w:val="000000"/>
        </w:rPr>
        <w:t>azenosertib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II</w:t>
      </w:r>
      <w:r/>
    </w:p>
    <w:p>
      <w:r/>
      <w:r>
        <w:rPr>
          <w:color w:val="000000"/>
        </w:rPr>
        <w:t>niraparib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II</w:t>
      </w:r>
      <w:r/>
    </w:p>
    <w:p>
      <w:r/>
      <w:r>
        <w:rPr>
          <w:color w:val="000000"/>
        </w:rPr>
        <w:t>ART-6043, olaparib, niraparib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I/II</w:t>
      </w:r>
      <w:r/>
    </w:p>
    <w:p>
      <w:r/>
      <w:r>
        <w:rPr>
          <w:color w:val="000000"/>
        </w:rPr>
        <w:t>atezolizumab, ipatasertib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I/II</w:t>
      </w:r>
      <w:r/>
    </w:p>
    <w:p>
      <w:r/>
      <w:r>
        <w:rPr>
          <w:color w:val="000000"/>
        </w:rPr>
        <w:t>ATRN-119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I/II</w:t>
      </w:r>
      <w:r/>
    </w:p>
    <w:p>
      <w:r/>
      <w:r>
        <w:rPr>
          <w:color w:val="000000"/>
        </w:rPr>
        <w:t>niraparib, GSK-101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I/II</w:t>
      </w:r>
      <w:r/>
    </w:p>
    <w:p>
      <w:r/>
      <w:r>
        <w:rPr>
          <w:color w:val="000000"/>
        </w:rPr>
        <w:t>VB-15010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I/II</w:t>
      </w:r>
      <w:r/>
      <w:r/>
      <w:r/>
      <w:r/>
      <w:r/>
      <w:r/>
      <w:r/>
      <w:r/>
      <w:r/>
      <w:r/>
      <w:r/>
      <w:r/>
    </w:p>
    <w:p>
      <w:r/>
      <w:r>
        <w:rPr>
          <w:color w:val="000000"/>
        </w:rPr>
        <w:t>HS-10502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</w:t>
      </w:r>
      <w:r/>
    </w:p>
    <w:p>
      <w:r/>
      <w:r>
        <w:rPr>
          <w:color w:val="000000"/>
        </w:rPr>
        <w:t>IPN-60090, capivasertib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</w:t>
      </w:r>
      <w:r/>
    </w:p>
    <w:p>
      <w:r/>
      <w:r>
        <w:rPr>
          <w:color w:val="000000"/>
        </w:rPr>
        <w:t>SIM-0501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</w:t>
      </w:r>
      <w:r/>
    </w:p>
    <w:p>
      <w:r/>
      <w:r>
        <w:rPr>
          <w:color w:val="000000"/>
        </w:rPr>
        <w:t>talazoparib, palbociclib, axitinib, crizotinib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</w:t>
      </w:r>
      <w:r/>
    </w:p>
    <w:p>
      <w:r/>
      <w:r>
        <w:rPr>
          <w:color w:val="000000"/>
        </w:rPr>
        <w:t>XL-309, olaparib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808080"/>
        </w:rPr>
        <w:t>X</w:t>
      </w:r>
      <w:r/>
    </w:p>
    <w:p>
      <w:r/>
      <w:r>
        <w:rPr>
          <w:color w:val="000000"/>
        </w:rPr>
        <w:t>I</w:t>
      </w:r>
      <w:r/>
    </w:p>
    <w:p>
      <w:r/>
      <w:r>
        <w:rPr>
          <w:color w:val="000000"/>
        </w:rPr>
        <w:t>📝</w:t>
      </w:r>
      <w:r>
        <w:rPr>
          <w:color w:val="000000"/>
        </w:rPr>
        <w:t>Note:</w:t>
      </w:r>
      <w:r>
        <w:rPr>
          <w:color w:val="00B050"/>
        </w:rPr>
        <w:t xml:space="preserve"> ✓</w:t>
      </w:r>
      <w:r>
        <w:rPr>
          <w:color w:val="000000"/>
        </w:rPr>
        <w:t>: In this Cancer Type,</w:t>
      </w:r>
      <w:r>
        <w:rPr>
          <w:color w:val="FFC000"/>
        </w:rPr>
        <w:t xml:space="preserve"> ✓</w:t>
      </w:r>
      <w:r>
        <w:rPr>
          <w:color w:val="000000"/>
        </w:rPr>
        <w:t>: In Other Cancer Type,</w:t>
      </w:r>
      <w:r>
        <w:rPr>
          <w:color w:val="00B050"/>
        </w:rPr>
        <w:t xml:space="preserve"> ✓</w:t>
      </w:r>
      <w:r>
        <w:rPr>
          <w:color w:val="FFC000"/>
        </w:rPr>
        <w:t>✓</w:t>
      </w:r>
      <w:r>
        <w:rPr>
          <w:color w:val="000000"/>
        </w:rPr>
        <w:t>: both In this and Other Cancer Type,</w:t>
      </w:r>
      <w:r>
        <w:rPr>
          <w:color w:val="808080"/>
        </w:rPr>
        <w:t xml:space="preserve"> X</w:t>
      </w:r>
      <w:r>
        <w:rPr>
          <w:color w:val="000000"/>
        </w:rPr>
        <w:t xml:space="preserve"> : No</w:t>
      </w:r>
      <w:r/>
    </w:p>
    <w:p>
      <w:r/>
      <w:r>
        <w:rPr>
          <w:color w:val="000000"/>
        </w:rPr>
        <w:t>Evidence.</w:t>
      </w:r>
      <w:r>
        <w:rPr>
          <w:color w:val="EE0000"/>
        </w:rPr>
        <w:t>⚠️</w:t>
      </w:r>
      <w:r>
        <w:rPr>
          <w:color w:val="000000"/>
        </w:rPr>
        <w:t>: Caution for Use</w:t>
      </w:r>
      <w:r/>
    </w:p>
    <w:p>
      <w:r/>
      <w:r>
        <w:rPr>
          <w:b/>
          <w:color w:val="FFFFFF"/>
          <w:highlight w:val="lightGray"/>
        </w:rPr>
        <w:t>Test Description</w:t>
      </w:r>
      <w:r/>
    </w:p>
    <w:p>
      <w:r/>
      <w:r>
        <w:rPr>
          <w:b/>
          <w:color w:val="000000"/>
        </w:rPr>
        <w:t>Endometseq Genomic Profiling Panel</w:t>
      </w:r>
      <w:r>
        <w:rPr>
          <w:b/>
          <w:color w:val="000000"/>
        </w:rPr>
        <w:t xml:space="preserve"> –</w:t>
      </w:r>
      <w:r>
        <w:rPr>
          <w:b/>
          <w:color w:val="000000"/>
        </w:rPr>
        <w:t xml:space="preserve"> Basic</w:t>
      </w:r>
      <w:r>
        <w:rPr>
          <w:color w:val="000000"/>
        </w:rPr>
        <w:t xml:space="preserve"> is advancing precision oncology research through the</w:t>
      </w:r>
      <w:r/>
    </w:p>
    <w:p>
      <w:r/>
      <w:r>
        <w:rPr>
          <w:color w:val="000000"/>
        </w:rPr>
        <w:t>analysis of multiple relevant biomarkers in a single next-generation sequencing (NGS) test.</w:t>
      </w:r>
      <w:r/>
    </w:p>
    <w:p>
      <w:r/>
      <w:r>
        <w:rPr>
          <w:color w:val="000000"/>
        </w:rPr>
        <w:t>The Endometseq Genomic Profiling Panel</w:t>
      </w:r>
      <w:r>
        <w:rPr>
          <w:color w:val="000000"/>
        </w:rPr>
        <w:t xml:space="preserve"> –</w:t>
      </w:r>
      <w:r>
        <w:rPr>
          <w:color w:val="000000"/>
        </w:rPr>
        <w:t xml:space="preserve"> Basic assay analyses</w:t>
      </w:r>
      <w:r>
        <w:rPr>
          <w:b/>
          <w:color w:val="000000"/>
        </w:rPr>
        <w:t xml:space="preserve"> 43</w:t>
      </w:r>
      <w:r>
        <w:rPr>
          <w:color w:val="000000"/>
        </w:rPr>
        <w:t xml:space="preserve"> unique genes (</w:t>
      </w:r>
      <w:r>
        <w:rPr>
          <w:b/>
          <w:color w:val="000000"/>
        </w:rPr>
        <w:t>43</w:t>
      </w:r>
      <w:r>
        <w:rPr>
          <w:color w:val="000000"/>
        </w:rPr>
        <w:t xml:space="preserve"> DNA) for single gene</w:t>
      </w:r>
      <w:r/>
    </w:p>
    <w:p>
      <w:r/>
      <w:r>
        <w:rPr>
          <w:color w:val="000000"/>
        </w:rPr>
        <w:t>and multiple gene biomarker insights, detects single gene biomarkers from all variant types including</w:t>
      </w:r>
      <w:r>
        <w:rPr>
          <w:b/>
          <w:color w:val="000000"/>
        </w:rPr>
        <w:t xml:space="preserve"> SNVs,</w:t>
      </w:r>
      <w:r/>
    </w:p>
    <w:p>
      <w:r/>
      <w:r>
        <w:rPr>
          <w:b/>
          <w:color w:val="000000"/>
        </w:rPr>
        <w:t>indels,</w:t>
      </w:r>
      <w:r/>
    </w:p>
    <w:p>
      <w:r/>
      <w:r>
        <w:rPr>
          <w:b/>
          <w:color w:val="000000"/>
        </w:rPr>
        <w:t>and</w:t>
      </w:r>
      <w:r/>
    </w:p>
    <w:p>
      <w:r/>
      <w:r>
        <w:rPr>
          <w:b/>
          <w:color w:val="000000"/>
        </w:rPr>
        <w:t>CNVs</w:t>
      </w:r>
      <w:r>
        <w:rPr>
          <w:color w:val="000000"/>
        </w:rPr>
        <w:t>,</w:t>
      </w:r>
      <w:r/>
    </w:p>
    <w:p>
      <w:r/>
      <w:r>
        <w:rPr>
          <w:color w:val="000000"/>
        </w:rPr>
        <w:t>analyze</w:t>
      </w:r>
      <w:r/>
    </w:p>
    <w:p>
      <w:r/>
      <w:r>
        <w:rPr>
          <w:color w:val="000000"/>
        </w:rPr>
        <w:t>complex</w:t>
      </w:r>
      <w:r/>
    </w:p>
    <w:p>
      <w:r/>
      <w:r>
        <w:rPr>
          <w:color w:val="000000"/>
        </w:rPr>
        <w:t>multi-gene</w:t>
      </w:r>
      <w:r/>
    </w:p>
    <w:p>
      <w:r/>
      <w:r>
        <w:rPr>
          <w:color w:val="000000"/>
        </w:rPr>
        <w:t>biomarkers</w:t>
      </w:r>
      <w:r/>
    </w:p>
    <w:p>
      <w:r/>
      <w:r>
        <w:rPr>
          <w:color w:val="000000"/>
        </w:rPr>
        <w:t>for</w:t>
      </w:r>
      <w:r/>
    </w:p>
    <w:p>
      <w:r/>
      <w:r>
        <w:rPr>
          <w:color w:val="000000"/>
        </w:rPr>
        <w:t>mutational</w:t>
      </w:r>
      <w:r/>
    </w:p>
    <w:p>
      <w:r/>
      <w:r>
        <w:rPr>
          <w:color w:val="000000"/>
        </w:rPr>
        <w:t>signatures,</w:t>
      </w:r>
      <w:r/>
    </w:p>
    <w:p>
      <w:r/>
      <w:r>
        <w:rPr>
          <w:color w:val="000000"/>
        </w:rPr>
        <w:t>including</w:t>
      </w:r>
      <w:r/>
    </w:p>
    <w:p>
      <w:r/>
      <w:r>
        <w:rPr>
          <w:color w:val="000000"/>
        </w:rPr>
        <w:t>microsatellite instability (</w:t>
      </w:r>
      <w:r>
        <w:rPr>
          <w:b/>
          <w:color w:val="000000"/>
        </w:rPr>
        <w:t>MSI</w:t>
      </w:r>
      <w:r>
        <w:rPr>
          <w:color w:val="000000"/>
        </w:rPr>
        <w:t>) for immunotherapy research.</w:t>
      </w:r>
      <w:r/>
    </w:p>
    <w:p>
      <w:r/>
      <w:r>
        <w:rPr>
          <w:color w:val="000000"/>
        </w:rPr>
        <w:t>The performance of the panel was verified using both commercially sourced reference controls and FFPE</w:t>
      </w:r>
      <w:r/>
    </w:p>
    <w:p>
      <w:r/>
      <w:r>
        <w:rPr>
          <w:color w:val="000000"/>
        </w:rPr>
        <w:t>samples.</w:t>
      </w:r>
      <w:r/>
    </w:p>
    <w:p>
      <w:r/>
      <w:r>
        <w:rPr>
          <w:b/>
          <w:color w:val="FFFFFF"/>
          <w:highlight w:val="lightGray"/>
        </w:rPr>
        <w:t>Test Methodology</w:t>
      </w:r>
      <w:r/>
    </w:p>
    <w:p>
      <w:r/>
      <w:r>
        <w:rPr>
          <w:b/>
          <w:color w:val="000000"/>
        </w:rPr>
        <w:t>Extraction &amp; Library Preparation:</w:t>
      </w:r>
      <w:r>
        <w:rPr>
          <w:color w:val="000000"/>
        </w:rPr>
        <w:t xml:space="preserve"> DNA extracted from FFPE tissue block sample is used for targeted gene</w:t>
      </w:r>
      <w:r/>
    </w:p>
    <w:p>
      <w:r/>
      <w:r>
        <w:rPr>
          <w:color w:val="000000"/>
        </w:rPr>
        <w:t>capture using a custom designed hybrid capture panel. In process quality controls were determined for</w:t>
      </w:r>
      <w:r/>
    </w:p>
    <w:p>
      <w:r/>
      <w:r>
        <w:rPr>
          <w:color w:val="000000"/>
        </w:rPr>
        <w:t>prepared library.</w:t>
      </w:r>
      <w:r/>
    </w:p>
    <w:p>
      <w:r/>
      <w:r>
        <w:rPr>
          <w:b/>
          <w:color w:val="000000"/>
        </w:rPr>
        <w:t>Sequencing</w:t>
      </w:r>
      <w:r>
        <w:rPr>
          <w:color w:val="000000"/>
        </w:rPr>
        <w:t>: The libraries were sequenced at mean depth: &gt;1000x on Illumina Novaseq- next generation</w:t>
      </w:r>
      <w:r/>
    </w:p>
    <w:p>
      <w:r/>
      <w:r>
        <w:rPr>
          <w:color w:val="000000"/>
        </w:rPr>
        <w:t>sequencing platform.</w:t>
      </w:r>
      <w:r/>
    </w:p>
    <w:p>
      <w:r/>
      <w:r>
        <w:rPr>
          <w:b/>
          <w:color w:val="000000"/>
        </w:rPr>
        <w:t>Data Analysis:</w:t>
      </w:r>
      <w:r>
        <w:rPr>
          <w:color w:val="000000"/>
        </w:rPr>
        <w:t xml:space="preserve"> Sequencing data are analyzed using a customized and validated bioinformatics pipeline</w:t>
      </w:r>
      <w:r/>
    </w:p>
    <w:p>
      <w:r/>
      <w:r>
        <w:rPr>
          <w:color w:val="000000"/>
        </w:rPr>
        <w:t>capable of detecting various classes of genomic alterations, including single nucleotide variants (</w:t>
      </w:r>
      <w:r>
        <w:rPr>
          <w:b/>
          <w:color w:val="000000"/>
        </w:rPr>
        <w:t>SNVs</w:t>
      </w:r>
      <w:r>
        <w:rPr>
          <w:color w:val="000000"/>
        </w:rPr>
        <w:t>),</w:t>
      </w:r>
      <w:r/>
    </w:p>
    <w:p>
      <w:r/>
      <w:r>
        <w:rPr>
          <w:b/>
          <w:color w:val="000000"/>
        </w:rPr>
        <w:t>Indels</w:t>
      </w:r>
      <w:r>
        <w:rPr>
          <w:color w:val="000000"/>
        </w:rPr>
        <w:t>, and copy number variations (</w:t>
      </w:r>
      <w:r>
        <w:rPr>
          <w:b/>
          <w:color w:val="000000"/>
        </w:rPr>
        <w:t>CNVs</w:t>
      </w:r>
      <w:r>
        <w:rPr>
          <w:color w:val="000000"/>
        </w:rPr>
        <w:t>). As part of the streamlined bioinformatics workflow, Multi-gene</w:t>
      </w:r>
      <w:r/>
      <w:r/>
      <w:r/>
      <w:r/>
      <w:r/>
      <w:r/>
      <w:r/>
      <w:r/>
      <w:r/>
    </w:p>
    <w:p>
      <w:r/>
      <w:r>
        <w:rPr>
          <w:color w:val="000000"/>
        </w:rPr>
        <w:t>prioritized, classified, and reported based on AMP-ASCO-CAP guidelines and NCCN guidelines.</w:t>
      </w:r>
      <w:r/>
    </w:p>
    <w:p>
      <w:r/>
      <w:r>
        <w:rPr>
          <w:color w:val="000000"/>
        </w:rPr>
        <w:t>Limit of Detection (LOD): The LOD for SNVs and InDels is 5% Variant allele Frequency (VAF).</w:t>
      </w:r>
      <w:r/>
    </w:p>
    <w:p>
      <w:r/>
      <w:r>
        <w:rPr>
          <w:b/>
          <w:color w:val="FFFFFF"/>
          <w:highlight w:val="lightGray"/>
        </w:rPr>
        <w:t>Notes</w:t>
      </w:r>
      <w:r/>
    </w:p>
    <w:p>
      <w:r/>
      <w:r>
        <w:rPr>
          <w:color w:val="000000"/>
        </w:rPr>
        <w:t>Treatment decisions should not be based solely on the results of this test. Findings must be interpreted in the</w:t>
      </w:r>
      <w:r/>
    </w:p>
    <w:p>
      <w:r/>
      <w:r>
        <w:rPr>
          <w:color w:val="000000"/>
        </w:rPr>
        <w:t>context of the patient</w:t>
      </w:r>
      <w:r>
        <w:rPr>
          <w:color w:val="000000"/>
        </w:rPr>
        <w:t>’</w:t>
      </w:r>
      <w:r>
        <w:rPr>
          <w:color w:val="000000"/>
        </w:rPr>
        <w:t>s complete clinical profile</w:t>
      </w:r>
      <w:r>
        <w:rPr>
          <w:color w:val="000000"/>
        </w:rPr>
        <w:t>—</w:t>
      </w:r>
      <w:r>
        <w:rPr>
          <w:color w:val="000000"/>
        </w:rPr>
        <w:t>including pathological, radiological, and family history</w:t>
      </w:r>
      <w:r>
        <w:rPr>
          <w:color w:val="000000"/>
        </w:rPr>
        <w:t>—</w:t>
      </w:r>
      <w:r>
        <w:rPr>
          <w:color w:val="000000"/>
        </w:rPr>
        <w:t>to</w:t>
      </w:r>
      <w:r/>
    </w:p>
    <w:p>
      <w:r/>
      <w:r>
        <w:rPr>
          <w:color w:val="000000"/>
        </w:rPr>
        <w:t>guide diagnosis, prognosis, and therapeutic decisions.</w:t>
      </w:r>
      <w:r/>
    </w:p>
    <w:p>
      <w:r/>
      <w:r>
        <w:rPr>
          <w:color w:val="000000"/>
        </w:rPr>
        <w:t>Therapy-related information in this report is derived from multiple sources including FDA-approved drug</w:t>
      </w:r>
      <w:r/>
    </w:p>
    <w:p>
      <w:r/>
      <w:r>
        <w:rPr>
          <w:color w:val="000000"/>
        </w:rPr>
        <w:t>data, NCCN guidelines, peer-reviewed literature, standard clinical databases, and biomarker evidence</w:t>
      </w:r>
      <w:r/>
    </w:p>
    <w:p>
      <w:r/>
      <w:r>
        <w:rPr>
          <w:color w:val="000000"/>
        </w:rPr>
        <w:t>strength. However, therapy options listed may not be suitable or beneficial for all patients. This report aims</w:t>
      </w:r>
      <w:r/>
    </w:p>
    <w:p>
      <w:r/>
      <w:r>
        <w:rPr>
          <w:color w:val="000000"/>
        </w:rPr>
        <w:t>to provide a summary of potentially effective treatments, therapies that may pose increased risks, and those</w:t>
      </w:r>
      <w:r/>
    </w:p>
    <w:p>
      <w:r/>
      <w:r>
        <w:rPr>
          <w:color w:val="000000"/>
        </w:rPr>
        <w:t>that may have limited benefit, based on genomic alterations identified. Prognostic and diagnostic biomarkers</w:t>
      </w:r>
      <w:r/>
    </w:p>
    <w:p>
      <w:r/>
      <w:r>
        <w:rPr>
          <w:color w:val="000000"/>
        </w:rPr>
        <w:t>relevant to the disease context may also be reported.</w:t>
      </w:r>
      <w:r/>
    </w:p>
    <w:p>
      <w:r/>
      <w:r>
        <w:rPr>
          <w:color w:val="000000"/>
        </w:rPr>
        <w:t>SN Genelab Pvt Ltd does not guarantee completeness, accuracy, or eligibility for trial enrollment. Physicians</w:t>
      </w:r>
      <w:r/>
    </w:p>
    <w:p>
      <w:r/>
      <w:r>
        <w:rPr>
          <w:color w:val="000000"/>
        </w:rPr>
        <w:t>must verify eligibility criteria for specific trials independently.</w:t>
      </w:r>
      <w:r/>
    </w:p>
    <w:p>
      <w:r/>
      <w:r>
        <w:rPr>
          <w:color w:val="000000"/>
        </w:rPr>
        <w:t>Identification of a genomic alteration does not guarantee therapeutic efficacy or predict ineffectiveness. Final</w:t>
      </w:r>
      <w:r/>
    </w:p>
    <w:p>
      <w:r/>
      <w:r>
        <w:rPr>
          <w:color w:val="000000"/>
        </w:rPr>
        <w:t>decisions on treatment should rest with the treating physician. The absence of reported therapeutic options</w:t>
      </w:r>
      <w:r/>
    </w:p>
    <w:p>
      <w:r/>
      <w:r>
        <w:rPr>
          <w:color w:val="000000"/>
        </w:rPr>
        <w:t>does not imply ineffectiveness or lack of safety of any medication selected independently.</w:t>
      </w:r>
      <w:r/>
    </w:p>
    <w:p>
      <w:r/>
      <w:r>
        <w:rPr>
          <w:color w:val="000000"/>
        </w:rPr>
        <w:t>All variant classifications and related clinical information are based on the latest evidence from peer-</w:t>
      </w:r>
      <w:r/>
    </w:p>
    <w:p>
      <w:r/>
      <w:r>
        <w:rPr>
          <w:color w:val="000000"/>
        </w:rPr>
        <w:t>reviewed publications, public clinical databases, and medical guidelines (e.g., NCCN, ASCO, AMP) available at</w:t>
      </w:r>
      <w:r/>
    </w:p>
    <w:p>
      <w:r/>
      <w:r>
        <w:rPr>
          <w:color w:val="000000"/>
        </w:rPr>
        <w:t>the time of report generation. However, literature is continuously evolving, and classification may change</w:t>
      </w:r>
      <w:r/>
    </w:p>
    <w:p>
      <w:r/>
      <w:r>
        <w:rPr>
          <w:color w:val="000000"/>
        </w:rPr>
        <w:t>with emerging evidence.</w:t>
      </w:r>
      <w:r/>
    </w:p>
    <w:p>
      <w:r/>
      <w:r>
        <w:rPr>
          <w:color w:val="000000"/>
        </w:rPr>
        <w:t>This test is performed on tumor tissue without a matched normal (e.g., blood) sample. Therefore, some</w:t>
      </w:r>
      <w:r/>
    </w:p>
    <w:p>
      <w:r/>
      <w:r>
        <w:rPr>
          <w:color w:val="000000"/>
        </w:rPr>
        <w:t>variants may be of germline origin. While the assay is designed and validated for somatic variant detection, it</w:t>
      </w:r>
      <w:r/>
    </w:p>
    <w:p>
      <w:r/>
      <w:r>
        <w:rPr>
          <w:color w:val="000000"/>
        </w:rPr>
        <w:t>does not differentiate between somatic and germline variants. If indicated, germline testing and genetic</w:t>
      </w:r>
      <w:r/>
    </w:p>
    <w:p>
      <w:r/>
      <w:r>
        <w:rPr>
          <w:color w:val="000000"/>
        </w:rPr>
        <w:t>counselling are recommended.</w:t>
      </w:r>
      <w:r/>
      <w:r/>
      <w:r/>
      <w:r/>
      <w:r/>
      <w:r/>
    </w:p>
    <w:p>
      <w:r/>
      <w:r>
        <w:rPr>
          <w:color w:val="000000"/>
        </w:rPr>
        <w:t>assay failure or compromised results, such as low gene coverage or shallow variant depth.</w:t>
      </w:r>
      <w:r/>
    </w:p>
    <w:p>
      <w:r/>
      <w:r>
        <w:rPr>
          <w:color w:val="000000"/>
        </w:rPr>
        <w:t>Variants with allele frequencies between 3</w:t>
      </w:r>
      <w:r>
        <w:rPr>
          <w:color w:val="000000"/>
        </w:rPr>
        <w:t>–</w:t>
      </w:r>
      <w:r>
        <w:rPr>
          <w:color w:val="000000"/>
        </w:rPr>
        <w:t>5% may be reported if they are of strong or potential clinical</w:t>
      </w:r>
      <w:r/>
    </w:p>
    <w:p>
      <w:r/>
      <w:r>
        <w:rPr>
          <w:color w:val="000000"/>
        </w:rPr>
        <w:t>relevance, or if previously detected in the same patient. False positives or negatives below assay sensitivity</w:t>
      </w:r>
      <w:r/>
    </w:p>
    <w:p>
      <w:r/>
      <w:r>
        <w:rPr>
          <w:color w:val="000000"/>
        </w:rPr>
        <w:t>cannot be ruled out.</w:t>
      </w:r>
      <w:r/>
    </w:p>
    <w:p>
      <w:r/>
      <w:r>
        <w:rPr>
          <w:color w:val="000000"/>
        </w:rPr>
        <w:t>CNVs/gene amplifications have &gt;80% detection sensitivity in this assay. Confirmation using orthogonal</w:t>
      </w:r>
      <w:r/>
    </w:p>
    <w:p>
      <w:r/>
      <w:r>
        <w:rPr>
          <w:color w:val="000000"/>
        </w:rPr>
        <w:t>methods such as FISH/DDPCR is recommended when clinically indicated.</w:t>
      </w:r>
      <w:r/>
    </w:p>
    <w:p>
      <w:r/>
      <w:r>
        <w:rPr>
          <w:color w:val="000000"/>
        </w:rPr>
        <w:t>Variants in non-coding regions or deep intronic sequences are not assessed in this assay.</w:t>
      </w:r>
      <w:r/>
    </w:p>
    <w:p>
      <w:r/>
      <w:r>
        <w:rPr>
          <w:i/>
          <w:color w:val="000000"/>
        </w:rPr>
        <w:t>This assay is under the scope of NABL as Solidseq Comprehensive panel.</w:t>
      </w:r>
      <w:r/>
    </w:p>
    <w:p>
      <w:r/>
      <w:r>
        <w:rPr>
          <w:b/>
          <w:color w:val="FFFFFF"/>
          <w:highlight w:val="lightGray"/>
        </w:rPr>
        <w:t>DNA Gene List</w:t>
      </w:r>
      <w:r/>
    </w:p>
    <w:p>
      <w:r/>
      <w:r>
        <w:rPr>
          <w:color w:val="000000"/>
        </w:rPr>
        <w:t>AKT1</w:t>
      </w:r>
      <w:r/>
    </w:p>
    <w:p>
      <w:r/>
      <w:r>
        <w:rPr>
          <w:color w:val="000000"/>
        </w:rPr>
        <w:t>ARID1A</w:t>
      </w:r>
      <w:r/>
    </w:p>
    <w:p>
      <w:r/>
      <w:r>
        <w:rPr>
          <w:color w:val="000000"/>
        </w:rPr>
        <w:t>ARID5B</w:t>
      </w:r>
      <w:r/>
    </w:p>
    <w:p>
      <w:r/>
      <w:r>
        <w:rPr>
          <w:color w:val="000000"/>
        </w:rPr>
        <w:t>ATM</w:t>
      </w:r>
      <w:r/>
    </w:p>
    <w:p>
      <w:r/>
      <w:r>
        <w:rPr>
          <w:color w:val="000000"/>
        </w:rPr>
        <w:t>BCOR</w:t>
      </w:r>
      <w:r/>
    </w:p>
    <w:p>
      <w:r/>
      <w:r>
        <w:rPr>
          <w:color w:val="000000"/>
        </w:rPr>
        <w:t>BRAF</w:t>
      </w:r>
      <w:r/>
    </w:p>
    <w:p>
      <w:r/>
      <w:r>
        <w:rPr>
          <w:color w:val="000000"/>
        </w:rPr>
        <w:t>BRCA1</w:t>
      </w:r>
      <w:r/>
    </w:p>
    <w:p>
      <w:r/>
      <w:r>
        <w:rPr>
          <w:color w:val="000000"/>
        </w:rPr>
        <w:t>BRCA2</w:t>
      </w:r>
      <w:r/>
    </w:p>
    <w:p>
      <w:r/>
      <w:r>
        <w:rPr>
          <w:color w:val="000000"/>
        </w:rPr>
        <w:t>CCNE1</w:t>
      </w:r>
      <w:r/>
    </w:p>
    <w:p>
      <w:r/>
      <w:r>
        <w:rPr>
          <w:color w:val="000000"/>
        </w:rPr>
        <w:t>CDKN2A</w:t>
      </w:r>
      <w:r/>
    </w:p>
    <w:p>
      <w:r/>
      <w:r>
        <w:rPr>
          <w:color w:val="000000"/>
        </w:rPr>
        <w:t>CHEK2</w:t>
      </w:r>
      <w:r/>
    </w:p>
    <w:p>
      <w:r/>
      <w:r>
        <w:rPr>
          <w:color w:val="000000"/>
        </w:rPr>
        <w:t>CTCF</w:t>
      </w:r>
      <w:r/>
    </w:p>
    <w:p>
      <w:r/>
      <w:r>
        <w:rPr>
          <w:color w:val="000000"/>
        </w:rPr>
        <w:t>CTNNB1</w:t>
      </w:r>
      <w:r/>
    </w:p>
    <w:p>
      <w:r/>
      <w:r>
        <w:rPr>
          <w:color w:val="000000"/>
        </w:rPr>
        <w:t>EGFR</w:t>
      </w:r>
      <w:r/>
    </w:p>
    <w:p>
      <w:r/>
      <w:r>
        <w:rPr>
          <w:color w:val="000000"/>
        </w:rPr>
        <w:t>EPCAM</w:t>
      </w:r>
      <w:r/>
    </w:p>
    <w:p>
      <w:r/>
      <w:r>
        <w:rPr>
          <w:color w:val="000000"/>
        </w:rPr>
        <w:t>ERBB2</w:t>
      </w:r>
      <w:r/>
    </w:p>
    <w:p>
      <w:r/>
      <w:r>
        <w:rPr>
          <w:color w:val="000000"/>
        </w:rPr>
        <w:t>FBXW7</w:t>
      </w:r>
      <w:r/>
    </w:p>
    <w:p>
      <w:r/>
      <w:r>
        <w:rPr>
          <w:color w:val="000000"/>
        </w:rPr>
        <w:t>FGFR1</w:t>
      </w:r>
      <w:r/>
    </w:p>
    <w:p>
      <w:r/>
      <w:r>
        <w:rPr>
          <w:color w:val="000000"/>
        </w:rPr>
        <w:t>FGFR2</w:t>
      </w:r>
      <w:r/>
    </w:p>
    <w:p>
      <w:r/>
      <w:r>
        <w:rPr>
          <w:color w:val="000000"/>
        </w:rPr>
        <w:t>FGFR3</w:t>
      </w:r>
      <w:r/>
    </w:p>
    <w:p>
      <w:r/>
      <w:r>
        <w:rPr>
          <w:color w:val="000000"/>
        </w:rPr>
        <w:t>KMT2D</w:t>
      </w:r>
      <w:r/>
    </w:p>
    <w:p>
      <w:r/>
      <w:r>
        <w:rPr>
          <w:color w:val="000000"/>
        </w:rPr>
        <w:t>KRAS</w:t>
      </w:r>
      <w:r/>
    </w:p>
    <w:p>
      <w:r/>
      <w:r>
        <w:rPr>
          <w:color w:val="000000"/>
        </w:rPr>
        <w:t>MLH1</w:t>
      </w:r>
      <w:r/>
    </w:p>
    <w:p>
      <w:r/>
      <w:r>
        <w:rPr>
          <w:color w:val="000000"/>
        </w:rPr>
        <w:t>MLH3</w:t>
      </w:r>
      <w:r/>
    </w:p>
    <w:p>
      <w:r/>
      <w:r>
        <w:rPr>
          <w:color w:val="000000"/>
        </w:rPr>
        <w:t>MSH2</w:t>
      </w:r>
      <w:r/>
    </w:p>
    <w:p>
      <w:r/>
      <w:r>
        <w:rPr>
          <w:color w:val="000000"/>
        </w:rPr>
        <w:t>MSH3</w:t>
      </w:r>
      <w:r/>
    </w:p>
    <w:p>
      <w:r/>
      <w:r>
        <w:rPr>
          <w:color w:val="000000"/>
        </w:rPr>
        <w:t>MSH6</w:t>
      </w:r>
      <w:r/>
    </w:p>
    <w:p>
      <w:r/>
      <w:r>
        <w:rPr>
          <w:color w:val="000000"/>
        </w:rPr>
        <w:t>MUTYH</w:t>
      </w:r>
      <w:r/>
    </w:p>
    <w:p>
      <w:r/>
      <w:r>
        <w:rPr>
          <w:color w:val="000000"/>
        </w:rPr>
        <w:t>NTRK1</w:t>
      </w:r>
      <w:r/>
    </w:p>
    <w:p>
      <w:r/>
      <w:r>
        <w:rPr>
          <w:color w:val="000000"/>
        </w:rPr>
        <w:t>NTRK2</w:t>
      </w:r>
      <w:r/>
    </w:p>
    <w:p>
      <w:r/>
      <w:r>
        <w:rPr>
          <w:color w:val="000000"/>
        </w:rPr>
        <w:t>NTRK3</w:t>
      </w:r>
      <w:r/>
    </w:p>
    <w:p>
      <w:r/>
      <w:r>
        <w:rPr>
          <w:color w:val="000000"/>
        </w:rPr>
        <w:t>PIK3CA</w:t>
      </w:r>
      <w:r/>
    </w:p>
    <w:p>
      <w:r/>
      <w:r>
        <w:rPr>
          <w:color w:val="000000"/>
        </w:rPr>
        <w:t>PIK3R1</w:t>
      </w:r>
      <w:r/>
    </w:p>
    <w:p>
      <w:r/>
      <w:r>
        <w:rPr>
          <w:color w:val="000000"/>
        </w:rPr>
        <w:t>PIK3R2</w:t>
      </w:r>
      <w:r/>
    </w:p>
    <w:p>
      <w:r/>
      <w:r>
        <w:rPr>
          <w:color w:val="000000"/>
        </w:rPr>
        <w:t>PMS1</w:t>
      </w:r>
      <w:r/>
    </w:p>
    <w:p>
      <w:r/>
      <w:r>
        <w:rPr>
          <w:color w:val="000000"/>
        </w:rPr>
        <w:t>PMS2</w:t>
      </w:r>
      <w:r/>
    </w:p>
    <w:p>
      <w:r/>
      <w:r>
        <w:rPr>
          <w:color w:val="000000"/>
        </w:rPr>
        <w:t>POLD1</w:t>
      </w:r>
      <w:r/>
    </w:p>
    <w:p>
      <w:r/>
      <w:r>
        <w:rPr>
          <w:color w:val="000000"/>
        </w:rPr>
        <w:t>POLE</w:t>
      </w:r>
      <w:r/>
    </w:p>
    <w:p>
      <w:r/>
      <w:r>
        <w:rPr>
          <w:color w:val="000000"/>
        </w:rPr>
        <w:t>PPP2R1A</w:t>
      </w:r>
      <w:r/>
    </w:p>
    <w:p>
      <w:r/>
      <w:r>
        <w:rPr>
          <w:color w:val="000000"/>
        </w:rPr>
        <w:t>PTEN</w:t>
      </w:r>
      <w:r/>
    </w:p>
    <w:p>
      <w:r/>
      <w:r>
        <w:rPr>
          <w:color w:val="000000"/>
        </w:rPr>
        <w:t>RET</w:t>
      </w:r>
      <w:r/>
    </w:p>
    <w:p>
      <w:r/>
      <w:r>
        <w:rPr>
          <w:color w:val="000000"/>
        </w:rPr>
        <w:t>TP53</w:t>
      </w:r>
      <w:r/>
    </w:p>
    <w:p>
      <w:r/>
      <w:r>
        <w:rPr>
          <w:color w:val="000000"/>
        </w:rPr>
        <w:t>TSC2</w:t>
      </w:r>
      <w:r/>
    </w:p>
    <w:p>
      <w:r/>
      <w:r/>
    </w:p>
    <w:p>
      <w:r/>
      <w:r/>
    </w:p>
    <w:p>
      <w:r/>
      <w:r/>
    </w:p>
    <w:p>
      <w:r/>
      <w:r/>
    </w:p>
    <w:p>
      <w:r/>
      <w:r>
        <w:rPr>
          <w:color w:val="000000"/>
        </w:rPr>
        <w:t>MSI - Low / Intermediate</w:t>
      </w:r>
      <w:r/>
    </w:p>
    <w:p>
      <w:r/>
      <w:r>
        <w:rPr>
          <w:color w:val="000000"/>
        </w:rPr>
        <w:t>20-30%</w:t>
      </w:r>
      <w:r/>
    </w:p>
    <w:p>
      <w:r/>
      <w:r>
        <w:rPr>
          <w:color w:val="000000"/>
        </w:rPr>
        <w:t>MSI - High</w:t>
      </w:r>
      <w:r/>
    </w:p>
    <w:p>
      <w:r/>
      <w:r>
        <w:rPr>
          <w:color w:val="000000"/>
        </w:rPr>
        <w:t>&gt;30%</w:t>
      </w:r>
      <w:r/>
    </w:p>
    <w:p>
      <w:r/>
      <w:r>
        <w:rPr>
          <w:b/>
          <w:color w:val="FFFFFF"/>
          <w:highlight w:val="lightGray"/>
        </w:rPr>
        <w:t>Tier</w:t>
      </w:r>
      <w:r/>
    </w:p>
    <w:p>
      <w:r/>
      <w:r>
        <w:rPr>
          <w:b/>
          <w:color w:val="FFFFFF"/>
          <w:highlight w:val="lightGray"/>
        </w:rPr>
        <w:t>Interpretation</w:t>
      </w:r>
      <w:r/>
    </w:p>
    <w:p>
      <w:r/>
      <w:r>
        <w:rPr>
          <w:b/>
          <w:color w:val="000000"/>
        </w:rPr>
        <w:t>Tier IA</w:t>
      </w:r>
      <w:r/>
    </w:p>
    <w:p>
      <w:r/>
      <w:r>
        <w:rPr>
          <w:color w:val="000000"/>
        </w:rPr>
        <w:t>Variants of Strong Clinical Significance: Biomarkers that predict response or resistance to</w:t>
      </w:r>
      <w:r/>
    </w:p>
    <w:p>
      <w:r/>
      <w:r>
        <w:rPr>
          <w:color w:val="000000"/>
        </w:rPr>
        <w:t>US FDA-approved therapies for a specific type of tumor or have been included in</w:t>
      </w:r>
      <w:r/>
    </w:p>
    <w:p>
      <w:r/>
      <w:r>
        <w:rPr>
          <w:color w:val="000000"/>
        </w:rPr>
        <w:t>professional guidelines as therapeutic, diagnostic, and/or prognostic biomarkers for</w:t>
      </w:r>
      <w:r/>
    </w:p>
    <w:p>
      <w:r/>
      <w:r>
        <w:rPr>
          <w:color w:val="000000"/>
        </w:rPr>
        <w:t>specific types of tumors.</w:t>
      </w:r>
      <w:r/>
      <w:r/>
      <w:r/>
      <w:r/>
      <w:r/>
      <w:r>
        <w:t>MSI</w:t>
      </w:r>
      <w:r/>
      <w:r>
        <w:t>% of Unstable Loci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r/>
      <w:r>
        <w:rPr>
          <w:color w:val="000000"/>
        </w:rPr>
        <w:t>a therapy based on well-powered studies with consensus from experts in the field, or</w:t>
      </w:r>
      <w:r/>
    </w:p>
    <w:p>
      <w:r/>
      <w:r>
        <w:rPr>
          <w:color w:val="000000"/>
        </w:rPr>
        <w:t>have diagnostic and/or prognostic significance of certain diseases based on well-powered</w:t>
      </w:r>
      <w:r/>
    </w:p>
    <w:p>
      <w:r/>
      <w:r>
        <w:rPr>
          <w:color w:val="000000"/>
        </w:rPr>
        <w:t>studies with expert consensus.</w:t>
      </w:r>
      <w:r/>
    </w:p>
    <w:p>
      <w:r/>
      <w:r>
        <w:rPr>
          <w:b/>
          <w:color w:val="000000"/>
        </w:rPr>
        <w:t>Tier IIC</w:t>
      </w:r>
      <w:r/>
    </w:p>
    <w:p>
      <w:r/>
      <w:r>
        <w:rPr>
          <w:color w:val="000000"/>
        </w:rPr>
        <w:t>Variants of Potential Clinical Significance: biomarkers that predict response or resistance</w:t>
      </w:r>
      <w:r/>
    </w:p>
    <w:p>
      <w:r/>
      <w:r>
        <w:rPr>
          <w:color w:val="000000"/>
        </w:rPr>
        <w:t>to therapies approved by FDA or professional societies for a different tumor type (i.e., off-</w:t>
      </w:r>
      <w:r/>
    </w:p>
    <w:p>
      <w:r/>
      <w:r>
        <w:rPr>
          <w:color w:val="000000"/>
        </w:rPr>
        <w:t>label use of a drug), serve as inclusion criteria for clinical trials, or have diagnostic and/or</w:t>
      </w:r>
      <w:r/>
    </w:p>
    <w:p>
      <w:r/>
      <w:r>
        <w:rPr>
          <w:color w:val="000000"/>
        </w:rPr>
        <w:t>prognostic significance based on the results of multiple small studies.</w:t>
      </w:r>
      <w:r/>
    </w:p>
    <w:p>
      <w:r/>
      <w:r>
        <w:rPr>
          <w:b/>
          <w:color w:val="000000"/>
        </w:rPr>
        <w:t>Tier IID</w:t>
      </w:r>
      <w:r/>
    </w:p>
    <w:p>
      <w:r/>
      <w:r>
        <w:rPr>
          <w:color w:val="000000"/>
        </w:rPr>
        <w:t>Variants of Potential Clinical Significance: Biomarkers that show plausible therapeutic</w:t>
      </w:r>
      <w:r/>
    </w:p>
    <w:p>
      <w:r/>
      <w:r>
        <w:rPr>
          <w:color w:val="000000"/>
        </w:rPr>
        <w:t>significance based on preclinical studies or may assist disease diagnosis and/or prognosis</w:t>
      </w:r>
      <w:r/>
    </w:p>
    <w:p>
      <w:r/>
      <w:r>
        <w:rPr>
          <w:color w:val="000000"/>
        </w:rPr>
        <w:t>themselves or along with other biomarkers based on small studies or multiple case</w:t>
      </w:r>
      <w:r/>
    </w:p>
    <w:p>
      <w:r/>
      <w:r>
        <w:rPr>
          <w:color w:val="000000"/>
        </w:rPr>
        <w:t>reports with no consensus.</w:t>
      </w:r>
      <w:r/>
    </w:p>
    <w:p>
      <w:r/>
      <w:r>
        <w:rPr>
          <w:b/>
          <w:color w:val="000000"/>
        </w:rPr>
        <w:t>Tier III</w:t>
      </w:r>
      <w:r/>
    </w:p>
    <w:p>
      <w:r/>
      <w:r>
        <w:rPr>
          <w:color w:val="000000"/>
        </w:rPr>
        <w:t>Variants of Unknown clinical significance (VUS): Not observed at a significant allele</w:t>
      </w:r>
      <w:r/>
    </w:p>
    <w:p>
      <w:r/>
      <w:r>
        <w:rPr>
          <w:color w:val="000000"/>
        </w:rPr>
        <w:t>frequency in the general or specific subpopulation or pancancer or tumor specific variant</w:t>
      </w:r>
      <w:r/>
    </w:p>
    <w:p>
      <w:r/>
      <w:r>
        <w:rPr>
          <w:color w:val="000000"/>
        </w:rPr>
        <w:t>databases. No convincing published evidence of cancer Association</w:t>
      </w:r>
      <w:r/>
    </w:p>
    <w:p>
      <w:r/>
      <w:r>
        <w:rPr>
          <w:b/>
          <w:color w:val="008080"/>
        </w:rPr>
        <w:t>References:</w:t>
      </w:r>
      <w:r/>
    </w:p>
    <w:p>
      <w:r/>
      <w:r>
        <w:rPr>
          <w:color w:val="000000"/>
        </w:rPr>
        <w:t>1.</w:t>
      </w:r>
      <w:r/>
    </w:p>
    <w:p>
      <w:r/>
      <w:r>
        <w:rPr>
          <w:i/>
          <w:color w:val="000000"/>
        </w:rPr>
        <w:t>Milella et al. PTEN: Multiple Functions in Human Malignant Tumors. Front Oncol. 2015 Feb 16;5:24. doi:</w:t>
      </w:r>
      <w:r/>
    </w:p>
    <w:p>
      <w:r/>
      <w:r>
        <w:rPr>
          <w:i/>
          <w:color w:val="000000"/>
        </w:rPr>
        <w:t>10.3389/fonc.2015.00024. eCollection 2015. PMID: 25763354</w:t>
      </w:r>
      <w:r/>
    </w:p>
    <w:p>
      <w:r/>
      <w:r>
        <w:rPr>
          <w:color w:val="000000"/>
        </w:rPr>
        <w:t>2.</w:t>
      </w:r>
      <w:r/>
    </w:p>
    <w:p>
      <w:r/>
      <w:r>
        <w:rPr>
          <w:i/>
          <w:color w:val="000000"/>
        </w:rPr>
        <w:t>Song et al. The functions and regulation of the PTEN tumour suppressor. Nat. Rev. Mol. Cell Biol. 2012 Apr 4;13(5):283-96.</w:t>
      </w:r>
      <w:r/>
    </w:p>
    <w:p>
      <w:r/>
      <w:r>
        <w:rPr>
          <w:i/>
          <w:color w:val="000000"/>
        </w:rPr>
        <w:t>PMID: 22473468</w:t>
      </w:r>
      <w:r/>
    </w:p>
    <w:p>
      <w:r/>
      <w:r>
        <w:rPr>
          <w:color w:val="000000"/>
        </w:rPr>
        <w:t>3.</w:t>
      </w:r>
      <w:r/>
    </w:p>
    <w:p>
      <w:r/>
      <w:r>
        <w:rPr>
          <w:i/>
          <w:color w:val="000000"/>
        </w:rPr>
        <w:t>Chalhoub et al. PTEN and the PI3-kinase pathway in cancer. Annu Rev Pathol. 2009;4:127-50. PMID: 18767981</w:t>
      </w:r>
      <w:r/>
    </w:p>
    <w:p>
      <w:r/>
      <w:r>
        <w:rPr>
          <w:color w:val="000000"/>
        </w:rPr>
        <w:t>4.</w:t>
      </w:r>
      <w:r/>
    </w:p>
    <w:p>
      <w:r/>
      <w:r>
        <w:rPr>
          <w:i/>
          <w:color w:val="000000"/>
        </w:rPr>
        <w:t>Mansour et al. Loss of PTEN-assisted G2/M checkpoint impedes homologous recombination repair and enhances radio-</w:t>
      </w:r>
      <w:r/>
    </w:p>
    <w:p>
      <w:r/>
      <w:r>
        <w:rPr>
          <w:i/>
          <w:color w:val="000000"/>
        </w:rPr>
        <w:t>curability and PARP inhibitor treatment response in prostate cancer. Sci Rep. 2018 Mar 2;8(1):3947. PMID: 29500400</w:t>
      </w:r>
      <w:r/>
    </w:p>
    <w:p>
      <w:r/>
      <w:r>
        <w:rPr>
          <w:color w:val="000000"/>
        </w:rPr>
        <w:t>5.</w:t>
      </w:r>
      <w:r/>
    </w:p>
    <w:p>
      <w:r/>
      <w:r>
        <w:rPr>
          <w:i/>
          <w:color w:val="000000"/>
        </w:rPr>
        <w:t>Leslie et al. Inherited PTEN mutations and the prediction of phenotype. Semin. Cell Dev. Biol. 2016 Apr;52:30-8. PMID:</w:t>
      </w:r>
      <w:r/>
    </w:p>
    <w:p>
      <w:r/>
      <w:r>
        <w:rPr>
          <w:i/>
          <w:color w:val="000000"/>
        </w:rPr>
        <w:t>26827793</w:t>
      </w:r>
      <w:r/>
    </w:p>
    <w:p>
      <w:r/>
      <w:r>
        <w:rPr>
          <w:color w:val="000000"/>
        </w:rPr>
        <w:t>6.</w:t>
      </w:r>
      <w:r/>
    </w:p>
    <w:p>
      <w:r/>
      <w:r>
        <w:rPr>
          <w:i/>
          <w:color w:val="000000"/>
        </w:rPr>
        <w:t>Tan et al. Lifetime cancer risks in individuals with germline PTEN mutations. Clin. Cancer Res. 2012 Jan 15;18(2):400-7.</w:t>
      </w:r>
      <w:r/>
    </w:p>
    <w:p>
      <w:r/>
      <w:r>
        <w:rPr>
          <w:i/>
          <w:color w:val="000000"/>
        </w:rPr>
        <w:t>PMID: 22252256</w:t>
      </w:r>
      <w:r/>
    </w:p>
    <w:p>
      <w:r/>
      <w:r>
        <w:rPr>
          <w:color w:val="000000"/>
        </w:rPr>
        <w:t>7.</w:t>
      </w:r>
      <w:r/>
    </w:p>
    <w:p>
      <w:r/>
      <w:r>
        <w:rPr>
          <w:i/>
          <w:color w:val="000000"/>
        </w:rPr>
        <w:t>Cerami et al. The cBio cancer genomics portal: an open platform for exploring multidimensional cancer genomics data.</w:t>
      </w:r>
      <w:r/>
    </w:p>
    <w:p>
      <w:r/>
      <w:r>
        <w:rPr>
          <w:i/>
          <w:color w:val="000000"/>
        </w:rPr>
        <w:t>Cancer Discov. 2012 May;2(5):401-4. PMID: 22588877</w:t>
      </w:r>
      <w:r/>
      <w:r/>
      <w:r/>
      <w:r/>
      <w:r/>
      <w:r/>
      <w:r/>
      <w:r/>
      <w:r/>
      <w:r/>
    </w:p>
    <w:p>
      <w:r/>
      <w:r>
        <w:rPr>
          <w:color w:val="000000"/>
        </w:rPr>
        <w:t>9.</w:t>
      </w:r>
      <w:r/>
    </w:p>
    <w:p>
      <w:r/>
      <w:r>
        <w:rPr>
          <w:i/>
          <w:color w:val="000000"/>
        </w:rPr>
        <w:t>Dillon et al. Therapeutic targeting of cancers with loss of PTEN function. Curr Drug Targets. 2014 Jan;15(1):65-79. PMID:</w:t>
      </w:r>
      <w:r/>
    </w:p>
    <w:p>
      <w:r/>
      <w:r>
        <w:rPr>
          <w:i/>
          <w:color w:val="000000"/>
        </w:rPr>
        <w:t>24387334</w:t>
      </w:r>
      <w:r/>
    </w:p>
    <w:p>
      <w:r/>
      <w:r>
        <w:rPr>
          <w:color w:val="000000"/>
        </w:rPr>
        <w:t>10.</w:t>
      </w:r>
      <w:r>
        <w:rPr>
          <w:i/>
          <w:color w:val="000000"/>
        </w:rPr>
        <w:t xml:space="preserve"> Papa et al. Cancer-associated PTEN mutants act in a dominant-negative manner to suppress PTEN protein function. Cell.</w:t>
      </w:r>
      <w:r/>
    </w:p>
    <w:p>
      <w:r/>
      <w:r>
        <w:rPr>
          <w:i/>
          <w:color w:val="000000"/>
        </w:rPr>
        <w:t>2014 Apr 24;157(3):595-610. PMID: 24766807</w:t>
      </w:r>
      <w:r/>
    </w:p>
    <w:p>
      <w:r/>
      <w:r>
        <w:rPr>
          <w:color w:val="000000"/>
        </w:rPr>
        <w:t>11.</w:t>
      </w:r>
      <w:r>
        <w:rPr>
          <w:i/>
          <w:color w:val="000000"/>
        </w:rPr>
        <w:t xml:space="preserve"> Kato et al. Functional evaluation of p53 and PTEN gene mutations in gliomas. Clin. Cancer Res. 2000 Oct;6(10):3937-43.</w:t>
      </w:r>
      <w:r/>
    </w:p>
    <w:p>
      <w:r/>
      <w:r>
        <w:rPr>
          <w:i/>
          <w:color w:val="000000"/>
        </w:rPr>
        <w:t>PMID: 11051241</w:t>
      </w:r>
      <w:r/>
    </w:p>
    <w:p>
      <w:r/>
      <w:r>
        <w:rPr>
          <w:color w:val="000000"/>
        </w:rPr>
        <w:t>12.</w:t>
      </w:r>
      <w:r>
        <w:rPr>
          <w:i/>
          <w:color w:val="000000"/>
        </w:rPr>
        <w:t xml:space="preserve"> Han et al. Functional evaluation of PTEN missense mutations using in vitro phosphoinositide phosphatase assay. Cancer</w:t>
      </w:r>
      <w:r/>
    </w:p>
    <w:p>
      <w:r/>
      <w:r>
        <w:rPr>
          <w:i/>
          <w:color w:val="000000"/>
        </w:rPr>
        <w:t>Res. 2000 Jun 15;60(12):3147-51. PMID: 10866302</w:t>
      </w:r>
      <w:r/>
    </w:p>
    <w:p>
      <w:r/>
      <w:r>
        <w:rPr>
          <w:color w:val="000000"/>
        </w:rPr>
        <w:t>13.</w:t>
      </w:r>
      <w:r>
        <w:rPr>
          <w:i/>
          <w:color w:val="000000"/>
        </w:rPr>
        <w:t xml:space="preserve"> Mendes-Pereira et al. Synthetic lethal targeting of PTEN mutant cells with PARP inhibitors. EMBO Mol Med. 2009</w:t>
      </w:r>
      <w:r/>
    </w:p>
    <w:p>
      <w:r/>
      <w:r>
        <w:rPr>
          <w:i/>
          <w:color w:val="000000"/>
        </w:rPr>
        <w:t>Sep;1(6-7):315-22. PMID: 20049735</w:t>
      </w:r>
      <w:r/>
    </w:p>
    <w:p>
      <w:r/>
      <w:r>
        <w:rPr>
          <w:color w:val="000000"/>
        </w:rPr>
        <w:t>14.</w:t>
      </w:r>
      <w:r>
        <w:rPr>
          <w:i/>
          <w:color w:val="000000"/>
        </w:rPr>
        <w:t xml:space="preserve"> Bian et al. PTEN deficiency sensitizes endometrioid endometrial cancer to compound PARP-PI3K inhibition but not PARP</w:t>
      </w:r>
      <w:r/>
    </w:p>
    <w:p>
      <w:r/>
      <w:r>
        <w:rPr>
          <w:i/>
          <w:color w:val="000000"/>
        </w:rPr>
        <w:t>inhibition as monotherapy. Oncogene. 2018 Jan 18;37(3):341-351. PMID: 28945226</w:t>
      </w:r>
      <w:r/>
    </w:p>
    <w:p>
      <w:r/>
      <w:r>
        <w:rPr>
          <w:color w:val="000000"/>
        </w:rPr>
        <w:t>15.</w:t>
      </w:r>
      <w:r>
        <w:rPr>
          <w:i/>
          <w:color w:val="000000"/>
        </w:rPr>
        <w:t xml:space="preserve"> https://www.senhwabio.com//en/news/20220125</w:t>
      </w:r>
      <w:r/>
    </w:p>
    <w:p>
      <w:r/>
      <w:r>
        <w:rPr>
          <w:color w:val="000000"/>
        </w:rPr>
        <w:t>16.</w:t>
      </w:r>
      <w:r>
        <w:rPr>
          <w:i/>
          <w:color w:val="000000"/>
        </w:rPr>
        <w:t xml:space="preserve"> https://www.accessdata.fda.gov/drugsatfda_docs/label/2025/218197s002lbl.pdf</w:t>
      </w:r>
      <w:r/>
    </w:p>
    <w:p>
      <w:r/>
      <w:r>
        <w:rPr>
          <w:color w:val="000000"/>
        </w:rPr>
        <w:t>------------------ End Of Report ------------------</w:t>
      </w:r>
      <w:r/>
      <w:r/>
      <w:r/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