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
      </w:pPr>
      <w:r>
        <w:rPr>
          <w:rFonts w:ascii="Cambria" w:hAnsi="Cambria"/>
          <w:b/>
          <w:color w:val="1F497D"/>
          <w:sz w:val="20"/>
        </w:rPr>
        <w:t xml:space="preserve">Sample Description: </w:t>
      </w:r>
      <w:r>
        <w:rPr>
          <w:rFonts w:ascii="Cambria" w:hAnsi="Cambria"/>
          <w:color w:val="000000"/>
          <w:sz w:val="20"/>
        </w:rPr>
        <w:t>Sample quality is optimum for the test.</w:t>
      </w:r>
    </w:p>
    <w:p>
      <w:pPr>
        <w:keepNext/>
        <w:spacing w:line="276" w:lineRule="auto" w:after="80" w:before="160"/>
      </w:pPr>
      <w:r>
        <w:rPr>
          <w:rFonts w:ascii="Cambria" w:hAnsi="Cambria"/>
          <w:b/>
          <w:color w:val="1F497D"/>
          <w:sz w:val="22"/>
        </w:rPr>
        <w:t>Variants of Uncertain Significance identified in relation to phenotype</w:t>
      </w:r>
    </w:p>
    <w:p>
      <w:pPr>
        <w:keepNext/>
        <w:spacing w:before="160" w:after="40"/>
      </w:pPr>
      <w:r>
        <w:rPr>
          <w:rFonts w:ascii="Cambria" w:hAnsi="Cambria"/>
          <w:b/>
          <w:color w:val="1F497D"/>
          <w:sz w:val="20"/>
        </w:rPr>
        <w:t>Key Findings:</w:t>
      </w:r>
    </w:p>
    <w:p>
      <w:pPr>
        <w:spacing w:line="276" w:lineRule="auto" w:after="80"/>
        <w:ind w:left="360"/>
        <w:jc w:val="both"/>
      </w:pPr>
      <w:r>
        <w:rPr>
          <w:rFonts w:ascii="Cambria" w:hAnsi="Cambria"/>
          <w:color w:val="000000"/>
          <w:sz w:val="20"/>
        </w:rPr>
        <w:t>*Genetic test results are reported based on the recommendations of American College of Medical Genetics # Due to lack of clinical evidence for this variant, it is classified as variant of uncertain significance. Note: The variant KIF26A:c.1326+2T&gt;A to be confirmed by sanger due to low death of the variant.</w:t>
      </w:r>
    </w:p>
    <w:p>
      <w:pPr>
        <w:spacing w:line="276" w:lineRule="auto" w:after="80"/>
      </w:pPr>
      <w:r>
        <w:rPr>
          <w:rFonts w:ascii="Cambria" w:hAnsi="Cambria"/>
          <w:color w:val="000000"/>
          <w:sz w:val="20"/>
        </w:rPr>
        <w:t>Variant Interpretation &amp; Clinical correlation:</w:t>
      </w:r>
    </w:p>
    <w:p>
      <w:pPr>
        <w:spacing w:line="276" w:lineRule="auto" w:after="80"/>
      </w:pPr>
      <w:r>
        <w:rPr>
          <w:rFonts w:ascii="Cambria" w:hAnsi="Cambria"/>
          <w:b/>
          <w:color w:val="1F497D"/>
          <w:sz w:val="20"/>
        </w:rPr>
        <w:t xml:space="preserve">KIF26A : </w:t>
      </w:r>
      <w:r>
        <w:rPr>
          <w:rFonts w:ascii="Cambria" w:hAnsi="Cambria"/>
          <w:color w:val="000000"/>
          <w:sz w:val="20"/>
        </w:rPr>
        <w:t>c.1326+2T&gt;A; The submitted sample shows Heterozygous variant in Intron 6 of gene  KIF26A  (chr14: g.104171937T&gt;A). A splice donor variant “T” to “A” detected at nucleotide position 1326+2. This variant mutates a splice-donor sequence, potentially resulting in the retention of large segments of intronic DNA by the mRNA and nonfunctional proteins.  In silico predictions: The c.1326+2T&gt;A variant is a loss of function variant in the gene KIF26A, which is intolerant of Loss of Function variant. Population frequency and Internal database :  The c.1326+2T&gt;A variant is novel (not in any individuals) in gnomAD All. The c.1326+2T&gt;A variant is novel (not in any individuals) in 1kG All. This variant is absent in our internal database.</w:t>
      </w:r>
    </w:p>
    <w:p>
      <w:pPr>
        <w:spacing w:line="276" w:lineRule="auto" w:after="80"/>
      </w:pPr>
      <w:r>
        <w:rPr>
          <w:rFonts w:ascii="Cambria" w:hAnsi="Cambria"/>
          <w:color w:val="000000"/>
          <w:sz w:val="20"/>
        </w:rPr>
        <w:t>Clinical Indication:</w:t>
      </w:r>
    </w:p>
    <w:p>
      <w:pPr>
        <w:spacing w:line="276" w:lineRule="auto" w:after="80"/>
        <w:jc w:val="both"/>
      </w:pPr>
      <w:r>
        <w:rPr>
          <w:rFonts w:ascii="Cambria" w:hAnsi="Cambria"/>
          <w:color w:val="000000"/>
          <w:sz w:val="20"/>
        </w:rPr>
        <w:t>Rudransh Garg normal till 9 months of age, sit, stand with support. He has seizures, ventilated 3 weeks, was unresponsive for week. MRI - signal change. EEG - abnormal.</w:t>
      </w:r>
    </w:p>
    <w:tbl>
      <w:tblPr>
        <w:tblW w:type="auto" w:w="0"/>
        <w:jc w:val="center"/>
        <w:tblLayout w:type="fixed"/>
        <w:tblLook w:firstColumn="1" w:firstRow="1" w:lastColumn="0" w:lastRow="0" w:noHBand="0" w:noVBand="1" w:val="04A0"/>
      </w:tblPr>
      <w:tblGrid>
        <w:gridCol w:w="1800"/>
        <w:gridCol w:w="1800"/>
        <w:gridCol w:w="1800"/>
        <w:gridCol w:w="1800"/>
        <w:gridCol w:w="1800"/>
        <w:gridCol w:w="1800"/>
      </w:tblGrid>
      <w:tr>
        <w:trPr>
          <w:tblHeader/>
        </w:trPr>
        <w:tc>
          <w:tcPr>
            <w:tcW w:type="dxa" w:w="1800"/>
            <w:tcW w:w="1222" w:type="dxa"/>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Gene &amp; Transcript</w:t>
            </w:r>
          </w:p>
        </w:tc>
        <w:tc>
          <w:tcPr>
            <w:tcW w:type="dxa" w:w="1800"/>
            <w:tcW w:w="800" w:type="dxa"/>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Location</w:t>
            </w:r>
          </w:p>
        </w:tc>
        <w:tc>
          <w:tcPr>
            <w:tcW w:type="dxa" w:w="1800"/>
            <w:tcW w:w="1732" w:type="dxa"/>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Variant</w:t>
            </w:r>
          </w:p>
        </w:tc>
        <w:tc>
          <w:tcPr>
            <w:tcW w:type="dxa" w:w="1800"/>
            <w:tcW w:w="2496" w:type="dxa"/>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Zygosity/ Inheritance</w:t>
            </w:r>
          </w:p>
        </w:tc>
        <w:tc>
          <w:tcPr>
            <w:tcW w:type="dxa" w:w="1800"/>
            <w:tcW w:w="3158" w:type="dxa"/>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Phenotype</w:t>
            </w:r>
          </w:p>
        </w:tc>
        <w:tc>
          <w:tcPr>
            <w:tcW w:type="dxa" w:w="1800"/>
            <w:tcW w:w="1783" w:type="dxa"/>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Clinical Significance</w:t>
            </w:r>
          </w:p>
        </w:tc>
      </w:tr>
      <w:tr>
        <w:trPr>
          <w:cantSplit/>
        </w:trPr>
        <w:tc>
          <w:tcPr>
            <w:tcW w:type="dxa" w:w="1800"/>
            <w:tcW w:w="1222"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KIF26A (+) NM 015656.2 _</w:t>
            </w:r>
          </w:p>
        </w:tc>
        <w:tc>
          <w:tcPr>
            <w:tcW w:type="dxa" w:w="1800"/>
            <w:tcW w:w="800"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Intron 6</w:t>
            </w:r>
          </w:p>
        </w:tc>
        <w:tc>
          <w:tcPr>
            <w:tcW w:type="dxa" w:w="1800"/>
            <w:tcW w:w="1732"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c.1326+2T&gt;A (Splice donor variant)</w:t>
            </w:r>
          </w:p>
        </w:tc>
        <w:tc>
          <w:tcPr>
            <w:tcW w:type="dxa" w:w="1800"/>
            <w:tcW w:w="2496"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Likely Compound Heterozygous /Autosomal Recessive</w:t>
            </w:r>
          </w:p>
        </w:tc>
        <w:tc>
          <w:tcPr>
            <w:tcW w:type="dxa" w:w="1800"/>
            <w:tcW w:w="3158"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Cortical dysplasia, complex, with other brain malformations 11</w:t>
            </w:r>
          </w:p>
        </w:tc>
        <w:tc>
          <w:tcPr>
            <w:tcW w:type="dxa" w:w="1800"/>
            <w:tcW w:w="1783"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Uncertain significance# (PM2, PVS1)</w:t>
            </w:r>
          </w:p>
        </w:tc>
      </w:tr>
      <w:tr>
        <w:trPr>
          <w:cantSplit/>
        </w:trPr>
        <w:tc>
          <w:tcPr>
            <w:tcW w:type="dxa" w:w="1800"/>
            <w:tcW w:w="1222" w:type="dxa"/>
            <w:shd w:fill="FFFFFF"/>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KIF26A (+) NM 015656.2 _</w:t>
            </w:r>
          </w:p>
        </w:tc>
        <w:tc>
          <w:tcPr>
            <w:tcW w:type="dxa" w:w="1800"/>
            <w:tcW w:w="800" w:type="dxa"/>
            <w:shd w:fill="FFFFFF"/>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Exon 3</w:t>
            </w:r>
          </w:p>
        </w:tc>
        <w:tc>
          <w:tcPr>
            <w:tcW w:type="dxa" w:w="1800"/>
            <w:tcW w:w="1732" w:type="dxa"/>
            <w:shd w:fill="FFFFFF"/>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c.371G&gt;A (p.Arg124His)</w:t>
            </w:r>
          </w:p>
        </w:tc>
        <w:tc>
          <w:tcPr>
            <w:tcW w:type="dxa" w:w="1800"/>
            <w:tcW w:w="2496" w:type="dxa"/>
            <w:shd w:fill="FFFFFF"/>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r>
          </w:p>
        </w:tc>
        <w:tc>
          <w:tcPr>
            <w:tcW w:type="dxa" w:w="1800"/>
            <w:tcW w:w="3158" w:type="dxa"/>
            <w:shd w:fill="FFFFFF"/>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r>
          </w:p>
        </w:tc>
        <w:tc>
          <w:tcPr>
            <w:tcW w:type="dxa" w:w="1800"/>
            <w:tcW w:w="1783" w:type="dxa"/>
            <w:shd w:fill="FFFFFF"/>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Uncertain significance# (PM2)</w:t>
            </w:r>
          </w:p>
        </w:tc>
      </w:tr>
    </w:tbl>
    <w:p>
      <w:r>
        <w:br w:type="page"/>
      </w:r>
    </w:p>
    <w:p>
      <w:pPr>
        <w:spacing w:line="276" w:lineRule="auto" w:after="80"/>
        <w:jc w:val="both"/>
      </w:pPr>
      <w:r>
        <w:rPr>
          <w:rFonts w:ascii="Cambria" w:hAnsi="Cambria"/>
          <w:color w:val="000000"/>
          <w:sz w:val="20"/>
        </w:rPr>
        <w:t>Based on above evidence, this variant (KIF26A:c.1326+2T&gt;A) is classified as  Uncertain significance  variant.</w:t>
      </w:r>
    </w:p>
    <w:p>
      <w:pPr>
        <w:spacing w:line="276" w:lineRule="auto" w:after="80"/>
      </w:pPr>
      <w:r>
        <w:rPr>
          <w:rFonts w:ascii="Cambria" w:hAnsi="Cambria"/>
          <w:b/>
          <w:color w:val="1F497D"/>
          <w:sz w:val="20"/>
        </w:rPr>
        <w:t xml:space="preserve">KIF26A : </w:t>
      </w:r>
      <w:r>
        <w:rPr>
          <w:rFonts w:ascii="Cambria" w:hAnsi="Cambria"/>
          <w:color w:val="000000"/>
          <w:sz w:val="20"/>
        </w:rPr>
        <w:t>c.371G&gt;A; The submitted sample shows Heterozygous variant in Exon 3 of gene KIF26A (chr14: g.104152097G&gt;A). A missense variant “G” to “A” detected at nucleotide position 371 leading to change in amino acid sequences from Arginine to Histidine at codon 124. In silico predictions: The p.Arg124His missense variant is predicted to be tolerated by both SIFT or PolyPhen2. The nucleotide c.371 in KIF26A is not conserved according to a GERP++ and PhyloP analysis of 100 vertebrates. Population frequency and Internal database :  The p.Arg124His variant is observed in 3/30,692 (0.0098%) alleles from individuals of gnomAD South Asian background in gnomAD All. The p.Arg124His variant is novel (not in any individuals) in 1kG All. This variant is absent in our internal database.</w:t>
      </w:r>
    </w:p>
    <w:p>
      <w:r>
        <w:br w:type="page"/>
      </w:r>
    </w:p>
    <w:p>
      <w:pPr>
        <w:spacing w:line="276" w:lineRule="auto" w:after="80"/>
        <w:jc w:val="both"/>
      </w:pPr>
      <w:r>
        <w:rPr>
          <w:rFonts w:ascii="Cambria" w:hAnsi="Cambria"/>
          <w:color w:val="000000"/>
          <w:sz w:val="20"/>
        </w:rPr>
        <w:t>Based on above evidence, this variant (KIF26A:c.371G&gt;A) is classified as  Uncertain significance  variant.</w:t>
      </w:r>
    </w:p>
    <w:p>
      <w:pPr>
        <w:spacing w:line="276" w:lineRule="auto" w:after="80"/>
      </w:pPr>
      <w:r>
        <w:rPr>
          <w:rFonts w:ascii="Cambria" w:hAnsi="Cambria"/>
          <w:b/>
          <w:color w:val="1F497D"/>
          <w:sz w:val="20"/>
        </w:rPr>
        <w:t xml:space="preserve">KIF26A Gene Phenotype Description : </w:t>
      </w:r>
      <w:r>
        <w:rPr>
          <w:rFonts w:ascii="Cambria" w:hAnsi="Cambria"/>
          <w:color w:val="000000"/>
          <w:sz w:val="20"/>
        </w:rPr>
        <w:t>An autosomal recessive disorder of aberrant neuronal migration during brain development. CDCBM11 is characterized by dilated ventricles and reduced white matter, and is associated with axonal developmental defects.</w:t>
      </w:r>
    </w:p>
    <w:p>
      <w:pPr>
        <w:keepNext/>
        <w:spacing w:before="160" w:after="40"/>
      </w:pPr>
      <w:r>
        <w:rPr>
          <w:rFonts w:ascii="Cambria" w:hAnsi="Cambria"/>
          <w:b/>
          <w:color w:val="1F497D"/>
          <w:sz w:val="20"/>
        </w:rPr>
        <w:t>Additional Findings :</w:t>
      </w:r>
    </w:p>
    <w:p>
      <w:pPr>
        <w:spacing w:line="276" w:lineRule="auto" w:after="80"/>
        <w:ind w:left="360"/>
        <w:jc w:val="both"/>
      </w:pPr>
      <w:r>
        <w:rPr>
          <w:rFonts w:ascii="Cambria" w:hAnsi="Cambria"/>
          <w:color w:val="000000"/>
          <w:sz w:val="20"/>
        </w:rPr>
        <w:t>*Genetic test results are reported based on the recommendations of American College of Medical Genetics</w:t>
      </w:r>
    </w:p>
    <w:p>
      <w:pPr>
        <w:spacing w:line="276" w:lineRule="auto" w:after="80"/>
      </w:pPr>
      <w:r>
        <w:rPr>
          <w:rFonts w:ascii="Cambria" w:hAnsi="Cambria"/>
          <w:b/>
          <w:color w:val="1F497D"/>
          <w:sz w:val="20"/>
        </w:rPr>
        <w:t xml:space="preserve">DMD Gene Phenotype Description : </w:t>
      </w:r>
      <w:r>
        <w:rPr>
          <w:rFonts w:ascii="Cambria" w:hAnsi="Cambria"/>
          <w:color w:val="000000"/>
          <w:sz w:val="20"/>
        </w:rPr>
        <w:t>Most common form of muscular dystrophy; a sex-linked recessive disorder. It typically presents in boys aged 3 to 7 year as proximal muscle weakness causing waddling gait, toe-walking, lordosis, frequent falls, and difficulty in standing up and climbing up stairs. The pelvic girdle is affected first, then the shoulder girdle. Progression is steady and most patients are confined to a wheelchair by age of 10 or 12. Flexion contractures and scoliosis ultimately occur. About 50% of patients have a lower IQ than their genetic expectations would suggest. There is no treatment.</w:t>
      </w:r>
    </w:p>
    <w:tbl>
      <w:tblPr>
        <w:tblW w:type="auto" w:w="0"/>
        <w:jc w:val="center"/>
        <w:tblLayout w:type="fixed"/>
        <w:tblLook w:firstColumn="1" w:firstRow="1" w:lastColumn="0" w:lastRow="0" w:noHBand="0" w:noVBand="1" w:val="04A0"/>
      </w:tblPr>
      <w:tblGrid>
        <w:gridCol w:w="1800"/>
        <w:gridCol w:w="1800"/>
        <w:gridCol w:w="1800"/>
        <w:gridCol w:w="1800"/>
        <w:gridCol w:w="1800"/>
        <w:gridCol w:w="1800"/>
      </w:tblGrid>
      <w:tr>
        <w:trPr>
          <w:tblHeader/>
        </w:trPr>
        <w:tc>
          <w:tcPr>
            <w:tcW w:type="dxa" w:w="1800"/>
            <w:tcW w:w="1225" w:type="dxa"/>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Gene &amp; Transcript</w:t>
            </w:r>
          </w:p>
        </w:tc>
        <w:tc>
          <w:tcPr>
            <w:tcW w:type="dxa" w:w="1800"/>
            <w:tcW w:w="2918" w:type="dxa"/>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Location</w:t>
            </w:r>
          </w:p>
        </w:tc>
        <w:tc>
          <w:tcPr>
            <w:tcW w:type="dxa" w:w="1800"/>
            <w:tcW w:w="2101" w:type="dxa"/>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Variant &amp; Depth/VAF</w:t>
            </w:r>
          </w:p>
        </w:tc>
        <w:tc>
          <w:tcPr>
            <w:tcW w:type="dxa" w:w="1800"/>
            <w:tcW w:w="1751" w:type="dxa"/>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Zygosity/ Inheritance</w:t>
            </w:r>
          </w:p>
        </w:tc>
        <w:tc>
          <w:tcPr>
            <w:tcW w:type="dxa" w:w="1800"/>
            <w:tcW w:w="1576" w:type="dxa"/>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Phenotype</w:t>
            </w:r>
          </w:p>
        </w:tc>
        <w:tc>
          <w:tcPr>
            <w:tcW w:type="dxa" w:w="1800"/>
            <w:tcW w:w="1225" w:type="dxa"/>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Clinical Significance</w:t>
            </w:r>
          </w:p>
        </w:tc>
      </w:tr>
      <w:tr>
        <w:trPr>
          <w:cantSplit/>
        </w:trPr>
        <w:tc>
          <w:tcPr>
            <w:tcW w:type="dxa" w:w="1800"/>
            <w:tcW w:w="1225"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DMD (-) NM 004006.3 _</w:t>
            </w:r>
          </w:p>
        </w:tc>
        <w:tc>
          <w:tcPr>
            <w:tcW w:type="dxa" w:w="1800"/>
            <w:tcW w:w="2918"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Xp21.1 (? 31,773,949- _ 31,875,375 ?) _ Exon 48-51</w:t>
            </w:r>
          </w:p>
        </w:tc>
        <w:tc>
          <w:tcPr>
            <w:tcW w:type="dxa" w:w="1800"/>
            <w:tcW w:w="2101"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Deletion c.6913-? c.7542+? _ 101.4kb</w:t>
            </w:r>
          </w:p>
        </w:tc>
        <w:tc>
          <w:tcPr>
            <w:tcW w:type="dxa" w:w="1800"/>
            <w:tcW w:w="1751"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Hemizygous /X-linked Recessive</w:t>
            </w:r>
          </w:p>
        </w:tc>
        <w:tc>
          <w:tcPr>
            <w:tcW w:type="dxa" w:w="1800"/>
            <w:tcW w:w="1576"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Duchenne muscular dystrophy</w:t>
            </w:r>
          </w:p>
        </w:tc>
        <w:tc>
          <w:tcPr>
            <w:tcW w:type="dxa" w:w="1800"/>
            <w:tcW w:w="1225"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Pathogenic</w:t>
            </w:r>
          </w:p>
        </w:tc>
      </w:tr>
    </w:tbl>
    <w:p>
      <w:r>
        <w:br w:type="page"/>
      </w:r>
    </w:p>
    <w:p>
      <w:pPr>
        <w:spacing w:line="276" w:lineRule="auto" w:after="80"/>
        <w:jc w:val="both"/>
      </w:pPr>
      <w:r>
        <w:rPr>
          <w:rFonts w:ascii="Cambria" w:hAnsi="Cambria"/>
          <w:color w:val="000000"/>
          <w:sz w:val="20"/>
        </w:rPr>
        <w:t>Recommendations  Genetic counseling is advised for interpretation on the consequences of the variant(s).  We recommend confirming the presence of these variants by Sanger Sequencing/ MLPA.  Segregation analysis of the variant by Sanger /Exome sequencing/ MLPA is recommended.  The significance/classification of the variants might change based on parental and family members genetic testing.  For questions about this report, or for assistance in locating nearby genetic counseling services, please contact the Laboratory: contact@sngenelab.com.  If results obtained do not match the clinical findings, additional testing should be considered as per referring clinician's recommendation.</w:t>
      </w:r>
    </w:p>
    <w:p>
      <w:pPr>
        <w:spacing w:line="276" w:lineRule="auto" w:after="80"/>
      </w:pPr>
      <w:r>
        <w:rPr>
          <w:rFonts w:ascii="Cambria" w:hAnsi="Cambria"/>
          <w:b/>
          <w:color w:val="1F497D"/>
          <w:sz w:val="20"/>
        </w:rPr>
        <w:t xml:space="preserve">Methodology: </w:t>
      </w:r>
      <w:r>
        <w:rPr>
          <w:rFonts w:ascii="Cambria" w:hAnsi="Cambria"/>
          <w:color w:val="000000"/>
          <w:sz w:val="20"/>
        </w:rPr>
        <w:t> Next Generation Sequencing: DNA extracted from Blood, Saliva, Amniotic fluid, CVS or any other standard source is used for targeted capture-based Library preparation. Targeted capture provides an efficient and sensitive means for sequencing specific genomic regions in a high-throughput manner. The libraries were sequenced to mean &gt;85-100x coverage on Illumina Novaseq X sequencing platform with Paired End 2x150 chemistry.  We follow the Illumina DRAGEN Bio-IT Platform for identification of variants in the sample. The sequences obtained are assembled and aligned to reference sequences based on NCBI RefSeq transcripts and human genome build (GRCh38).  This assay (Whole exome sequencing) covers 20321 genes including 37 mitochondria genes.  Haplotype caller has been used to identify variants which are relevant to the clinical indication.  In addition to SNVs and small Indels, copy number variants (CNVs) are detected from targeted sequence data using the commercially available algorithm. This algorithm detects rare CNVs based on comparison of the read-depths of the test data with the matched aggregate reference dataset.  Clinically relevant mutations were annotated using published variants in literature, Commercial datasets and a set of diseases databases. Common variants are filtered based on allele frequency in 1000Genome, ExAC, gnomAD, dbSNP &amp; SN Genelab's internal database.  Non-synonymous variants effect is calculated using multiple algorithms such as PolyPhen-2, SIFT, MutationTaster2.  Based on annotations data, ACMG rules-based classification performed for classification of variants identified through next generation sequencing study.</w:t>
      </w:r>
    </w:p>
    <w:p>
      <w:r>
        <w:br w:type="page"/>
      </w:r>
    </w:p>
    <w:p>
      <w:pPr>
        <w:spacing w:line="276" w:lineRule="auto" w:after="80"/>
        <w:jc w:val="both"/>
      </w:pPr>
      <w:r>
        <w:rPr>
          <w:rFonts w:ascii="Cambria" w:hAnsi="Cambria"/>
          <w:color w:val="000000"/>
          <w:sz w:val="20"/>
        </w:rPr>
        <w:t>in genes potentially related to the proband's medical condition are reported. Rare polymorphisms may lead to false negative or positive results. Misinterpretation of results may occur if the information provided is inaccurate or incomplete. The results should be interpreted in the context of the patient’s medical evaluation, family history and racial/ethnic background. Please note that variant classification and/or interpretation may change over time if more information available. Re-interpretation of multi gene next generation sequencing data is recommended on an annual basis and may be requested by a medical provider.  The sensitivity of this assay to detect large deletions/duplications of more than 10 bp or copy number variations (CNV) is 70-75%. The CNVs detected with this assay have to be confirmed by alternate method such as MLPA &amp; Microarray.  Due to inherent technology limitations, coverage is not uniform across all regions. Hence pathogenic variants present in areas of insufficient coverage as well as those variants which currently do not co-relate with the provided phenotype may not be analyzed/ reported. Additionally, it may not be possible to fully resolve certain details about variants, such as mosaicism, phasing, or mapping ambiguity.  Triplet repeat expansions, translocations, large deletion or duplications and chromosomal rearrangements events are currently not reliably detected by next generation sequencing.  This assay is not meant to interrogate most promoter regions, deep intronic regions, or other regulatory elements, other gene rearrangements like inversion or translocation and does not detect single or multi-exon deletions or duplications.  Incidental or secondary findings (if any) that meet the ACMG guidelines can be given upon request.  Genes with pseudogenes, paralog genes and genes with low complexity may have decreased sensitivity and specificity of variant detection and interpretation due to inability of the data and analysis tools to unambiguously determine the origin of the sequence data in such regions.  Sequence and copy number variants are reported according to the Human Genome Variation Society (HGVS).  The transcript used for clinical reporting generally represents the canonical transcript, which is usually the longest coding transcript with strong/multiple supporting evidence. However, clinically relevant variants annotated in alternate complete coding transcripts could also be reported.</w:t>
      </w:r>
    </w:p>
    <w:p>
      <w:pPr>
        <w:spacing w:line="276" w:lineRule="auto" w:after="80"/>
        <w:ind w:left="360"/>
        <w:jc w:val="both"/>
      </w:pPr>
      <w:r>
        <w:rPr>
          <w:rFonts w:ascii="Cambria" w:hAnsi="Cambria"/>
          <w:color w:val="000000"/>
          <w:sz w:val="20"/>
        </w:rPr>
        <w:t>*Variant classification as per ACMG guidelines: Variant A change in a gene. This could be disease causing (pathogenic) or not disease causing (benign).</w:t>
      </w:r>
    </w:p>
    <w:p>
      <w:pPr>
        <w:spacing w:line="276" w:lineRule="auto" w:after="80"/>
        <w:jc w:val="both"/>
      </w:pPr>
      <w:r>
        <w:rPr>
          <w:rFonts w:ascii="Cambria" w:hAnsi="Cambria"/>
          <w:color w:val="000000"/>
          <w:sz w:val="20"/>
        </w:rPr>
        <w:t>Benign A variant which is known not to be responsible for disease has been detected. Generally, no further action is warranted on such variants when detected.</w:t>
      </w:r>
    </w:p>
    <w:p>
      <w:pPr>
        <w:spacing w:line="276" w:lineRule="auto" w:after="80"/>
        <w:jc w:val="both"/>
      </w:pPr>
      <w:r>
        <w:rPr>
          <w:rFonts w:ascii="Cambria" w:hAnsi="Cambria"/>
          <w:color w:val="000000"/>
          <w:sz w:val="20"/>
        </w:rPr>
        <w:t>Likely Benign A variant which is very unlikely to contribute to the development of disease however, the scientific evidence is currently insufficient to prove this conclusively. Additional evidence is expected to confirm this assertion of Pathogenicity.</w:t>
      </w:r>
    </w:p>
    <w:p>
      <w:r>
        <w:br w:type="page"/>
      </w:r>
    </w:p>
    <w:p>
      <w:pPr>
        <w:spacing w:line="276" w:lineRule="auto" w:after="80"/>
        <w:jc w:val="both"/>
      </w:pPr>
      <w:r>
        <w:rPr>
          <w:rFonts w:ascii="Cambria" w:hAnsi="Cambria"/>
          <w:color w:val="000000"/>
          <w:sz w:val="20"/>
        </w:rPr>
        <w:t>Likely Pathogenic A variant which is very likely to contribute to the development of disease however, the scientific evidence is currently insufficient to prove this conclusively. Additional evidence is expected to confirm this assertion of pathogenicity.</w:t>
      </w:r>
    </w:p>
    <w:p>
      <w:pPr>
        <w:spacing w:line="276" w:lineRule="auto" w:after="80"/>
      </w:pPr>
      <w:r>
        <w:rPr>
          <w:rFonts w:ascii="Cambria" w:hAnsi="Cambria"/>
          <w:color w:val="000000"/>
          <w:sz w:val="20"/>
        </w:rPr>
        <w:t>Variant of Uncertain Significance</w:t>
      </w:r>
    </w:p>
    <w:p>
      <w:pPr>
        <w:spacing w:line="276" w:lineRule="auto" w:after="80"/>
        <w:jc w:val="both"/>
      </w:pPr>
      <w:r>
        <w:rPr>
          <w:rFonts w:ascii="Cambria" w:hAnsi="Cambria"/>
          <w:color w:val="000000"/>
          <w:sz w:val="20"/>
        </w:rPr>
        <w:t>A variant has been detected, but it is difficult to classify it as either pathogenic (disease causing) or benign (non-disease causing) based on current available scientific evidence. Further testing of the patient or family members as recommended by your clinician may be needed. It is probable that their significance can be assessed only with time, subject to availability of scientific evidence.</w:t>
      </w:r>
    </w:p>
    <w:p>
      <w:pPr>
        <w:spacing w:line="276" w:lineRule="auto" w:after="80"/>
      </w:pPr>
      <w:r>
        <w:rPr>
          <w:rFonts w:ascii="Cambria" w:hAnsi="Cambria"/>
          <w:b/>
          <w:color w:val="1F497D"/>
          <w:sz w:val="20"/>
        </w:rPr>
        <w:t xml:space="preserve">References : </w:t>
      </w:r>
      <w:r>
        <w:rPr>
          <w:rFonts w:ascii="Cambria" w:hAnsi="Cambria"/>
          <w:color w:val="000000"/>
          <w:sz w:val="20"/>
        </w:rPr>
        <w:t>1. Richards S, Aziz N, Bale S, et al. Standards and guidelines for the interpretation of sequence variants: a joint consensus recommendation of the American College of Medical Genetics and Genomics and the Association for Molecular Pathology, Genetics in Medicine, 2015 May;17(5):405-24</w:t>
      </w:r>
    </w:p>
    <w:p>
      <w:pPr>
        <w:spacing w:line="276" w:lineRule="auto" w:after="80"/>
        <w:jc w:val="both"/>
      </w:pPr>
      <w:r>
        <w:rPr>
          <w:rFonts w:ascii="Cambria" w:hAnsi="Cambria"/>
          <w:color w:val="000000"/>
          <w:sz w:val="20"/>
        </w:rPr>
        <w:t>2. Kalia S.S. et al., Recommendations for reporting of secondary findings in clinical exome and genome sequencing, 2016 update(ACMG SF v2.0): a policy statement of the American College of Medical Genetics and Genomics. Genet Med., 19(2):249-255, 2017.</w:t>
      </w:r>
    </w:p>
    <w:p>
      <w:pPr>
        <w:spacing w:line="276" w:lineRule="auto" w:after="80"/>
        <w:jc w:val="both"/>
      </w:pPr>
      <w:r>
        <w:rPr>
          <w:rFonts w:ascii="Cambria" w:hAnsi="Cambria"/>
          <w:color w:val="000000"/>
          <w:sz w:val="20"/>
        </w:rPr>
        <w:t>3. Meyer, L.R., et al., The UCSC Genome Browser database: extensions and updates 2013. Nucleic Acids Res, 2013. 41(D1): p.D64-9.</w:t>
      </w:r>
    </w:p>
    <w:p>
      <w:pPr>
        <w:spacing w:line="276" w:lineRule="auto" w:after="80"/>
        <w:jc w:val="both"/>
      </w:pPr>
      <w:r>
        <w:rPr>
          <w:rFonts w:ascii="Cambria" w:hAnsi="Cambria"/>
          <w:color w:val="000000"/>
          <w:sz w:val="20"/>
        </w:rPr>
        <w:t>4. McKenna, A., et al., The Genome Analysis Toolkit: a MapReduce framework for analyzing next-generation DNA sequencing data. Genome Res, 2010. 20(9): p. 1297-303</w:t>
      </w:r>
    </w:p>
    <w:p>
      <w:pPr>
        <w:spacing w:line="276" w:lineRule="auto" w:after="80"/>
        <w:jc w:val="both"/>
      </w:pPr>
      <w:r>
        <w:rPr>
          <w:rFonts w:ascii="Cambria" w:hAnsi="Cambria"/>
          <w:color w:val="000000"/>
          <w:sz w:val="20"/>
        </w:rPr>
        <w:t>5. 1000 Genomes Project Consortium et al., A global reference for human genetic variation. Nature, 526(7571): 68-74, 2015.</w:t>
      </w:r>
    </w:p>
    <w:p>
      <w:pPr>
        <w:spacing w:line="276" w:lineRule="auto" w:after="80"/>
        <w:jc w:val="both"/>
      </w:pPr>
      <w:r>
        <w:rPr>
          <w:rFonts w:ascii="Cambria" w:hAnsi="Cambria"/>
          <w:color w:val="000000"/>
          <w:sz w:val="20"/>
        </w:rPr>
        <w:t>6. Lek M. et al., Analysis of protein-coding genetic variation in 60,706 humans. Nature, 536(7616):285-91, 2016.</w:t>
      </w:r>
    </w:p>
    <w:p>
      <w:pPr>
        <w:spacing w:line="276" w:lineRule="auto" w:after="80"/>
        <w:jc w:val="both"/>
      </w:pPr>
      <w:r>
        <w:rPr>
          <w:rFonts w:ascii="Cambria" w:hAnsi="Cambria"/>
          <w:color w:val="000000"/>
          <w:sz w:val="20"/>
        </w:rPr>
        <w:t>7. McLaren, W., et al., Deriving the consequences of genomic variants with the Ensembl API and SNP Effect Predictor. Bioinformatics, 2010. 26(16): p. 2069-70.</w:t>
      </w:r>
    </w:p>
    <w:tbl>
      <w:tblPr>
        <w:tblW w:type="auto" w:w="0"/>
        <w:jc w:val="center"/>
        <w:tblLayout w:type="fixed"/>
        <w:tblLook w:firstColumn="1" w:firstRow="1" w:lastColumn="0" w:lastRow="0" w:noHBand="0" w:noVBand="1" w:val="04A0"/>
      </w:tblPr>
      <w:tblGrid>
        <w:gridCol w:w="5400"/>
        <w:gridCol w:w="5400"/>
      </w:tblGrid>
      <w:tr>
        <w:trPr>
          <w:tblHeader/>
        </w:trPr>
        <w:tc>
          <w:tcPr>
            <w:tcW w:type="dxa" w:w="5400"/>
            <w:tcW w:w="8709" w:type="dxa"/>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Title</w:t>
            </w:r>
          </w:p>
        </w:tc>
        <w:tc>
          <w:tcPr>
            <w:tcW w:type="dxa" w:w="5400"/>
            <w:tcW w:w="2090" w:type="dxa"/>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Data</w:t>
            </w:r>
          </w:p>
        </w:tc>
      </w:tr>
      <w:tr>
        <w:trPr>
          <w:cantSplit/>
        </w:trPr>
        <w:tc>
          <w:tcPr>
            <w:tcW w:type="dxa" w:w="5400"/>
            <w:tcW w:w="8709"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Total data generated (Gb)</w:t>
            </w:r>
          </w:p>
        </w:tc>
        <w:tc>
          <w:tcPr>
            <w:tcW w:type="dxa" w:w="5400"/>
            <w:tcW w:w="2090"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7.54</w:t>
            </w:r>
          </w:p>
        </w:tc>
      </w:tr>
      <w:tr>
        <w:trPr>
          <w:cantSplit/>
        </w:trPr>
        <w:tc>
          <w:tcPr>
            <w:tcW w:type="dxa" w:w="5400"/>
            <w:tcW w:w="8709" w:type="dxa"/>
            <w:shd w:fill="FFFFFF"/>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Total Reads (%)</w:t>
            </w:r>
          </w:p>
        </w:tc>
        <w:tc>
          <w:tcPr>
            <w:tcW w:type="dxa" w:w="5400"/>
            <w:tcW w:w="2090" w:type="dxa"/>
            <w:shd w:fill="FFFFFF"/>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100.00</w:t>
            </w:r>
          </w:p>
        </w:tc>
      </w:tr>
      <w:tr>
        <w:trPr>
          <w:cantSplit/>
        </w:trPr>
        <w:tc>
          <w:tcPr>
            <w:tcW w:type="dxa" w:w="5400"/>
            <w:tcW w:w="8709"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Total reads aligned (%)</w:t>
            </w:r>
          </w:p>
        </w:tc>
        <w:tc>
          <w:tcPr>
            <w:tcW w:type="dxa" w:w="5400"/>
            <w:tcW w:w="2090"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98.83</w:t>
            </w:r>
          </w:p>
        </w:tc>
      </w:tr>
      <w:tr>
        <w:trPr>
          <w:cantSplit/>
        </w:trPr>
        <w:tc>
          <w:tcPr>
            <w:tcW w:type="dxa" w:w="5400"/>
            <w:tcW w:w="8709" w:type="dxa"/>
            <w:shd w:fill="FFFFFF"/>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Data &gt;Q30 (%)</w:t>
            </w:r>
          </w:p>
        </w:tc>
        <w:tc>
          <w:tcPr>
            <w:tcW w:type="dxa" w:w="5400"/>
            <w:tcW w:w="2090" w:type="dxa"/>
            <w:shd w:fill="FFFFFF"/>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97.48</w:t>
            </w:r>
          </w:p>
        </w:tc>
      </w:tr>
    </w:tbl>
    <w:p>
      <w:r>
        <w:br w:type="page"/>
      </w:r>
    </w:p>
    <w:tbl>
      <w:tblPr>
        <w:tblW w:type="auto" w:w="0"/>
        <w:jc w:val="center"/>
        <w:tblLayout w:type="fixed"/>
        <w:tblLook w:firstColumn="1" w:firstRow="1" w:lastColumn="0" w:lastRow="0" w:noHBand="0" w:noVBand="1" w:val="04A0"/>
      </w:tblPr>
      <w:tblGrid>
        <w:gridCol w:w="2700"/>
        <w:gridCol w:w="2700"/>
        <w:gridCol w:w="2700"/>
        <w:gridCol w:w="2700"/>
      </w:tblGrid>
      <w:tr>
        <w:trPr>
          <w:tblHeader/>
        </w:trPr>
        <w:tc>
          <w:tcPr>
            <w:tcW w:type="dxa" w:w="2700"/>
            <w:tcW w:w="1862" w:type="dxa"/>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Mean Depth</w:t>
            </w:r>
          </w:p>
        </w:tc>
        <w:tc>
          <w:tcPr>
            <w:tcW w:type="dxa" w:w="2700"/>
            <w:tcW w:w="6703" w:type="dxa"/>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Percentage target base pairs covered</w:t>
            </w:r>
          </w:p>
        </w:tc>
        <w:tc>
          <w:tcPr>
            <w:tcW w:type="dxa" w:w="2700"/>
            <w:tcW w:w="1117" w:type="dxa"/>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r>
          </w:p>
        </w:tc>
        <w:tc>
          <w:tcPr>
            <w:tcW w:type="dxa" w:w="2700"/>
            <w:tcW w:w="1117" w:type="dxa"/>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r>
          </w:p>
        </w:tc>
      </w:tr>
      <w:tr>
        <w:trPr>
          <w:cantSplit/>
        </w:trPr>
        <w:tc>
          <w:tcPr>
            <w:tcW w:type="dxa" w:w="2700"/>
            <w:tcW w:w="1862"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64.32x</w:t>
            </w:r>
          </w:p>
        </w:tc>
        <w:tc>
          <w:tcPr>
            <w:tcW w:type="dxa" w:w="2700"/>
            <w:tcW w:w="6703"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1x</w:t>
            </w:r>
          </w:p>
        </w:tc>
        <w:tc>
          <w:tcPr>
            <w:tcW w:type="dxa" w:w="2700"/>
            <w:tcW w:w="1117"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5x</w:t>
            </w:r>
          </w:p>
        </w:tc>
        <w:tc>
          <w:tcPr>
            <w:tcW w:type="dxa" w:w="2700"/>
            <w:tcW w:w="1117"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20x</w:t>
            </w:r>
          </w:p>
        </w:tc>
      </w:tr>
      <w:tr>
        <w:trPr>
          <w:cantSplit/>
        </w:trPr>
        <w:tc>
          <w:tcPr>
            <w:tcW w:type="dxa" w:w="2700"/>
            <w:tcW w:w="1862" w:type="dxa"/>
            <w:shd w:fill="FFFFFF"/>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r>
          </w:p>
        </w:tc>
        <w:tc>
          <w:tcPr>
            <w:tcW w:type="dxa" w:w="2700"/>
            <w:tcW w:w="6703" w:type="dxa"/>
            <w:shd w:fill="FFFFFF"/>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98.79%</w:t>
            </w:r>
          </w:p>
        </w:tc>
        <w:tc>
          <w:tcPr>
            <w:tcW w:type="dxa" w:w="2700"/>
            <w:tcW w:w="1117" w:type="dxa"/>
            <w:shd w:fill="FFFFFF"/>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98.10%</w:t>
            </w:r>
          </w:p>
        </w:tc>
        <w:tc>
          <w:tcPr>
            <w:tcW w:type="dxa" w:w="2700"/>
            <w:tcW w:w="1117" w:type="dxa"/>
            <w:shd w:fill="FFFFFF"/>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96.30%</w:t>
            </w:r>
          </w:p>
        </w:tc>
      </w:tr>
    </w:tbl>
    <w:tbl>
      <w:tblPr>
        <w:tblW w:type="auto" w:w="0"/>
        <w:jc w:val="center"/>
        <w:tblLayout w:type="fixed"/>
        <w:tblLook w:firstColumn="1" w:firstRow="1" w:lastColumn="0" w:lastRow="0" w:noHBand="0" w:noVBand="1" w:val="04A0"/>
      </w:tblPr>
      <w:tblGrid>
        <w:gridCol w:w="1800"/>
        <w:gridCol w:w="1800"/>
        <w:gridCol w:w="1800"/>
        <w:gridCol w:w="1800"/>
        <w:gridCol w:w="1800"/>
        <w:gridCol w:w="1800"/>
      </w:tblGrid>
      <w:tr>
        <w:trPr>
          <w:tblHeader/>
        </w:trPr>
        <w:tc>
          <w:tcPr>
            <w:tcW w:type="dxa" w:w="1800"/>
            <w:tcW w:w="1219" w:type="dxa"/>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Gene</w:t>
            </w:r>
          </w:p>
        </w:tc>
        <w:tc>
          <w:tcPr>
            <w:tcW w:type="dxa" w:w="1800"/>
            <w:tcW w:w="2438" w:type="dxa"/>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Region covered</w:t>
            </w:r>
          </w:p>
        </w:tc>
        <w:tc>
          <w:tcPr>
            <w:tcW w:type="dxa" w:w="1800"/>
            <w:tcW w:w="1219" w:type="dxa"/>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Gene</w:t>
            </w:r>
          </w:p>
        </w:tc>
        <w:tc>
          <w:tcPr>
            <w:tcW w:type="dxa" w:w="1800"/>
            <w:tcW w:w="2438" w:type="dxa"/>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Region covered</w:t>
            </w:r>
          </w:p>
        </w:tc>
        <w:tc>
          <w:tcPr>
            <w:tcW w:type="dxa" w:w="1800"/>
            <w:tcW w:w="1045" w:type="dxa"/>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Gene</w:t>
            </w:r>
          </w:p>
        </w:tc>
        <w:tc>
          <w:tcPr>
            <w:tcW w:type="dxa" w:w="1800"/>
            <w:tcW w:w="2438" w:type="dxa"/>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Region covered</w:t>
            </w:r>
          </w:p>
        </w:tc>
      </w:tr>
      <w:tr>
        <w:trPr>
          <w:cantSplit/>
        </w:trPr>
        <w:tc>
          <w:tcPr>
            <w:tcW w:type="dxa" w:w="1800"/>
            <w:tcW w:w="1219"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MT-ATP6</w:t>
            </w:r>
          </w:p>
        </w:tc>
        <w:tc>
          <w:tcPr>
            <w:tcW w:type="dxa" w:w="1800"/>
            <w:tcW w:w="2438"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100.00%</w:t>
            </w:r>
          </w:p>
        </w:tc>
        <w:tc>
          <w:tcPr>
            <w:tcW w:type="dxa" w:w="1800"/>
            <w:tcW w:w="1219"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MT-ND6</w:t>
            </w:r>
          </w:p>
        </w:tc>
        <w:tc>
          <w:tcPr>
            <w:tcW w:type="dxa" w:w="1800"/>
            <w:tcW w:w="2438"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100.00%</w:t>
            </w:r>
          </w:p>
        </w:tc>
        <w:tc>
          <w:tcPr>
            <w:tcW w:type="dxa" w:w="1800"/>
            <w:tcW w:w="1045"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MT-TL1</w:t>
            </w:r>
          </w:p>
        </w:tc>
        <w:tc>
          <w:tcPr>
            <w:tcW w:type="dxa" w:w="1800"/>
            <w:tcW w:w="2438"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100.00%</w:t>
            </w:r>
          </w:p>
        </w:tc>
      </w:tr>
      <w:tr>
        <w:trPr>
          <w:cantSplit/>
        </w:trPr>
        <w:tc>
          <w:tcPr>
            <w:tcW w:type="dxa" w:w="1800"/>
            <w:tcW w:w="1219" w:type="dxa"/>
            <w:shd w:fill="FFFFFF"/>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MT-ATP8</w:t>
            </w:r>
          </w:p>
        </w:tc>
        <w:tc>
          <w:tcPr>
            <w:tcW w:type="dxa" w:w="1800"/>
            <w:tcW w:w="2438" w:type="dxa"/>
            <w:shd w:fill="FFFFFF"/>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100.00%</w:t>
            </w:r>
          </w:p>
        </w:tc>
        <w:tc>
          <w:tcPr>
            <w:tcW w:type="dxa" w:w="1800"/>
            <w:tcW w:w="1219" w:type="dxa"/>
            <w:shd w:fill="FFFFFF"/>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MT-RNR1</w:t>
            </w:r>
          </w:p>
        </w:tc>
        <w:tc>
          <w:tcPr>
            <w:tcW w:type="dxa" w:w="1800"/>
            <w:tcW w:w="2438" w:type="dxa"/>
            <w:shd w:fill="FFFFFF"/>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100.00%</w:t>
            </w:r>
          </w:p>
        </w:tc>
        <w:tc>
          <w:tcPr>
            <w:tcW w:type="dxa" w:w="1800"/>
            <w:tcW w:w="1045" w:type="dxa"/>
            <w:shd w:fill="FFFFFF"/>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MT-TL2</w:t>
            </w:r>
          </w:p>
        </w:tc>
        <w:tc>
          <w:tcPr>
            <w:tcW w:type="dxa" w:w="1800"/>
            <w:tcW w:w="2438" w:type="dxa"/>
            <w:shd w:fill="FFFFFF"/>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100.00%</w:t>
            </w:r>
          </w:p>
        </w:tc>
      </w:tr>
      <w:tr>
        <w:trPr>
          <w:cantSplit/>
        </w:trPr>
        <w:tc>
          <w:tcPr>
            <w:tcW w:type="dxa" w:w="1800"/>
            <w:tcW w:w="1219"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MT-CO1</w:t>
            </w:r>
          </w:p>
        </w:tc>
        <w:tc>
          <w:tcPr>
            <w:tcW w:type="dxa" w:w="1800"/>
            <w:tcW w:w="2438"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100.00%</w:t>
            </w:r>
          </w:p>
        </w:tc>
        <w:tc>
          <w:tcPr>
            <w:tcW w:type="dxa" w:w="1800"/>
            <w:tcW w:w="1219"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MT-RNR2</w:t>
            </w:r>
          </w:p>
        </w:tc>
        <w:tc>
          <w:tcPr>
            <w:tcW w:type="dxa" w:w="1800"/>
            <w:tcW w:w="2438"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100.00%</w:t>
            </w:r>
          </w:p>
        </w:tc>
        <w:tc>
          <w:tcPr>
            <w:tcW w:type="dxa" w:w="1800"/>
            <w:tcW w:w="1045"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MT-TM</w:t>
            </w:r>
          </w:p>
        </w:tc>
        <w:tc>
          <w:tcPr>
            <w:tcW w:type="dxa" w:w="1800"/>
            <w:tcW w:w="2438"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100.00%</w:t>
            </w:r>
          </w:p>
        </w:tc>
      </w:tr>
      <w:tr>
        <w:trPr>
          <w:cantSplit/>
        </w:trPr>
        <w:tc>
          <w:tcPr>
            <w:tcW w:type="dxa" w:w="1800"/>
            <w:tcW w:w="1219" w:type="dxa"/>
            <w:shd w:fill="FFFFFF"/>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MT-CO2</w:t>
            </w:r>
          </w:p>
        </w:tc>
        <w:tc>
          <w:tcPr>
            <w:tcW w:type="dxa" w:w="1800"/>
            <w:tcW w:w="2438" w:type="dxa"/>
            <w:shd w:fill="FFFFFF"/>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100.00%</w:t>
            </w:r>
          </w:p>
        </w:tc>
        <w:tc>
          <w:tcPr>
            <w:tcW w:type="dxa" w:w="1800"/>
            <w:tcW w:w="1219" w:type="dxa"/>
            <w:shd w:fill="FFFFFF"/>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MT-TA</w:t>
            </w:r>
          </w:p>
        </w:tc>
        <w:tc>
          <w:tcPr>
            <w:tcW w:type="dxa" w:w="1800"/>
            <w:tcW w:w="2438" w:type="dxa"/>
            <w:shd w:fill="FFFFFF"/>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100.00%</w:t>
            </w:r>
          </w:p>
        </w:tc>
        <w:tc>
          <w:tcPr>
            <w:tcW w:type="dxa" w:w="1800"/>
            <w:tcW w:w="1045" w:type="dxa"/>
            <w:shd w:fill="FFFFFF"/>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MT-TN</w:t>
            </w:r>
          </w:p>
        </w:tc>
        <w:tc>
          <w:tcPr>
            <w:tcW w:type="dxa" w:w="1800"/>
            <w:tcW w:w="2438" w:type="dxa"/>
            <w:shd w:fill="FFFFFF"/>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100.00%</w:t>
            </w:r>
          </w:p>
        </w:tc>
      </w:tr>
      <w:tr>
        <w:trPr>
          <w:cantSplit/>
        </w:trPr>
        <w:tc>
          <w:tcPr>
            <w:tcW w:type="dxa" w:w="1800"/>
            <w:tcW w:w="1219"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MT-CO3</w:t>
            </w:r>
          </w:p>
        </w:tc>
        <w:tc>
          <w:tcPr>
            <w:tcW w:type="dxa" w:w="1800"/>
            <w:tcW w:w="2438"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100.00%</w:t>
            </w:r>
          </w:p>
        </w:tc>
        <w:tc>
          <w:tcPr>
            <w:tcW w:type="dxa" w:w="1800"/>
            <w:tcW w:w="1219"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MT-TC</w:t>
            </w:r>
          </w:p>
        </w:tc>
        <w:tc>
          <w:tcPr>
            <w:tcW w:type="dxa" w:w="1800"/>
            <w:tcW w:w="2438"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100.00%</w:t>
            </w:r>
          </w:p>
        </w:tc>
        <w:tc>
          <w:tcPr>
            <w:tcW w:type="dxa" w:w="1800"/>
            <w:tcW w:w="1045"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MT-TP</w:t>
            </w:r>
          </w:p>
        </w:tc>
        <w:tc>
          <w:tcPr>
            <w:tcW w:type="dxa" w:w="1800"/>
            <w:tcW w:w="2438"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100.00%</w:t>
            </w:r>
          </w:p>
        </w:tc>
      </w:tr>
      <w:tr>
        <w:trPr>
          <w:cantSplit/>
        </w:trPr>
        <w:tc>
          <w:tcPr>
            <w:tcW w:type="dxa" w:w="1800"/>
            <w:tcW w:w="1219" w:type="dxa"/>
            <w:shd w:fill="FFFFFF"/>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MT-CYB</w:t>
            </w:r>
          </w:p>
        </w:tc>
        <w:tc>
          <w:tcPr>
            <w:tcW w:type="dxa" w:w="1800"/>
            <w:tcW w:w="2438" w:type="dxa"/>
            <w:shd w:fill="FFFFFF"/>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100.00%</w:t>
            </w:r>
          </w:p>
        </w:tc>
        <w:tc>
          <w:tcPr>
            <w:tcW w:type="dxa" w:w="1800"/>
            <w:tcW w:w="1219" w:type="dxa"/>
            <w:shd w:fill="FFFFFF"/>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MT-TD</w:t>
            </w:r>
          </w:p>
        </w:tc>
        <w:tc>
          <w:tcPr>
            <w:tcW w:type="dxa" w:w="1800"/>
            <w:tcW w:w="2438" w:type="dxa"/>
            <w:shd w:fill="FFFFFF"/>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100.00%</w:t>
            </w:r>
          </w:p>
        </w:tc>
        <w:tc>
          <w:tcPr>
            <w:tcW w:type="dxa" w:w="1800"/>
            <w:tcW w:w="1045" w:type="dxa"/>
            <w:shd w:fill="FFFFFF"/>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MT-TQ</w:t>
            </w:r>
          </w:p>
        </w:tc>
        <w:tc>
          <w:tcPr>
            <w:tcW w:type="dxa" w:w="1800"/>
            <w:tcW w:w="2438" w:type="dxa"/>
            <w:shd w:fill="FFFFFF"/>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100.00%</w:t>
            </w:r>
          </w:p>
        </w:tc>
      </w:tr>
      <w:tr>
        <w:trPr>
          <w:cantSplit/>
        </w:trPr>
        <w:tc>
          <w:tcPr>
            <w:tcW w:type="dxa" w:w="1800"/>
            <w:tcW w:w="1219"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MT-ND1</w:t>
            </w:r>
          </w:p>
        </w:tc>
        <w:tc>
          <w:tcPr>
            <w:tcW w:type="dxa" w:w="1800"/>
            <w:tcW w:w="2438"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100.00%</w:t>
            </w:r>
          </w:p>
        </w:tc>
        <w:tc>
          <w:tcPr>
            <w:tcW w:type="dxa" w:w="1800"/>
            <w:tcW w:w="1219"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MT-TE</w:t>
            </w:r>
          </w:p>
        </w:tc>
        <w:tc>
          <w:tcPr>
            <w:tcW w:type="dxa" w:w="1800"/>
            <w:tcW w:w="2438"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100.00%</w:t>
            </w:r>
          </w:p>
        </w:tc>
        <w:tc>
          <w:tcPr>
            <w:tcW w:type="dxa" w:w="1800"/>
            <w:tcW w:w="1045"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MT-TR</w:t>
            </w:r>
          </w:p>
        </w:tc>
        <w:tc>
          <w:tcPr>
            <w:tcW w:type="dxa" w:w="1800"/>
            <w:tcW w:w="2438"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100.00%</w:t>
            </w:r>
          </w:p>
        </w:tc>
      </w:tr>
      <w:tr>
        <w:trPr>
          <w:cantSplit/>
        </w:trPr>
        <w:tc>
          <w:tcPr>
            <w:tcW w:type="dxa" w:w="1800"/>
            <w:tcW w:w="1219" w:type="dxa"/>
            <w:shd w:fill="FFFFFF"/>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MT-ND2</w:t>
            </w:r>
          </w:p>
        </w:tc>
        <w:tc>
          <w:tcPr>
            <w:tcW w:type="dxa" w:w="1800"/>
            <w:tcW w:w="2438" w:type="dxa"/>
            <w:shd w:fill="FFFFFF"/>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100.00%</w:t>
            </w:r>
          </w:p>
        </w:tc>
        <w:tc>
          <w:tcPr>
            <w:tcW w:type="dxa" w:w="1800"/>
            <w:tcW w:w="1219" w:type="dxa"/>
            <w:shd w:fill="FFFFFF"/>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MT-TF</w:t>
            </w:r>
          </w:p>
        </w:tc>
        <w:tc>
          <w:tcPr>
            <w:tcW w:type="dxa" w:w="1800"/>
            <w:tcW w:w="2438" w:type="dxa"/>
            <w:shd w:fill="FFFFFF"/>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100.00%</w:t>
            </w:r>
          </w:p>
        </w:tc>
        <w:tc>
          <w:tcPr>
            <w:tcW w:type="dxa" w:w="1800"/>
            <w:tcW w:w="1045" w:type="dxa"/>
            <w:shd w:fill="FFFFFF"/>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MT-TS1</w:t>
            </w:r>
          </w:p>
        </w:tc>
        <w:tc>
          <w:tcPr>
            <w:tcW w:type="dxa" w:w="1800"/>
            <w:tcW w:w="2438" w:type="dxa"/>
            <w:shd w:fill="FFFFFF"/>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100.00%</w:t>
            </w:r>
          </w:p>
        </w:tc>
      </w:tr>
      <w:tr>
        <w:trPr>
          <w:cantSplit/>
        </w:trPr>
        <w:tc>
          <w:tcPr>
            <w:tcW w:type="dxa" w:w="1800"/>
            <w:tcW w:w="1219"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MT-ND3</w:t>
            </w:r>
          </w:p>
        </w:tc>
        <w:tc>
          <w:tcPr>
            <w:tcW w:type="dxa" w:w="1800"/>
            <w:tcW w:w="2438"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100.00%</w:t>
            </w:r>
          </w:p>
        </w:tc>
        <w:tc>
          <w:tcPr>
            <w:tcW w:type="dxa" w:w="1800"/>
            <w:tcW w:w="1219"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MT-TG</w:t>
            </w:r>
          </w:p>
        </w:tc>
        <w:tc>
          <w:tcPr>
            <w:tcW w:type="dxa" w:w="1800"/>
            <w:tcW w:w="2438"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100.00%</w:t>
            </w:r>
          </w:p>
        </w:tc>
        <w:tc>
          <w:tcPr>
            <w:tcW w:type="dxa" w:w="1800"/>
            <w:tcW w:w="1045"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MT-TS2</w:t>
            </w:r>
          </w:p>
        </w:tc>
        <w:tc>
          <w:tcPr>
            <w:tcW w:type="dxa" w:w="1800"/>
            <w:tcW w:w="2438"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100.00%</w:t>
            </w:r>
          </w:p>
        </w:tc>
      </w:tr>
      <w:tr>
        <w:trPr>
          <w:cantSplit/>
        </w:trPr>
        <w:tc>
          <w:tcPr>
            <w:tcW w:type="dxa" w:w="1800"/>
            <w:tcW w:w="1219" w:type="dxa"/>
            <w:shd w:fill="FFFFFF"/>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MT-ND4</w:t>
            </w:r>
          </w:p>
        </w:tc>
        <w:tc>
          <w:tcPr>
            <w:tcW w:type="dxa" w:w="1800"/>
            <w:tcW w:w="2438" w:type="dxa"/>
            <w:shd w:fill="FFFFFF"/>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100.00%</w:t>
            </w:r>
          </w:p>
        </w:tc>
        <w:tc>
          <w:tcPr>
            <w:tcW w:type="dxa" w:w="1800"/>
            <w:tcW w:w="1219" w:type="dxa"/>
            <w:shd w:fill="FFFFFF"/>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MT-TH</w:t>
            </w:r>
          </w:p>
        </w:tc>
        <w:tc>
          <w:tcPr>
            <w:tcW w:type="dxa" w:w="1800"/>
            <w:tcW w:w="2438" w:type="dxa"/>
            <w:shd w:fill="FFFFFF"/>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100.00%</w:t>
            </w:r>
          </w:p>
        </w:tc>
        <w:tc>
          <w:tcPr>
            <w:tcW w:type="dxa" w:w="1800"/>
            <w:tcW w:w="1045" w:type="dxa"/>
            <w:shd w:fill="FFFFFF"/>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MT-TT</w:t>
            </w:r>
          </w:p>
        </w:tc>
        <w:tc>
          <w:tcPr>
            <w:tcW w:type="dxa" w:w="1800"/>
            <w:tcW w:w="2438" w:type="dxa"/>
            <w:shd w:fill="FFFFFF"/>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100.00%</w:t>
            </w:r>
          </w:p>
        </w:tc>
      </w:tr>
      <w:tr>
        <w:trPr>
          <w:cantSplit/>
        </w:trPr>
        <w:tc>
          <w:tcPr>
            <w:tcW w:type="dxa" w:w="1800"/>
            <w:tcW w:w="1219"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MT-ND4L</w:t>
            </w:r>
          </w:p>
        </w:tc>
        <w:tc>
          <w:tcPr>
            <w:tcW w:type="dxa" w:w="1800"/>
            <w:tcW w:w="2438"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100.00%</w:t>
            </w:r>
          </w:p>
        </w:tc>
        <w:tc>
          <w:tcPr>
            <w:tcW w:type="dxa" w:w="1800"/>
            <w:tcW w:w="1219"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MT-TI</w:t>
            </w:r>
          </w:p>
        </w:tc>
        <w:tc>
          <w:tcPr>
            <w:tcW w:type="dxa" w:w="1800"/>
            <w:tcW w:w="2438"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100.00%</w:t>
            </w:r>
          </w:p>
        </w:tc>
        <w:tc>
          <w:tcPr>
            <w:tcW w:type="dxa" w:w="1800"/>
            <w:tcW w:w="1045"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MT-TV</w:t>
            </w:r>
          </w:p>
        </w:tc>
        <w:tc>
          <w:tcPr>
            <w:tcW w:type="dxa" w:w="1800"/>
            <w:tcW w:w="2438"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100.00%</w:t>
            </w:r>
          </w:p>
        </w:tc>
      </w:tr>
      <w:tr>
        <w:trPr>
          <w:cantSplit/>
        </w:trPr>
        <w:tc>
          <w:tcPr>
            <w:tcW w:type="dxa" w:w="1800"/>
            <w:tcW w:w="1219" w:type="dxa"/>
            <w:shd w:fill="FFFFFF"/>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MT-ND5</w:t>
            </w:r>
          </w:p>
        </w:tc>
        <w:tc>
          <w:tcPr>
            <w:tcW w:type="dxa" w:w="1800"/>
            <w:tcW w:w="2438" w:type="dxa"/>
            <w:shd w:fill="FFFFFF"/>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100.00%</w:t>
            </w:r>
          </w:p>
        </w:tc>
        <w:tc>
          <w:tcPr>
            <w:tcW w:type="dxa" w:w="1800"/>
            <w:tcW w:w="1219" w:type="dxa"/>
            <w:shd w:fill="FFFFFF"/>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MT-TK</w:t>
            </w:r>
          </w:p>
        </w:tc>
        <w:tc>
          <w:tcPr>
            <w:tcW w:type="dxa" w:w="1800"/>
            <w:tcW w:w="2438" w:type="dxa"/>
            <w:shd w:fill="FFFFFF"/>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100.00%</w:t>
            </w:r>
          </w:p>
        </w:tc>
        <w:tc>
          <w:tcPr>
            <w:tcW w:type="dxa" w:w="1800"/>
            <w:tcW w:w="1045" w:type="dxa"/>
            <w:shd w:fill="FFFFFF"/>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MT-TW</w:t>
            </w:r>
          </w:p>
        </w:tc>
        <w:tc>
          <w:tcPr>
            <w:tcW w:type="dxa" w:w="1800"/>
            <w:tcW w:w="2438" w:type="dxa"/>
            <w:shd w:fill="FFFFFF"/>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100.00%</w:t>
            </w:r>
          </w:p>
        </w:tc>
      </w:tr>
      <w:tr>
        <w:trPr>
          <w:cantSplit/>
        </w:trPr>
        <w:tc>
          <w:tcPr>
            <w:tcW w:type="dxa" w:w="1800"/>
            <w:tcW w:w="1219"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MT-TY</w:t>
            </w:r>
          </w:p>
        </w:tc>
        <w:tc>
          <w:tcPr>
            <w:tcW w:type="dxa" w:w="1800"/>
            <w:tcW w:w="2438"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100.00%</w:t>
            </w:r>
          </w:p>
        </w:tc>
        <w:tc>
          <w:tcPr>
            <w:tcW w:type="dxa" w:w="1800"/>
            <w:tcW w:w="1219"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r>
          </w:p>
        </w:tc>
        <w:tc>
          <w:tcPr>
            <w:tcW w:type="dxa" w:w="1800"/>
            <w:tcW w:w="2438"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r>
          </w:p>
        </w:tc>
        <w:tc>
          <w:tcPr>
            <w:tcW w:type="dxa" w:w="1800"/>
            <w:tcW w:w="1045"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r>
          </w:p>
        </w:tc>
        <w:tc>
          <w:tcPr>
            <w:tcW w:type="dxa" w:w="1800"/>
            <w:tcW w:w="2438" w:type="dxa"/>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r>
          </w:p>
        </w:tc>
      </w:tr>
    </w:tbl>
    <w:p>
      <w:r>
        <w:br w:type="page"/>
      </w:r>
    </w:p>
    <w:p>
      <w:pPr>
        <w:spacing w:line="276" w:lineRule="auto" w:after="80"/>
        <w:ind w:left="360"/>
      </w:pPr>
      <w:r>
        <w:rPr>
          <w:rFonts w:ascii="Cambria" w:hAnsi="Cambria"/>
          <w:color w:val="000000"/>
          <w:sz w:val="20"/>
        </w:rPr>
        <w:t>------------------ End Of Report ------------------</w:t>
      </w:r>
    </w:p>
    <w:tbl>
      <w:tblPr>
        <w:tblW w:type="auto" w:w="0"/>
        <w:jc w:val="center"/>
        <w:tblLayout w:type="fixed"/>
        <w:tblLook w:firstColumn="1" w:firstRow="1" w:lastColumn="0" w:lastRow="0" w:noHBand="0" w:noVBand="1" w:val="04A0"/>
      </w:tblPr>
      <w:tblGrid>
        <w:gridCol w:w="3600"/>
        <w:gridCol w:w="3600"/>
        <w:gridCol w:w="3600"/>
      </w:tblGrid>
      <w:tr>
        <w:tc>
          <w:tcPr>
            <w:tcW w:type="dxa" w:w="3600"/>
            <w:tcBorders>
              <w:top w:val="single" w:sz="4" w:space="0" w:color="FFFFFF"/>
              <w:left w:val="single" w:sz="4" w:space="0" w:color="FFFFFF"/>
              <w:bottom w:val="single" w:sz="4" w:space="0" w:color="FFFFFF"/>
              <w:right w:val="single" w:sz="4" w:space="0" w:color="FFFFFF"/>
            </w:tcBorders>
          </w:tcPr>
          <w:p>
            <w:pPr>
              <w:jc w:val="center"/>
            </w:pPr>
            <w:r>
              <w:rPr>
                <w:rFonts w:ascii="Cambria" w:hAnsi="Cambria"/>
                <w:color w:val="94A3B8"/>
                <w:sz w:val="17"/>
              </w:rPr>
              <w:t>_______________________</w:t>
              <w:br/>
              <w:t>(Signature / Stamp)</w:t>
            </w:r>
          </w:p>
        </w:tc>
        <w:tc>
          <w:tcPr>
            <w:tcW w:type="dxa" w:w="3600"/>
            <w:tcBorders>
              <w:top w:val="single" w:sz="4" w:space="0" w:color="FFFFFF"/>
              <w:left w:val="single" w:sz="4" w:space="0" w:color="FFFFFF"/>
              <w:bottom w:val="single" w:sz="4" w:space="0" w:color="FFFFFF"/>
              <w:right w:val="single" w:sz="4" w:space="0" w:color="FFFFFF"/>
            </w:tcBorders>
          </w:tcPr>
          <w:p>
            <w:pPr>
              <w:jc w:val="center"/>
            </w:pPr>
            <w:r>
              <w:rPr>
                <w:rFonts w:ascii="Cambria" w:hAnsi="Cambria"/>
                <w:color w:val="94A3B8"/>
                <w:sz w:val="17"/>
              </w:rPr>
              <w:t>_______________________</w:t>
              <w:br/>
              <w:t>(Signature / Stamp)</w:t>
            </w:r>
          </w:p>
        </w:tc>
        <w:tc>
          <w:tcPr>
            <w:tcW w:type="dxa" w:w="3600"/>
            <w:tcBorders>
              <w:top w:val="single" w:sz="4" w:space="0" w:color="FFFFFF"/>
              <w:left w:val="single" w:sz="4" w:space="0" w:color="FFFFFF"/>
              <w:bottom w:val="single" w:sz="4" w:space="0" w:color="FFFFFF"/>
              <w:right w:val="single" w:sz="4" w:space="0" w:color="FFFFFF"/>
            </w:tcBorders>
          </w:tcPr>
          <w:p>
            <w:pPr>
              <w:jc w:val="center"/>
            </w:pPr>
            <w:r>
              <w:rPr>
                <w:rFonts w:ascii="Cambria" w:hAnsi="Cambria"/>
                <w:color w:val="94A3B8"/>
                <w:sz w:val="17"/>
              </w:rPr>
              <w:t>_______________________</w:t>
              <w:br/>
              <w:t>(Signature / Stamp)</w:t>
            </w:r>
          </w:p>
        </w:tc>
      </w:tr>
      <w:tr>
        <w:tc>
          <w:tcPr>
            <w:tcW w:type="dxa" w:w="3600"/>
            <w:tcBorders>
              <w:top w:val="single" w:sz="4" w:space="0" w:color="FFFFFF"/>
              <w:left w:val="single" w:sz="4" w:space="0" w:color="FFFFFF"/>
              <w:bottom w:val="single" w:sz="4" w:space="0" w:color="FFFFFF"/>
              <w:right w:val="single" w:sz="4" w:space="0" w:color="FFFFFF"/>
            </w:tcBorders>
          </w:tcPr>
          <w:p>
            <w:pPr>
              <w:jc w:val="center"/>
            </w:pPr>
            <w:r>
              <w:rPr>
                <w:rFonts w:ascii="Cambria" w:hAnsi="Cambria"/>
                <w:b/>
                <w:color w:val="1F497D"/>
                <w:sz w:val="18"/>
              </w:rPr>
              <w:t>Prepared / Verified By</w:t>
            </w:r>
          </w:p>
        </w:tc>
        <w:tc>
          <w:tcPr>
            <w:tcW w:type="dxa" w:w="3600"/>
            <w:tcBorders>
              <w:top w:val="single" w:sz="4" w:space="0" w:color="FFFFFF"/>
              <w:left w:val="single" w:sz="4" w:space="0" w:color="FFFFFF"/>
              <w:bottom w:val="single" w:sz="4" w:space="0" w:color="FFFFFF"/>
              <w:right w:val="single" w:sz="4" w:space="0" w:color="FFFFFF"/>
            </w:tcBorders>
          </w:tcPr>
          <w:p>
            <w:pPr>
              <w:jc w:val="center"/>
            </w:pPr>
            <w:r>
              <w:rPr>
                <w:rFonts w:ascii="Cambria" w:hAnsi="Cambria"/>
                <w:b/>
                <w:color w:val="1F497D"/>
                <w:sz w:val="18"/>
              </w:rPr>
              <w:t>Reviewing Officer</w:t>
            </w:r>
          </w:p>
        </w:tc>
        <w:tc>
          <w:tcPr>
            <w:tcW w:type="dxa" w:w="3600"/>
            <w:tcBorders>
              <w:top w:val="single" w:sz="4" w:space="0" w:color="FFFFFF"/>
              <w:left w:val="single" w:sz="4" w:space="0" w:color="FFFFFF"/>
              <w:bottom w:val="single" w:sz="4" w:space="0" w:color="FFFFFF"/>
              <w:right w:val="single" w:sz="4" w:space="0" w:color="FFFFFF"/>
            </w:tcBorders>
          </w:tcPr>
          <w:p>
            <w:pPr>
              <w:jc w:val="center"/>
            </w:pPr>
            <w:r>
              <w:rPr>
                <w:rFonts w:ascii="Cambria" w:hAnsi="Cambria"/>
                <w:b/>
                <w:color w:val="1F497D"/>
                <w:sz w:val="18"/>
              </w:rPr>
              <w:t>Authorized Signatory</w:t>
            </w:r>
          </w:p>
        </w:tc>
      </w:tr>
    </w:tbl>
    <w:p>
      <w:pPr>
        <w:spacing w:before="240" w:after="240"/>
        <w:jc w:val="center"/>
      </w:pPr>
      <w:r>
        <w:rPr>
          <w:rFonts w:ascii="Calibri" w:hAnsi="Calibri"/>
          <w:b/>
          <w:color w:val="1F497D"/>
          <w:sz w:val="20"/>
        </w:rPr>
        <w:t>------------------ End Of Report ------------------</w:t>
      </w:r>
    </w:p>
    <w:sectPr w:rsidR="00FC693F" w:rsidRPr="0006063C" w:rsidSect="00034616">
      <w:headerReference w:type="default" r:id="rId9"/>
      <w:footerReference w:type="default" r:id="rId10"/>
      <w:pgSz w:w="12240" w:h="15840"/>
      <w:pgMar w:top="720" w:right="720" w:bottom="720" w:left="72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sz w:val="18"/>
      </w:rPr>
      <w:tab/>
      <w:t xml:space="preserve">Page </w:t>
      <w:fldChar w:fldCharType="begin"/>
      <w:instrText xml:space="preserve"> PAGE </w:instrText>
      <w:fldChar w:fldCharType="separate"/>
      <w:fldChar w:fldCharType="end"/>
    </w:r>
    <w:r>
      <w:rPr>
        <w:rFonts w:ascii="Cambria" w:hAnsi="Cambria"/>
        <w:sz w:val="18"/>
      </w:rPr>
      <w:t xml:space="preserve"> of </w:t>
      <w:fldChar w:fldCharType="begin"/>
      <w:instrText xml:space="preserve"> NUMPAGES </w:instrText>
      <w:fldChar w:fldCharType="separate"/>
      <w:fldChar w:fldCharType="end"/>
    </w:r>
    <w:r>
      <w:rPr>
        <w:rFonts w:ascii="Cambria" w:hAnsi="Cambria"/>
        <w:sz w:val="18"/>
      </w:rPr>
      <w:tab/>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P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tbl>
    <w:tblPr>
      <w:tblW w:type="auto" w:w="0"/>
      <w:jc w:val="center"/>
      <w:tblLayout w:type="fixed"/>
      <w:tblLook w:firstColumn="1" w:firstRow="1" w:lastColumn="0" w:lastRow="0" w:noHBand="0" w:noVBand="1" w:val="04A0"/>
    </w:tblPr>
    <w:tblGrid>
      <w:gridCol w:w="2700"/>
      <w:gridCol w:w="2700"/>
      <w:gridCol w:w="2700"/>
      <w:gridCol w:w="2700"/>
    </w:tblGrid>
    <w:tr>
      <w:tc>
        <w:tcPr>
          <w:tcW w:type="dxa" w:w="2700"/>
          <w:tcW w:w="1744"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b/>
              <w:color w:val="1F497D"/>
              <w:sz w:val="18"/>
            </w:rPr>
            <w:t>Sample Description</w:t>
          </w:r>
        </w:p>
      </w:tc>
      <w:tc>
        <w:tcPr>
          <w:tcW w:type="dxa" w:w="2700"/>
          <w:tcW w:w="3215"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color w:val="000000"/>
              <w:sz w:val="18"/>
            </w:rPr>
            <w:t>: Sample quality is optimum for the test.</w:t>
          </w:r>
        </w:p>
      </w:tc>
      <w:tc>
        <w:tcPr>
          <w:tcW w:type="dxa" w:w="2700"/>
          <w:tcW w:w="1779"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b/>
              <w:color w:val="1F497D"/>
              <w:sz w:val="18"/>
            </w:rPr>
            <w:t>KIF26A</w:t>
          </w:r>
        </w:p>
      </w:tc>
      <w:tc>
        <w:tcPr>
          <w:tcW w:type="dxa" w:w="2700"/>
          <w:tcW w:w="4062"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color w:val="000000"/>
              <w:sz w:val="18"/>
            </w:rPr>
            <w:t>: c.371G&gt;A) is classified as  Uncertain significance  variant.</w:t>
          </w:r>
        </w:p>
      </w:tc>
    </w:tr>
    <w:tr>
      <w:tc>
        <w:tcPr>
          <w:tcW w:type="dxa" w:w="2700"/>
          <w:tcW w:w="1744"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b/>
              <w:color w:val="1F497D"/>
              <w:sz w:val="18"/>
            </w:rPr>
            <w:t>KIF26A Gene Phenotype Description</w:t>
          </w:r>
        </w:p>
      </w:tc>
      <w:tc>
        <w:tcPr>
          <w:tcW w:type="dxa" w:w="2700"/>
          <w:tcW w:w="3215"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color w:val="000000"/>
              <w:sz w:val="18"/>
            </w:rPr>
            <w:t>: An autosomal recessive disorder of aberrant neuronal migration during brain development. CDCBM11 is characterized by dil</w:t>
          </w:r>
        </w:p>
      </w:tc>
      <w:tc>
        <w:tcPr>
          <w:tcW w:type="dxa" w:w="2700"/>
          <w:tcW w:w="1779"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b/>
              <w:color w:val="1F497D"/>
              <w:sz w:val="18"/>
            </w:rPr>
            <w:t>The Genome Analysis Toolkit</w:t>
          </w:r>
        </w:p>
      </w:tc>
      <w:tc>
        <w:tcPr>
          <w:tcW w:type="dxa" w:w="2700"/>
          <w:tcW w:w="4062"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color w:val="000000"/>
              <w:sz w:val="18"/>
            </w:rPr>
            <w:t>: a MapReduce framework for analyzing next-generation DNA sequencing data. Genome Res, 2010. 20(9)</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