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400"/>
        <w:gridCol w:w="5400"/>
      </w:tblGrid>
      <w:tr>
        <w:trPr>
          <w:cantSplit/>
        </w:trPr>
        <w:tc>
          <w:tcPr>
            <w:tcW w:type="dxa" w:w="5400"/>
            <w:tcW w:w="3600" w:type="dxa"/>
            <w:tcMar>
              <w:top w:w="15" w:type="dxa"/>
              <w:left w:w="30" w:type="dxa"/>
              <w:bottom w:w="15" w:type="dxa"/>
              <w:right w:w="30" w:type="dxa"/>
            </w:tcMar>
            <w:tcBorders>
              <w:top w:val="single" w:sz="2" w:space="0" w:color="cbd5e1"/>
              <w:left w:val="single" w:sz="2" w:space="0" w:color="cbd5e1"/>
              <w:bottom w:val="single" w:sz="2" w:space="0" w:color="cbd5e1"/>
              <w:right w:val="single" w:sz="2" w:space="0" w:color="cbd5e1"/>
            </w:tcBorders>
          </w:tcPr>
          <w:p>
            <w:pPr>
              <w:spacing w:before="0" w:after="0"/>
            </w:pPr>
            <w:r>
              <w:rPr>
                <w:rFonts w:ascii="Cambria" w:hAnsi="Cambria"/>
                <w:b/>
                <w:color w:val="1F497D"/>
                <w:sz w:val="20"/>
              </w:rPr>
              <w:t>Sample Description</w:t>
            </w:r>
          </w:p>
        </w:tc>
        <w:tc>
          <w:tcPr>
            <w:tcW w:type="dxa" w:w="5400"/>
            <w:tcW w:w="7200" w:type="dxa"/>
            <w:tcMar>
              <w:top w:w="15" w:type="dxa"/>
              <w:left w:w="30" w:type="dxa"/>
              <w:bottom w:w="15" w:type="dxa"/>
              <w:right w:w="30" w:type="dxa"/>
            </w:tcMar>
            <w:tcBorders>
              <w:top w:val="single" w:sz="2" w:space="0" w:color="cbd5e1"/>
              <w:left w:val="single" w:sz="2" w:space="0" w:color="cbd5e1"/>
              <w:bottom w:val="single" w:sz="2" w:space="0" w:color="cbd5e1"/>
              <w:right w:val="single" w:sz="2" w:space="0" w:color="cbd5e1"/>
            </w:tcBorders>
          </w:tcPr>
          <w:p>
            <w:pPr>
              <w:spacing w:before="0" w:after="0"/>
            </w:pPr>
            <w:r>
              <w:rPr>
                <w:rFonts w:ascii="Cambria" w:hAnsi="Cambria"/>
                <w:color w:val="000000"/>
                <w:sz w:val="20"/>
              </w:rPr>
              <w:t>: Sample quality is optimum for the test.</w:t>
            </w:r>
          </w:p>
        </w:tc>
      </w:tr>
    </w:tbl>
    <w:tbl>
      <w:tblPr>
        <w:tblW w:type="auto" w:w="0"/>
        <w:jc w:val="center"/>
        <w:tblLook w:firstColumn="1" w:firstRow="1" w:lastColumn="0" w:lastRow="0" w:noHBand="0" w:noVBand="1" w:val="04A0"/>
      </w:tblPr>
      <w:tblGrid>
        <w:gridCol w:w="10800"/>
      </w:tblGrid>
      <w:tr>
        <w:trPr>
          <w:cantSplit/>
        </w:trPr>
        <w:tc>
          <w:tcPr>
            <w:tcW w:type="dxa" w:w="10800"/>
            <w:tcW w:w="10800" w:type="dxa"/>
            <w:tcBorders>
              <w:top w:val="single" w:sz="4" w:space="0" w:color="1f497d"/>
              <w:left w:val="single" w:sz="4" w:space="0" w:color="1f497d"/>
              <w:bottom w:val="single" w:sz="4" w:space="0" w:color="1f497d"/>
              <w:right w:val="single" w:sz="4" w:space="0" w:color="1f497d"/>
            </w:tcBorders>
            <w:tcMar>
              <w:top w:w="30" w:type="dxa"/>
              <w:left w:w="50" w:type="dxa"/>
              <w:bottom w:w="30" w:type="dxa"/>
              <w:right w:w="50" w:type="dxa"/>
            </w:tcMar>
          </w:tcPr>
          <w:p/>
          <w:p>
            <w:pPr>
              <w:spacing w:before="0" w:after="80" w:line="252" w:lineRule="auto"/>
              <w:jc w:val="left"/>
            </w:pPr>
            <w:r>
              <w:rPr>
                <w:rFonts w:ascii="Cambria" w:hAnsi="Cambria"/>
                <w:b/>
                <w:color w:val="1F497D"/>
                <w:sz w:val="20"/>
              </w:rPr>
              <w:t xml:space="preserve">Sample Description: </w:t>
            </w:r>
            <w:r>
              <w:rPr>
                <w:rFonts w:ascii="Cambria" w:hAnsi="Cambria"/>
                <w:color w:val="000000"/>
                <w:sz w:val="20"/>
              </w:rPr>
              <w:t>Sample quality is optimum for the test.</w:t>
            </w:r>
          </w:p>
        </w:tc>
      </w:tr>
    </w:tbl>
    <w:tbl>
      <w:tblPr>
        <w:tblW w:type="auto" w:w="0"/>
        <w:jc w:val="center"/>
        <w:tblLook w:firstColumn="1" w:firstRow="1" w:lastColumn="0" w:lastRow="0" w:noHBand="0" w:noVBand="1" w:val="04A0"/>
      </w:tblPr>
      <w:tblGrid>
        <w:gridCol w:w="10800"/>
      </w:tblGrid>
      <w:tr>
        <w:trPr>
          <w:cantSplit/>
        </w:trPr>
        <w:tc>
          <w:tcPr>
            <w:tcW w:type="dxa" w:w="10800"/>
            <w:tcW w:w="10800" w:type="dxa"/>
            <w:tcBorders>
              <w:top w:val="single" w:sz="4" w:space="0" w:color="1f497d"/>
              <w:left w:val="single" w:sz="4" w:space="0" w:color="1f497d"/>
              <w:bottom w:val="single" w:sz="4" w:space="0" w:color="1f497d"/>
              <w:right w:val="single" w:sz="4" w:space="0" w:color="1f497d"/>
            </w:tcBorders>
            <w:tcMar>
              <w:top w:w="30" w:type="dxa"/>
              <w:left w:w="50" w:type="dxa"/>
              <w:bottom w:w="30" w:type="dxa"/>
              <w:right w:w="50" w:type="dxa"/>
            </w:tcMar>
          </w:tcPr>
          <w:p>
            <w:pPr>
              <w:spacing w:before="0" w:after="40"/>
            </w:pPr>
            <w:r>
              <w:rPr>
                <w:rFonts w:ascii="Cambria" w:hAnsi="Cambria"/>
                <w:b/>
                <w:color w:val="1F497D"/>
                <w:sz w:val="20"/>
              </w:rPr>
              <w:t>Key Findings:</w:t>
            </w:r>
          </w:p>
          <w:p>
            <w:pPr>
              <w:spacing w:before="0" w:after="80" w:line="252" w:lineRule="auto"/>
              <w:ind w:left="360"/>
              <w:jc w:val="left"/>
            </w:pPr>
            <w:r>
              <w:rPr>
                <w:rFonts w:ascii="Cambria" w:hAnsi="Cambria"/>
                <w:color w:val="000000"/>
                <w:sz w:val="20"/>
              </w:rPr>
              <w:t>*Genetic test results are reported based on the recommendations of American College of Medical Genetics # Due to lack of clinical evidence for this variant, it is classified as variant of uncertain significance. Note: The variant KIF26A:c.1326+2T&gt;A to be confirmed by sanger due to low death of the variant.</w:t>
            </w:r>
          </w:p>
          <w:p>
            <w:pPr>
              <w:spacing w:before="0" w:after="80" w:line="252" w:lineRule="auto"/>
              <w:jc w:val="left"/>
            </w:pPr>
            <w:r>
              <w:rPr>
                <w:rFonts w:ascii="Cambria" w:hAnsi="Cambria"/>
                <w:color w:val="000000"/>
                <w:sz w:val="20"/>
              </w:rPr>
              <w:t>Variant Interpretation &amp; Clinical correlation:</w:t>
            </w:r>
          </w:p>
          <w:p>
            <w:pPr>
              <w:spacing w:before="0" w:after="80" w:line="252" w:lineRule="auto"/>
              <w:jc w:val="left"/>
            </w:pPr>
            <w:r>
              <w:rPr>
                <w:rFonts w:ascii="Cambria" w:hAnsi="Cambria"/>
                <w:b/>
                <w:color w:val="1F497D"/>
                <w:sz w:val="20"/>
              </w:rPr>
              <w:t xml:space="preserve">KIF26A: </w:t>
            </w:r>
            <w:r>
              <w:rPr>
                <w:rFonts w:ascii="Cambria" w:hAnsi="Cambria"/>
                <w:color w:val="000000"/>
                <w:sz w:val="20"/>
              </w:rPr>
              <w:t>c.1326+2T&gt;A; The submitted sample shows Heterozygous variant in Intron 6 of gene  KIF26A  (chr14: g.104171937T&gt;A). A splice donor variant “T” to “A” detected at nucleotide position 1326+2. This variant mutates a splice-donor sequence, potentially resulting in the retention of large segments of intronic DNA by the mRNA and nonfunctional proteins.  In silico predictions: The c.1326+2T&gt;A variant is a loss of function variant in the gene KIF26A, which is intolerant of Loss of Function variant. Population frequency and Internal database :  The c.1326+2T&gt;A variant is novel (not in any individuals) in gnomAD All. The c.1326+2T&gt;A variant is novel (not in any individuals) in 1kG All. This variant is absent in our internal database.</w:t>
            </w:r>
          </w:p>
          <w:p>
            <w:pPr>
              <w:spacing w:before="0" w:after="80" w:line="252" w:lineRule="auto"/>
              <w:jc w:val="left"/>
            </w:pPr>
            <w:r>
              <w:rPr>
                <w:rFonts w:ascii="Cambria" w:hAnsi="Cambria"/>
                <w:color w:val="000000"/>
                <w:sz w:val="20"/>
              </w:rPr>
              <w:t>Clinical Indication:</w:t>
            </w:r>
          </w:p>
          <w:p>
            <w:pPr>
              <w:spacing w:before="0" w:after="80" w:line="252" w:lineRule="auto"/>
              <w:jc w:val="left"/>
            </w:pPr>
            <w:r>
              <w:rPr>
                <w:rFonts w:ascii="Cambria" w:hAnsi="Cambria"/>
                <w:color w:val="000000"/>
                <w:sz w:val="20"/>
              </w:rPr>
              <w:t>Rudransh Garg normal till 9 months of age, sit, stand with support. He has seizures, ventilated 3 weeks, was unresponsive for week. MRI - signal change. EEG - abnormal.</w:t>
            </w:r>
          </w:p>
        </w:tc>
      </w:tr>
    </w:tbl>
    <w:tbl>
      <w:tblPr>
        <w:tblW w:type="auto" w:w="0"/>
        <w:jc w:val="center"/>
        <w:tblLayout w:type="autofit"/>
        <w:tblLook w:firstColumn="1" w:firstRow="1" w:lastColumn="0" w:lastRow="0" w:noHBand="0" w:noVBand="1" w:val="04A0"/>
      </w:tblPr>
      <w:tblGrid>
        <w:gridCol w:w="1800"/>
        <w:gridCol w:w="1800"/>
        <w:gridCol w:w="1800"/>
        <w:gridCol w:w="1800"/>
        <w:gridCol w:w="1800"/>
        <w:gridCol w:w="1800"/>
      </w:tblGrid>
      <w:tr>
        <w:trPr>
          <w:tblHeader/>
          <w:cantSplit/>
        </w:trPr>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Gene &amp; Transcript</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Location</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Variant</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Zygosity/ Inheritance</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Phenotype</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Clinical Significance</w:t>
            </w:r>
          </w:p>
        </w:tc>
      </w:tr>
      <w:tr>
        <w:trPr>
          <w:cantSplit/>
        </w:trPr>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KIF26A (+) NM 015656.2</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Intron 6</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c.1326+2T&gt;A (Splice donor variant)</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Likely Compound Heterozygous /Autosomal Recessive</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Cortical dysplasia, complex, with other brain malformations 11</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Uncertain significance# (PM2, PVS1)</w:t>
            </w:r>
          </w:p>
        </w:tc>
      </w:tr>
      <w:tr>
        <w:trPr>
          <w:cantSplit/>
        </w:trPr>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KIF26A (+) NM 015656.2</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Exon 3</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c.371G&gt;A (p.Arg124His)</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Uncertain significance# (PM2)</w:t>
            </w:r>
          </w:p>
        </w:tc>
      </w:tr>
    </w:tbl>
    <w:tbl>
      <w:tblPr>
        <w:tblW w:type="auto" w:w="0"/>
        <w:jc w:val="center"/>
        <w:tblLayout w:type="fixed"/>
        <w:tblLook w:firstColumn="1" w:firstRow="1" w:lastColumn="0" w:lastRow="0" w:noHBand="0" w:noVBand="1" w:val="04A0"/>
      </w:tblPr>
      <w:tblGrid>
        <w:gridCol w:w="5400"/>
        <w:gridCol w:w="5400"/>
      </w:tblGrid>
      <w:tr>
        <w:trPr>
          <w:cantSplit/>
        </w:trPr>
        <w:tc>
          <w:tcPr>
            <w:tcW w:type="dxa" w:w="5400"/>
            <w:tcW w:w="3600" w:type="dxa"/>
            <w:tcMar>
              <w:top w:w="15" w:type="dxa"/>
              <w:left w:w="30" w:type="dxa"/>
              <w:bottom w:w="15" w:type="dxa"/>
              <w:right w:w="30" w:type="dxa"/>
            </w:tcMar>
            <w:tcBorders>
              <w:top w:val="single" w:sz="2" w:space="0" w:color="cbd5e1"/>
              <w:left w:val="single" w:sz="2" w:space="0" w:color="cbd5e1"/>
              <w:bottom w:val="single" w:sz="2" w:space="0" w:color="cbd5e1"/>
              <w:right w:val="single" w:sz="2" w:space="0" w:color="cbd5e1"/>
            </w:tcBorders>
          </w:tcPr>
          <w:p>
            <w:pPr>
              <w:spacing w:before="0" w:after="0"/>
            </w:pPr>
            <w:r>
              <w:rPr>
                <w:rFonts w:ascii="Cambria" w:hAnsi="Cambria"/>
                <w:b/>
                <w:color w:val="1F497D"/>
                <w:sz w:val="20"/>
              </w:rPr>
              <w:t>KIF26A</w:t>
            </w:r>
          </w:p>
        </w:tc>
        <w:tc>
          <w:tcPr>
            <w:tcW w:type="dxa" w:w="5400"/>
            <w:tcW w:w="7200" w:type="dxa"/>
            <w:tcMar>
              <w:top w:w="15" w:type="dxa"/>
              <w:left w:w="30" w:type="dxa"/>
              <w:bottom w:w="15" w:type="dxa"/>
              <w:right w:w="30" w:type="dxa"/>
            </w:tcMar>
            <w:tcBorders>
              <w:top w:val="single" w:sz="2" w:space="0" w:color="cbd5e1"/>
              <w:left w:val="single" w:sz="2" w:space="0" w:color="cbd5e1"/>
              <w:bottom w:val="single" w:sz="2" w:space="0" w:color="cbd5e1"/>
              <w:right w:val="single" w:sz="2" w:space="0" w:color="cbd5e1"/>
            </w:tcBorders>
          </w:tcPr>
          <w:p>
            <w:pPr>
              <w:spacing w:before="0" w:after="0"/>
            </w:pPr>
            <w:r>
              <w:rPr>
                <w:rFonts w:ascii="Cambria" w:hAnsi="Cambria"/>
                <w:color w:val="000000"/>
                <w:sz w:val="20"/>
              </w:rPr>
              <w:t>: c.1326+2T&gt;A) is classified as  Uncertain significance  variant.</w:t>
            </w:r>
          </w:p>
        </w:tc>
      </w:tr>
    </w:tbl>
    <w:tbl>
      <w:tblPr>
        <w:tblW w:type="auto" w:w="0"/>
        <w:jc w:val="center"/>
        <w:tblLook w:firstColumn="1" w:firstRow="1" w:lastColumn="0" w:lastRow="0" w:noHBand="0" w:noVBand="1" w:val="04A0"/>
      </w:tblPr>
      <w:tblGrid>
        <w:gridCol w:w="10800"/>
      </w:tblGrid>
      <w:tr>
        <w:trPr>
          <w:cantSplit/>
        </w:trPr>
        <w:tc>
          <w:tcPr>
            <w:tcW w:type="dxa" w:w="10800"/>
            <w:tcW w:w="10800" w:type="dxa"/>
            <w:tcBorders>
              <w:top w:val="single" w:sz="4" w:space="0" w:color="1f497d"/>
              <w:left w:val="single" w:sz="4" w:space="0" w:color="1f497d"/>
              <w:bottom w:val="single" w:sz="4" w:space="0" w:color="1f497d"/>
              <w:right w:val="single" w:sz="4" w:space="0" w:color="1f497d"/>
            </w:tcBorders>
            <w:tcMar>
              <w:top w:w="30" w:type="dxa"/>
              <w:left w:w="50" w:type="dxa"/>
              <w:bottom w:w="30" w:type="dxa"/>
              <w:right w:w="50" w:type="dxa"/>
            </w:tcMar>
          </w:tcPr>
          <w:p/>
          <w:p>
            <w:pPr>
              <w:spacing w:before="0" w:after="80" w:line="252" w:lineRule="auto"/>
              <w:jc w:val="left"/>
            </w:pPr>
            <w:r>
              <w:rPr>
                <w:rFonts w:ascii="Cambria" w:hAnsi="Cambria"/>
                <w:color w:val="000000"/>
                <w:sz w:val="20"/>
              </w:rPr>
              <w:t>Based on above evidence, this variant (KIF26A:c.1326+2T&gt;A) is classified as  Uncertain significance  variant.</w:t>
            </w:r>
          </w:p>
          <w:p>
            <w:pPr>
              <w:spacing w:before="0" w:after="80" w:line="252" w:lineRule="auto"/>
              <w:jc w:val="left"/>
            </w:pPr>
            <w:r>
              <w:rPr>
                <w:rFonts w:ascii="Cambria" w:hAnsi="Cambria"/>
                <w:b/>
                <w:color w:val="1F497D"/>
                <w:sz w:val="20"/>
              </w:rPr>
              <w:t xml:space="preserve">KIF26A: </w:t>
            </w:r>
            <w:r>
              <w:rPr>
                <w:rFonts w:ascii="Cambria" w:hAnsi="Cambria"/>
                <w:color w:val="000000"/>
                <w:sz w:val="20"/>
              </w:rPr>
              <w:t>c.371G&gt;A; The submitted sample shows Heterozygous variant in Exon 3 of gene KIF26A (chr14: g.104152097G&gt;A). A missense variant “G” to “A” detected at nucleotide position 371 leading to change in amino acid sequences from Arginine to Histidine at codon 124. In silico predictions: The p.Arg124His missense variant is predicted to be tolerated by both SIFT or PolyPhen2. The nucleotide c.371 in KIF26A is not conserved according to a GERP++ and PhyloP analysis of 100 vertebrates. Population frequency and Internal database :  The p.Arg124His variant is observed in 3/30,692 (0.0098%) alleles from individuals of gnomAD South Asian background in gnomAD All. The p.Arg124His variant is novel (not in any individuals) in 1kG All. This variant is absent in our internal database.</w:t>
            </w:r>
          </w:p>
        </w:tc>
      </w:tr>
    </w:tbl>
    <w:tbl>
      <w:tblPr>
        <w:tblW w:type="auto" w:w="0"/>
        <w:jc w:val="center"/>
        <w:tblLayout w:type="fixed"/>
        <w:tblLook w:firstColumn="1" w:firstRow="1" w:lastColumn="0" w:lastRow="0" w:noHBand="0" w:noVBand="1" w:val="04A0"/>
      </w:tblPr>
      <w:tblGrid>
        <w:gridCol w:w="5400"/>
        <w:gridCol w:w="5400"/>
      </w:tblGrid>
      <w:tr>
        <w:trPr>
          <w:cantSplit/>
        </w:trPr>
        <w:tc>
          <w:tcPr>
            <w:tcW w:type="dxa" w:w="5400"/>
            <w:tcW w:w="3600" w:type="dxa"/>
            <w:tcMar>
              <w:top w:w="15" w:type="dxa"/>
              <w:left w:w="30" w:type="dxa"/>
              <w:bottom w:w="15" w:type="dxa"/>
              <w:right w:w="30" w:type="dxa"/>
            </w:tcMar>
            <w:tcBorders>
              <w:top w:val="single" w:sz="2" w:space="0" w:color="cbd5e1"/>
              <w:left w:val="single" w:sz="2" w:space="0" w:color="cbd5e1"/>
              <w:bottom w:val="single" w:sz="2" w:space="0" w:color="cbd5e1"/>
              <w:right w:val="single" w:sz="2" w:space="0" w:color="cbd5e1"/>
            </w:tcBorders>
          </w:tcPr>
          <w:p>
            <w:pPr>
              <w:spacing w:before="0" w:after="0"/>
            </w:pPr>
            <w:r>
              <w:rPr>
                <w:rFonts w:ascii="Cambria" w:hAnsi="Cambria"/>
                <w:b/>
                <w:color w:val="1F497D"/>
                <w:sz w:val="20"/>
              </w:rPr>
              <w:t>KIF26A</w:t>
            </w:r>
          </w:p>
        </w:tc>
        <w:tc>
          <w:tcPr>
            <w:tcW w:type="dxa" w:w="5400"/>
            <w:tcW w:w="7200" w:type="dxa"/>
            <w:tcMar>
              <w:top w:w="15" w:type="dxa"/>
              <w:left w:w="30" w:type="dxa"/>
              <w:bottom w:w="15" w:type="dxa"/>
              <w:right w:w="30" w:type="dxa"/>
            </w:tcMar>
            <w:tcBorders>
              <w:top w:val="single" w:sz="2" w:space="0" w:color="cbd5e1"/>
              <w:left w:val="single" w:sz="2" w:space="0" w:color="cbd5e1"/>
              <w:bottom w:val="single" w:sz="2" w:space="0" w:color="cbd5e1"/>
              <w:right w:val="single" w:sz="2" w:space="0" w:color="cbd5e1"/>
            </w:tcBorders>
          </w:tcPr>
          <w:p>
            <w:pPr>
              <w:spacing w:before="0" w:after="0"/>
            </w:pPr>
            <w:r>
              <w:rPr>
                <w:rFonts w:ascii="Cambria" w:hAnsi="Cambria"/>
                <w:color w:val="000000"/>
                <w:sz w:val="20"/>
              </w:rPr>
              <w:t>: c.371G&gt;A) is classified as  Uncertain significance  variant.</w:t>
            </w:r>
          </w:p>
        </w:tc>
      </w:tr>
      <w:tr>
        <w:trPr>
          <w:cantSplit/>
        </w:trPr>
        <w:tc>
          <w:tcPr>
            <w:tcW w:type="dxa" w:w="5400"/>
            <w:tcW w:w="3600" w:type="dxa"/>
            <w:tcMar>
              <w:top w:w="15" w:type="dxa"/>
              <w:left w:w="30" w:type="dxa"/>
              <w:bottom w:w="15" w:type="dxa"/>
              <w:right w:w="30" w:type="dxa"/>
            </w:tcMar>
            <w:tcBorders>
              <w:top w:val="single" w:sz="2" w:space="0" w:color="cbd5e1"/>
              <w:left w:val="single" w:sz="2" w:space="0" w:color="cbd5e1"/>
              <w:bottom w:val="single" w:sz="2" w:space="0" w:color="cbd5e1"/>
              <w:right w:val="single" w:sz="2" w:space="0" w:color="cbd5e1"/>
            </w:tcBorders>
          </w:tcPr>
          <w:p>
            <w:pPr>
              <w:spacing w:before="0" w:after="0"/>
            </w:pPr>
            <w:r>
              <w:rPr>
                <w:rFonts w:ascii="Cambria" w:hAnsi="Cambria"/>
                <w:b/>
                <w:color w:val="1F497D"/>
                <w:sz w:val="20"/>
              </w:rPr>
              <w:t>KIF26A Gene Phenotype Description</w:t>
            </w:r>
          </w:p>
        </w:tc>
        <w:tc>
          <w:tcPr>
            <w:tcW w:type="dxa" w:w="5400"/>
            <w:tcW w:w="7200" w:type="dxa"/>
            <w:tcMar>
              <w:top w:w="15" w:type="dxa"/>
              <w:left w:w="30" w:type="dxa"/>
              <w:bottom w:w="15" w:type="dxa"/>
              <w:right w:w="30" w:type="dxa"/>
            </w:tcMar>
            <w:tcBorders>
              <w:top w:val="single" w:sz="2" w:space="0" w:color="cbd5e1"/>
              <w:left w:val="single" w:sz="2" w:space="0" w:color="cbd5e1"/>
              <w:bottom w:val="single" w:sz="2" w:space="0" w:color="cbd5e1"/>
              <w:right w:val="single" w:sz="2" w:space="0" w:color="cbd5e1"/>
            </w:tcBorders>
          </w:tcPr>
          <w:p>
            <w:pPr>
              <w:spacing w:before="0" w:after="0"/>
            </w:pPr>
            <w:r>
              <w:rPr>
                <w:rFonts w:ascii="Cambria" w:hAnsi="Cambria"/>
                <w:color w:val="000000"/>
                <w:sz w:val="20"/>
              </w:rPr>
              <w:t>: An autosomal recessive disorder of aberrant neuronal migration during brain development. CDCBM11 is characterized by dil</w:t>
            </w:r>
          </w:p>
        </w:tc>
      </w:tr>
    </w:tbl>
    <w:tbl>
      <w:tblPr>
        <w:tblW w:type="auto" w:w="0"/>
        <w:jc w:val="center"/>
        <w:tblLook w:firstColumn="1" w:firstRow="1" w:lastColumn="0" w:lastRow="0" w:noHBand="0" w:noVBand="1" w:val="04A0"/>
      </w:tblPr>
      <w:tblGrid>
        <w:gridCol w:w="10800"/>
      </w:tblGrid>
      <w:tr>
        <w:trPr>
          <w:cantSplit/>
        </w:trPr>
        <w:tc>
          <w:tcPr>
            <w:tcW w:type="dxa" w:w="10800"/>
            <w:tcW w:w="10800" w:type="dxa"/>
            <w:tcBorders>
              <w:top w:val="single" w:sz="4" w:space="0" w:color="1f497d"/>
              <w:left w:val="single" w:sz="4" w:space="0" w:color="1f497d"/>
              <w:bottom w:val="single" w:sz="4" w:space="0" w:color="1f497d"/>
              <w:right w:val="single" w:sz="4" w:space="0" w:color="1f497d"/>
            </w:tcBorders>
            <w:tcMar>
              <w:top w:w="30" w:type="dxa"/>
              <w:left w:w="50" w:type="dxa"/>
              <w:bottom w:w="30" w:type="dxa"/>
              <w:right w:w="50" w:type="dxa"/>
            </w:tcMar>
          </w:tcPr>
          <w:p/>
          <w:p>
            <w:pPr>
              <w:spacing w:before="0" w:after="80" w:line="252" w:lineRule="auto"/>
              <w:jc w:val="left"/>
            </w:pPr>
            <w:r>
              <w:rPr>
                <w:rFonts w:ascii="Cambria" w:hAnsi="Cambria"/>
                <w:color w:val="000000"/>
                <w:sz w:val="20"/>
              </w:rPr>
              <w:t>Based on above evidence, this variant (KIF26A:c.371G&gt;A) is classified as  Uncertain significance  variant.</w:t>
            </w:r>
          </w:p>
          <w:p>
            <w:pPr>
              <w:spacing w:before="0" w:after="80" w:line="252" w:lineRule="auto"/>
              <w:jc w:val="left"/>
            </w:pPr>
            <w:r>
              <w:rPr>
                <w:rFonts w:ascii="Cambria" w:hAnsi="Cambria"/>
                <w:b/>
                <w:color w:val="1F497D"/>
                <w:sz w:val="20"/>
              </w:rPr>
              <w:t xml:space="preserve">KIF26A Gene Phenotype Description: </w:t>
            </w:r>
            <w:r>
              <w:rPr>
                <w:rFonts w:ascii="Cambria" w:hAnsi="Cambria"/>
                <w:color w:val="000000"/>
                <w:sz w:val="20"/>
              </w:rPr>
              <w:t>An autosomal recessive disorder of aberrant neuronal migration during brain development. CDCBM11 is characterized by dilated ventricles and reduced white matter, and is associated with axonal developmental defects.</w:t>
            </w:r>
          </w:p>
        </w:tc>
      </w:tr>
    </w:tbl>
    <w:tbl>
      <w:tblPr>
        <w:tblW w:type="auto" w:w="0"/>
        <w:jc w:val="center"/>
        <w:tblLook w:firstColumn="1" w:firstRow="1" w:lastColumn="0" w:lastRow="0" w:noHBand="0" w:noVBand="1" w:val="04A0"/>
      </w:tblPr>
      <w:tblGrid>
        <w:gridCol w:w="10800"/>
      </w:tblGrid>
      <w:tr>
        <w:trPr>
          <w:cantSplit/>
        </w:trPr>
        <w:tc>
          <w:tcPr>
            <w:tcW w:type="dxa" w:w="10800"/>
            <w:tcW w:w="10800" w:type="dxa"/>
            <w:tcBorders>
              <w:top w:val="single" w:sz="4" w:space="0" w:color="1f497d"/>
              <w:left w:val="single" w:sz="4" w:space="0" w:color="1f497d"/>
              <w:bottom w:val="single" w:sz="4" w:space="0" w:color="1f497d"/>
              <w:right w:val="single" w:sz="4" w:space="0" w:color="1f497d"/>
            </w:tcBorders>
            <w:tcMar>
              <w:top w:w="30" w:type="dxa"/>
              <w:left w:w="50" w:type="dxa"/>
              <w:bottom w:w="30" w:type="dxa"/>
              <w:right w:w="50" w:type="dxa"/>
            </w:tcMar>
          </w:tcPr>
          <w:p>
            <w:pPr>
              <w:spacing w:before="0" w:after="40"/>
            </w:pPr>
            <w:r>
              <w:rPr>
                <w:rFonts w:ascii="Cambria" w:hAnsi="Cambria"/>
                <w:b/>
                <w:color w:val="1F497D"/>
                <w:sz w:val="20"/>
              </w:rPr>
              <w:t>Additional Findings :</w:t>
            </w:r>
          </w:p>
          <w:p>
            <w:pPr>
              <w:spacing w:before="0" w:after="80" w:line="252" w:lineRule="auto"/>
              <w:ind w:left="360"/>
              <w:jc w:val="left"/>
            </w:pPr>
            <w:r>
              <w:rPr>
                <w:rFonts w:ascii="Cambria" w:hAnsi="Cambria"/>
                <w:color w:val="000000"/>
                <w:sz w:val="20"/>
              </w:rPr>
              <w:t>*Genetic test results are reported based on the recommendations of American College of Medical Genetics</w:t>
            </w:r>
          </w:p>
          <w:p>
            <w:pPr>
              <w:spacing w:before="0" w:after="80" w:line="252" w:lineRule="auto"/>
              <w:jc w:val="left"/>
            </w:pPr>
            <w:r>
              <w:rPr>
                <w:rFonts w:ascii="Cambria" w:hAnsi="Cambria"/>
                <w:b/>
                <w:color w:val="1F497D"/>
                <w:sz w:val="20"/>
              </w:rPr>
              <w:t xml:space="preserve">DMD Gene Phenotype Description: </w:t>
            </w:r>
            <w:r>
              <w:rPr>
                <w:rFonts w:ascii="Cambria" w:hAnsi="Cambria"/>
                <w:color w:val="000000"/>
                <w:sz w:val="20"/>
              </w:rPr>
              <w:t>Most common form of muscular dystrophy; a sex-linked recessive disorder. It typically presents in boys aged 3 to 7 year as proximal muscle weakness causing waddling gait, toe-walking, lordosis, frequent falls, and difficulty in standing up and climbing up stairs. The pelvic girdle is affected first, then the shoulder girdle. Progression is steady and most patients are confined to a wheelchair by age of 10 or 12. Flexion contractures and scoliosis ultimately occur. About 50% of patients have a lower IQ than their genetic expectations would suggest. There is no treatment.</w:t>
            </w:r>
          </w:p>
        </w:tc>
      </w:tr>
    </w:tbl>
    <w:tbl>
      <w:tblPr>
        <w:tblW w:type="auto" w:w="0"/>
        <w:jc w:val="center"/>
        <w:tblLayout w:type="autofit"/>
        <w:tblLook w:firstColumn="1" w:firstRow="1" w:lastColumn="0" w:lastRow="0" w:noHBand="0" w:noVBand="1" w:val="04A0"/>
      </w:tblPr>
      <w:tblGrid>
        <w:gridCol w:w="1800"/>
        <w:gridCol w:w="1800"/>
        <w:gridCol w:w="1800"/>
        <w:gridCol w:w="1800"/>
        <w:gridCol w:w="1800"/>
        <w:gridCol w:w="1800"/>
      </w:tblGrid>
      <w:tr>
        <w:trPr>
          <w:tblHeader/>
          <w:cantSplit/>
        </w:trPr>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Gene &amp; Transcript</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Location</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Variant &amp; Depth/VAF</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Zygosity/ Inheritance</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Phenotype</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Clinical Significance</w:t>
            </w:r>
          </w:p>
        </w:tc>
      </w:tr>
      <w:tr>
        <w:trPr>
          <w:cantSplit/>
        </w:trPr>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DMD (-) NM 004006.3</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Xp21.1 (? 31,773,949- _ 31,875,375 ?) _ Exon 48-51</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Deletion c.6913-? c.7542+? _ 101.4kb</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Hemizygous /X-linked Recessive</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Duchenne muscular dystrophy</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Pathogenic</w:t>
            </w:r>
          </w:p>
        </w:tc>
      </w:tr>
    </w:tbl>
    <w:tbl>
      <w:tblPr>
        <w:tblW w:type="auto" w:w="0"/>
        <w:jc w:val="center"/>
        <w:tblLook w:firstColumn="1" w:firstRow="1" w:lastColumn="0" w:lastRow="0" w:noHBand="0" w:noVBand="1" w:val="04A0"/>
      </w:tblPr>
      <w:tblGrid>
        <w:gridCol w:w="10800"/>
      </w:tblGrid>
      <w:tr>
        <w:trPr>
          <w:cantSplit/>
        </w:trPr>
        <w:tc>
          <w:tcPr>
            <w:tcW w:type="dxa" w:w="10800"/>
            <w:tcW w:w="10800" w:type="dxa"/>
            <w:tcBorders>
              <w:top w:val="single" w:sz="4" w:space="0" w:color="1f497d"/>
              <w:left w:val="single" w:sz="4" w:space="0" w:color="1f497d"/>
              <w:bottom w:val="single" w:sz="4" w:space="0" w:color="1f497d"/>
              <w:right w:val="single" w:sz="4" w:space="0" w:color="1f497d"/>
            </w:tcBorders>
            <w:tcMar>
              <w:top w:w="30" w:type="dxa"/>
              <w:left w:w="50" w:type="dxa"/>
              <w:bottom w:w="30" w:type="dxa"/>
              <w:right w:w="50" w:type="dxa"/>
            </w:tcMar>
          </w:tcPr>
          <w:p/>
          <w:p>
            <w:pPr>
              <w:spacing w:before="0" w:after="80" w:line="252" w:lineRule="auto"/>
              <w:jc w:val="left"/>
            </w:pPr>
            <w:r>
              <w:rPr>
                <w:rFonts w:ascii="Cambria" w:hAnsi="Cambria"/>
                <w:color w:val="000000"/>
                <w:sz w:val="20"/>
              </w:rPr>
              <w:t>Recommendations  Genetic counseling is advised for interpretation on the consequences of the variant(s).  We recommend confirming the presence of these variants by Sanger Sequencing/ MLPA.  Segregation analysis of the variant by Sanger /Exome sequencing/ MLPA is recommended.  The significance/classification of the variants might change based on parental and family members genetic testing.  For questions about this report, or for assistance in locating nearby genetic counseling services, please contact the Laboratory: contact@sngenelab.com.  If results obtained do not match the clinical findings, additional testing should be considered as per referring clinician's recommendation.</w:t>
            </w:r>
          </w:p>
          <w:p>
            <w:pPr>
              <w:spacing w:before="0" w:after="80" w:line="252" w:lineRule="auto"/>
              <w:jc w:val="left"/>
            </w:pPr>
            <w:r>
              <w:rPr>
                <w:rFonts w:ascii="Cambria" w:hAnsi="Cambria"/>
                <w:b/>
                <w:color w:val="1F497D"/>
                <w:sz w:val="20"/>
              </w:rPr>
              <w:t xml:space="preserve">Methodology: </w:t>
            </w:r>
            <w:r>
              <w:rPr>
                <w:rFonts w:ascii="Cambria" w:hAnsi="Cambria"/>
                <w:color w:val="000000"/>
                <w:sz w:val="20"/>
              </w:rPr>
              <w:t> 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 This assay (Whole exome sequencing)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SN Genelab's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tc>
      </w:tr>
    </w:tbl>
    <w:tbl>
      <w:tblPr>
        <w:tblW w:type="auto" w:w="0"/>
        <w:jc w:val="center"/>
        <w:tblLook w:firstColumn="1" w:firstRow="1" w:lastColumn="0" w:lastRow="0" w:noHBand="0" w:noVBand="1" w:val="04A0"/>
      </w:tblPr>
      <w:tblGrid>
        <w:gridCol w:w="10800"/>
      </w:tblGrid>
      <w:tr>
        <w:trPr>
          <w:cantSplit/>
        </w:trPr>
        <w:tc>
          <w:tcPr>
            <w:tcW w:type="dxa" w:w="10800"/>
            <w:tcW w:w="10800" w:type="dxa"/>
            <w:tcBorders>
              <w:top w:val="single" w:sz="4" w:space="0" w:color="1f497d"/>
              <w:left w:val="single" w:sz="4" w:space="0" w:color="1f497d"/>
              <w:bottom w:val="single" w:sz="4" w:space="0" w:color="1f497d"/>
              <w:right w:val="single" w:sz="4" w:space="0" w:color="1f497d"/>
            </w:tcBorders>
            <w:tcMar>
              <w:top w:w="30" w:type="dxa"/>
              <w:left w:w="50" w:type="dxa"/>
              <w:bottom w:w="30" w:type="dxa"/>
              <w:right w:w="50" w:type="dxa"/>
            </w:tcMar>
          </w:tcPr>
          <w:p/>
          <w:p>
            <w:pPr>
              <w:spacing w:before="0" w:after="80" w:line="252" w:lineRule="auto"/>
              <w:jc w:val="left"/>
            </w:pPr>
            <w:r>
              <w:rPr>
                <w:rFonts w:ascii="Cambria" w:hAnsi="Cambria"/>
                <w:color w:val="000000"/>
                <w:sz w:val="20"/>
              </w:rPr>
              <w:t>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 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 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before="0" w:after="80" w:line="252" w:lineRule="auto"/>
              <w:ind w:left="360"/>
              <w:jc w:val="left"/>
            </w:pPr>
            <w:r>
              <w:rPr>
                <w:rFonts w:ascii="Cambria" w:hAnsi="Cambria"/>
                <w:color w:val="000000"/>
                <w:sz w:val="20"/>
              </w:rPr>
              <w:t>*Variant classification as per ACMG guidelines: Variant A change in a gene. This could be disease causing (pathogenic) or not disease causing (benign).</w:t>
            </w:r>
          </w:p>
          <w:p>
            <w:pPr>
              <w:spacing w:before="0" w:after="80" w:line="252" w:lineRule="auto"/>
              <w:jc w:val="left"/>
            </w:pPr>
            <w:r>
              <w:rPr>
                <w:rFonts w:ascii="Cambria" w:hAnsi="Cambria"/>
                <w:color w:val="000000"/>
                <w:sz w:val="20"/>
              </w:rPr>
              <w:t>Benign A variant which is known not to be responsible for disease has been detected. Generally, no further action is warranted on such variants when detected.</w:t>
            </w:r>
          </w:p>
          <w:p>
            <w:pPr>
              <w:spacing w:before="0" w:after="80" w:line="252" w:lineRule="auto"/>
              <w:jc w:val="left"/>
            </w:pPr>
            <w:r>
              <w:rPr>
                <w:rFonts w:ascii="Cambria" w:hAnsi="Cambria"/>
                <w:color w:val="000000"/>
                <w:sz w:val="20"/>
              </w:rPr>
              <w:t>Likely Benign A variant which is very unlikely to contribute to the development of disease however, the scientific evidence is currently insufficient to prove this conclusively. Additional evidence is expected to confirm this assertion of Pathogenicity.</w:t>
            </w:r>
          </w:p>
        </w:tc>
      </w:tr>
    </w:tbl>
    <w:tbl>
      <w:tblPr>
        <w:tblW w:type="auto" w:w="0"/>
        <w:jc w:val="center"/>
        <w:tblLayout w:type="fixed"/>
        <w:tblLook w:firstColumn="1" w:firstRow="1" w:lastColumn="0" w:lastRow="0" w:noHBand="0" w:noVBand="1" w:val="04A0"/>
      </w:tblPr>
      <w:tblGrid>
        <w:gridCol w:w="5400"/>
        <w:gridCol w:w="5400"/>
      </w:tblGrid>
      <w:tr>
        <w:trPr>
          <w:cantSplit/>
        </w:trPr>
        <w:tc>
          <w:tcPr>
            <w:tcW w:type="dxa" w:w="5400"/>
            <w:tcW w:w="3600" w:type="dxa"/>
            <w:tcMar>
              <w:top w:w="15" w:type="dxa"/>
              <w:left w:w="30" w:type="dxa"/>
              <w:bottom w:w="15" w:type="dxa"/>
              <w:right w:w="30" w:type="dxa"/>
            </w:tcMar>
            <w:tcBorders>
              <w:top w:val="single" w:sz="2" w:space="0" w:color="cbd5e1"/>
              <w:left w:val="single" w:sz="2" w:space="0" w:color="cbd5e1"/>
              <w:bottom w:val="single" w:sz="2" w:space="0" w:color="cbd5e1"/>
              <w:right w:val="single" w:sz="2" w:space="0" w:color="cbd5e1"/>
            </w:tcBorders>
          </w:tcPr>
          <w:p>
            <w:pPr>
              <w:spacing w:before="0" w:after="0"/>
            </w:pPr>
            <w:r>
              <w:rPr>
                <w:rFonts w:ascii="Cambria" w:hAnsi="Cambria"/>
                <w:b/>
                <w:color w:val="1F497D"/>
                <w:sz w:val="20"/>
              </w:rPr>
              <w:t>The Genome Analysis Toolkit</w:t>
            </w:r>
          </w:p>
        </w:tc>
        <w:tc>
          <w:tcPr>
            <w:tcW w:type="dxa" w:w="5400"/>
            <w:tcW w:w="7200" w:type="dxa"/>
            <w:tcMar>
              <w:top w:w="15" w:type="dxa"/>
              <w:left w:w="30" w:type="dxa"/>
              <w:bottom w:w="15" w:type="dxa"/>
              <w:right w:w="30" w:type="dxa"/>
            </w:tcMar>
            <w:tcBorders>
              <w:top w:val="single" w:sz="2" w:space="0" w:color="cbd5e1"/>
              <w:left w:val="single" w:sz="2" w:space="0" w:color="cbd5e1"/>
              <w:bottom w:val="single" w:sz="2" w:space="0" w:color="cbd5e1"/>
              <w:right w:val="single" w:sz="2" w:space="0" w:color="cbd5e1"/>
            </w:tcBorders>
          </w:tcPr>
          <w:p>
            <w:pPr>
              <w:spacing w:before="0" w:after="0"/>
            </w:pPr>
            <w:r>
              <w:rPr>
                <w:rFonts w:ascii="Cambria" w:hAnsi="Cambria"/>
                <w:color w:val="000000"/>
                <w:sz w:val="20"/>
              </w:rPr>
              <w:t>: a MapReduce framework for analyzing next-generation DNA sequencing data. Genome Res, 2010. 20(9)</w:t>
            </w:r>
          </w:p>
        </w:tc>
      </w:tr>
    </w:tbl>
    <w:tbl>
      <w:tblPr>
        <w:tblW w:type="auto" w:w="0"/>
        <w:jc w:val="center"/>
        <w:tblLook w:firstColumn="1" w:firstRow="1" w:lastColumn="0" w:lastRow="0" w:noHBand="0" w:noVBand="1" w:val="04A0"/>
      </w:tblPr>
      <w:tblGrid>
        <w:gridCol w:w="10800"/>
      </w:tblGrid>
      <w:tr>
        <w:trPr>
          <w:cantSplit/>
        </w:trPr>
        <w:tc>
          <w:tcPr>
            <w:tcW w:type="dxa" w:w="10800"/>
            <w:tcW w:w="10800" w:type="dxa"/>
            <w:tcBorders>
              <w:top w:val="single" w:sz="4" w:space="0" w:color="1f497d"/>
              <w:left w:val="single" w:sz="4" w:space="0" w:color="1f497d"/>
              <w:bottom w:val="single" w:sz="4" w:space="0" w:color="1f497d"/>
              <w:right w:val="single" w:sz="4" w:space="0" w:color="1f497d"/>
            </w:tcBorders>
            <w:tcMar>
              <w:top w:w="30" w:type="dxa"/>
              <w:left w:w="50" w:type="dxa"/>
              <w:bottom w:w="30" w:type="dxa"/>
              <w:right w:w="50" w:type="dxa"/>
            </w:tcMar>
          </w:tcPr>
          <w:p/>
          <w:p>
            <w:pPr>
              <w:spacing w:before="0" w:after="80" w:line="252" w:lineRule="auto"/>
              <w:jc w:val="left"/>
            </w:pPr>
            <w:r>
              <w:rPr>
                <w:rFonts w:ascii="Cambria" w:hAnsi="Cambria"/>
                <w:color w:val="000000"/>
                <w:sz w:val="20"/>
              </w:rPr>
              <w:t>Likely Pathogenic A variant which is very likely to contribute to the development of disease however, the scientific evidence is currently insufficient to prove this conclusively. Additional evidence is expected to confirm this assertion of pathogenicity.</w:t>
            </w:r>
          </w:p>
          <w:p>
            <w:pPr>
              <w:spacing w:before="0" w:after="80" w:line="252" w:lineRule="auto"/>
              <w:jc w:val="left"/>
            </w:pPr>
            <w:r>
              <w:rPr>
                <w:rFonts w:ascii="Cambria" w:hAnsi="Cambria"/>
                <w:color w:val="000000"/>
                <w:sz w:val="20"/>
              </w:rPr>
              <w:t>Variant of Uncertain Significance</w:t>
            </w:r>
          </w:p>
          <w:p>
            <w:pPr>
              <w:spacing w:before="0" w:after="80" w:line="252" w:lineRule="auto"/>
              <w:jc w:val="left"/>
            </w:pPr>
            <w:r>
              <w:rPr>
                <w:rFonts w:ascii="Cambria" w:hAnsi="Cambria"/>
                <w:color w:val="000000"/>
                <w:sz w:val="20"/>
              </w:rPr>
              <w:t>A variant has been detected, but it is difficult to classify it as either pathogenic (disease causing) or benign (non-disease causing) based on current available scientific evidence. Further testing of the patient or family members as recommended by your clinician may be needed. It is probable that their significance can be assessed only with time, subject to availability of scientific evidence.</w:t>
            </w:r>
          </w:p>
          <w:p>
            <w:pPr>
              <w:spacing w:before="0" w:after="80" w:line="252" w:lineRule="auto"/>
              <w:jc w:val="left"/>
            </w:pPr>
            <w:r>
              <w:rPr>
                <w:rFonts w:ascii="Cambria" w:hAnsi="Cambria"/>
                <w:b/>
                <w:color w:val="1F497D"/>
                <w:sz w:val="20"/>
              </w:rPr>
              <w:t xml:space="preserve">References: </w:t>
            </w:r>
            <w:r>
              <w:rPr>
                <w:rFonts w:ascii="Cambria" w:hAnsi="Cambria"/>
                <w:color w:val="000000"/>
                <w:sz w:val="20"/>
              </w:rPr>
              <w:t>1. Richards S, Aziz N, Bale S, et al. Standards and guidelines for the interpretation of sequence variants: a joint consensus recommendation of the American College of Medical Genetics and Genomics and the Association for Molecular Pathology, Genetics in Medicine, 2015 May;17(5):405-24</w:t>
            </w:r>
          </w:p>
          <w:p>
            <w:pPr>
              <w:spacing w:before="0" w:after="80" w:line="252" w:lineRule="auto"/>
              <w:jc w:val="left"/>
            </w:pPr>
            <w:r>
              <w:rPr>
                <w:rFonts w:ascii="Cambria" w:hAnsi="Cambria"/>
                <w:color w:val="000000"/>
                <w:sz w:val="20"/>
              </w:rPr>
              <w:t>2. Kalia S.S. et al., Recommendations for reporting of secondary findings in clinical exome and genome sequencing, 2016 update(ACMG SF v2.0): a policy statement of the American College of Medical Genetics and Genomics. Genet Med., 19(2):249-255, 2017.</w:t>
            </w:r>
          </w:p>
          <w:p>
            <w:pPr>
              <w:spacing w:before="0" w:after="80" w:line="252" w:lineRule="auto"/>
              <w:jc w:val="left"/>
            </w:pPr>
            <w:r>
              <w:rPr>
                <w:rFonts w:ascii="Cambria" w:hAnsi="Cambria"/>
                <w:color w:val="000000"/>
                <w:sz w:val="20"/>
              </w:rPr>
              <w:t>3. Meyer, L.R., et al., The UCSC Genome Browser database: extensions and updates 2013. Nucleic Acids Res, 2013. 41(D1): p.D64-9.</w:t>
            </w:r>
          </w:p>
          <w:p>
            <w:pPr>
              <w:spacing w:before="0" w:after="80" w:line="252" w:lineRule="auto"/>
              <w:jc w:val="left"/>
            </w:pPr>
            <w:r>
              <w:rPr>
                <w:rFonts w:ascii="Cambria" w:hAnsi="Cambria"/>
                <w:color w:val="000000"/>
                <w:sz w:val="20"/>
              </w:rPr>
              <w:t>4. McKenna, A., et al., The Genome Analysis Toolkit: a MapReduce framework for analyzing next-generation DNA sequencing data. Genome Res, 2010. 20(9): p. 1297-303</w:t>
            </w:r>
          </w:p>
          <w:p>
            <w:pPr>
              <w:spacing w:before="0" w:after="80" w:line="252" w:lineRule="auto"/>
              <w:jc w:val="left"/>
            </w:pPr>
            <w:r>
              <w:rPr>
                <w:rFonts w:ascii="Cambria" w:hAnsi="Cambria"/>
                <w:color w:val="000000"/>
                <w:sz w:val="20"/>
              </w:rPr>
              <w:t>5. 1000 Genomes Project Consortium et al., A global reference for human genetic variation. Nature, 526(7571): 68-74, 2015.</w:t>
            </w:r>
          </w:p>
          <w:p>
            <w:pPr>
              <w:spacing w:before="0" w:after="80" w:line="252" w:lineRule="auto"/>
              <w:jc w:val="left"/>
            </w:pPr>
            <w:r>
              <w:rPr>
                <w:rFonts w:ascii="Cambria" w:hAnsi="Cambria"/>
                <w:color w:val="000000"/>
                <w:sz w:val="20"/>
              </w:rPr>
              <w:t>6. Lek M. et al., Analysis of protein-coding genetic variation in 60,706 humans. Nature, 536(7616):285-91, 2016.</w:t>
            </w:r>
          </w:p>
          <w:p>
            <w:pPr>
              <w:spacing w:before="0" w:after="80" w:line="252" w:lineRule="auto"/>
              <w:jc w:val="left"/>
            </w:pPr>
            <w:r>
              <w:rPr>
                <w:rFonts w:ascii="Cambria" w:hAnsi="Cambria"/>
                <w:color w:val="000000"/>
                <w:sz w:val="20"/>
              </w:rPr>
              <w:t>7. McLaren, W., et al., Deriving the consequences of genomic variants with the Ensembl API and SNP Effect Predictor. Bioinformatics, 2010. 26(16): p. 2069-70.</w:t>
            </w:r>
          </w:p>
        </w:tc>
      </w:tr>
    </w:tbl>
    <w:tbl>
      <w:tblPr>
        <w:tblW w:type="auto" w:w="0"/>
        <w:jc w:val="center"/>
        <w:tblLayout w:type="autofit"/>
        <w:tblLook w:firstColumn="1" w:firstRow="1" w:lastColumn="0" w:lastRow="0" w:noHBand="0" w:noVBand="1" w:val="04A0"/>
      </w:tblPr>
      <w:tblGrid>
        <w:gridCol w:w="5400"/>
        <w:gridCol w:w="5400"/>
      </w:tblGrid>
      <w:tr>
        <w:trPr>
          <w:tblHeader/>
          <w:cantSplit/>
        </w:trPr>
        <w:tc>
          <w:tcPr>
            <w:tcW w:type="dxa" w:w="54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Title</w:t>
            </w:r>
          </w:p>
        </w:tc>
        <w:tc>
          <w:tcPr>
            <w:tcW w:type="dxa" w:w="54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Data</w:t>
            </w:r>
          </w:p>
        </w:tc>
      </w:tr>
      <w:tr>
        <w:trPr>
          <w:cantSplit/>
        </w:trPr>
        <w:tc>
          <w:tcPr>
            <w:tcW w:type="dxa" w:w="54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Total data generated (Gb)</w:t>
            </w:r>
          </w:p>
        </w:tc>
        <w:tc>
          <w:tcPr>
            <w:tcW w:type="dxa" w:w="54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7.54</w:t>
            </w:r>
          </w:p>
        </w:tc>
      </w:tr>
      <w:tr>
        <w:trPr>
          <w:cantSplit/>
        </w:trPr>
        <w:tc>
          <w:tcPr>
            <w:tcW w:type="dxa" w:w="54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Total Reads (%)</w:t>
            </w:r>
          </w:p>
        </w:tc>
        <w:tc>
          <w:tcPr>
            <w:tcW w:type="dxa" w:w="54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54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Total reads aligned (%)</w:t>
            </w:r>
          </w:p>
        </w:tc>
        <w:tc>
          <w:tcPr>
            <w:tcW w:type="dxa" w:w="54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98.83</w:t>
            </w:r>
          </w:p>
        </w:tc>
      </w:tr>
      <w:tr>
        <w:trPr>
          <w:cantSplit/>
        </w:trPr>
        <w:tc>
          <w:tcPr>
            <w:tcW w:type="dxa" w:w="54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Data &gt;Q30 (%)</w:t>
            </w:r>
          </w:p>
        </w:tc>
        <w:tc>
          <w:tcPr>
            <w:tcW w:type="dxa" w:w="54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97.48</w:t>
            </w:r>
          </w:p>
        </w:tc>
      </w:tr>
    </w:tbl>
    <w:tbl>
      <w:tblPr>
        <w:tblW w:type="auto" w:w="0"/>
        <w:jc w:val="center"/>
        <w:tblLayout w:type="autofit"/>
        <w:tblLook w:firstColumn="1" w:firstRow="1" w:lastColumn="0" w:lastRow="0" w:noHBand="0" w:noVBand="1" w:val="04A0"/>
      </w:tblPr>
      <w:tblGrid>
        <w:gridCol w:w="2700"/>
        <w:gridCol w:w="2700"/>
        <w:gridCol w:w="2700"/>
        <w:gridCol w:w="2700"/>
      </w:tblGrid>
      <w:tr>
        <w:trPr>
          <w:tblHeader/>
          <w:cantSplit/>
        </w:trPr>
        <w:tc>
          <w:tcPr>
            <w:tcW w:type="dxa" w:w="27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Mean Depth</w:t>
            </w:r>
          </w:p>
        </w:tc>
        <w:tc>
          <w:tcPr>
            <w:tcW w:type="dxa" w:w="27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Percentage target base pairs covered</w:t>
            </w:r>
          </w:p>
        </w:tc>
        <w:tc>
          <w:tcPr>
            <w:tcW w:type="dxa" w:w="27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r>
          </w:p>
        </w:tc>
        <w:tc>
          <w:tcPr>
            <w:tcW w:type="dxa" w:w="27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r>
          </w:p>
        </w:tc>
      </w:tr>
      <w:tr>
        <w:trPr>
          <w:cantSplit/>
        </w:trPr>
        <w:tc>
          <w:tcPr>
            <w:tcW w:type="dxa" w:w="27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64.32x</w:t>
            </w:r>
          </w:p>
        </w:tc>
        <w:tc>
          <w:tcPr>
            <w:tcW w:type="dxa" w:w="27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1x</w:t>
            </w:r>
          </w:p>
        </w:tc>
        <w:tc>
          <w:tcPr>
            <w:tcW w:type="dxa" w:w="27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5x</w:t>
            </w:r>
          </w:p>
        </w:tc>
        <w:tc>
          <w:tcPr>
            <w:tcW w:type="dxa" w:w="27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20x</w:t>
            </w:r>
          </w:p>
        </w:tc>
      </w:tr>
      <w:tr>
        <w:trPr>
          <w:cantSplit/>
        </w:trPr>
        <w:tc>
          <w:tcPr>
            <w:tcW w:type="dxa" w:w="27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r>
          </w:p>
        </w:tc>
        <w:tc>
          <w:tcPr>
            <w:tcW w:type="dxa" w:w="27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98.79%</w:t>
            </w:r>
          </w:p>
        </w:tc>
        <w:tc>
          <w:tcPr>
            <w:tcW w:type="dxa" w:w="27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98.10%</w:t>
            </w:r>
          </w:p>
        </w:tc>
        <w:tc>
          <w:tcPr>
            <w:tcW w:type="dxa" w:w="27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96.30%</w:t>
            </w:r>
          </w:p>
        </w:tc>
      </w:tr>
    </w:tbl>
    <w:tbl>
      <w:tblPr>
        <w:tblW w:type="auto" w:w="0"/>
        <w:jc w:val="center"/>
        <w:tblLayout w:type="autofit"/>
        <w:tblLook w:firstColumn="1" w:firstRow="1" w:lastColumn="0" w:lastRow="0" w:noHBand="0" w:noVBand="1" w:val="04A0"/>
      </w:tblPr>
      <w:tblGrid>
        <w:gridCol w:w="1800"/>
        <w:gridCol w:w="1800"/>
        <w:gridCol w:w="1800"/>
        <w:gridCol w:w="1800"/>
        <w:gridCol w:w="1800"/>
        <w:gridCol w:w="1800"/>
      </w:tblGrid>
      <w:tr>
        <w:trPr>
          <w:tblHeader/>
          <w:cantSplit/>
        </w:trPr>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Gene</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Region covered</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Gene</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Region covered</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Gene</w:t>
            </w:r>
          </w:p>
        </w:tc>
        <w:tc>
          <w:tcPr>
            <w:tcW w:type="dxa" w:w="1800"/>
            <w:shd w:fill="1f497d"/>
            <w:tcBorders>
              <w:top w:val="single" w:sz="4" w:space="0" w:color="1f497d"/>
              <w:left w:val="single" w:sz="4" w:space="0" w:color="1f497d"/>
              <w:bottom w:val="single" w:sz="4" w:space="0" w:color="1f497d"/>
              <w:right w:val="single" w:sz="4" w:space="0" w:color="1f497d"/>
            </w:tcBorders>
            <w:tcMar>
              <w:top w:w="20" w:type="dxa"/>
              <w:left w:w="40" w:type="dxa"/>
              <w:bottom w:w="20" w:type="dxa"/>
              <w:right w:w="40" w:type="dxa"/>
            </w:tcMar>
          </w:tcPr>
          <w:p>
            <w:pPr>
              <w:keepNext/>
              <w:spacing w:before="0" w:after="0" w:line="240" w:lineRule="auto"/>
              <w:jc w:val="center"/>
            </w:pPr>
            <w:r>
              <w:rPr>
                <w:rFonts w:ascii="Cambria" w:hAnsi="Cambria"/>
                <w:b/>
                <w:color w:val="FFFFFF"/>
                <w:sz w:val="19"/>
              </w:rPr>
              <w:t>Region covered</w:t>
            </w:r>
          </w:p>
        </w:tc>
      </w:tr>
      <w:tr>
        <w:trPr>
          <w:cantSplit/>
        </w:trPr>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MT-ATP6</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MT-ND6</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MT-TL1</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MT-ATP8</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MT-RNR1</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MT-TL2</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MT-CO1</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MT-RNR2</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MT-TM</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MT-CO2</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MT-TA</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MT-TN</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MT-CO3</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MT-TC</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MT-TP</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MT-CYB</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MT-TD</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MT-TQ</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MT-ND1</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MT-TE</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MT-TR</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MT-ND2</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MT-TF</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MT-TS1</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MT-ND3</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MT-TG</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MT-TS2</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MT-ND4</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MT-TH</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MT-TT</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MT-ND4L</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MT-TI</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MT-TV</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MT-ND5</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MT-TK</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MT-TW</w:t>
            </w:r>
          </w:p>
        </w:tc>
        <w:tc>
          <w:tcPr>
            <w:tcW w:type="dxa" w:w="1800"/>
            <w:shd w:fill="FFFFFF"/>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r>
      <w:tr>
        <w:trPr>
          <w:cantSplit/>
        </w:trPr>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MT-TY</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t>100.00%</w:t>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r>
          </w:p>
        </w:tc>
        <w:tc>
          <w:tcPr>
            <w:tcW w:type="dxa" w:w="1800"/>
            <w:shd w:fill="f8fafc"/>
            <w:tcBorders>
              <w:top w:val="single" w:sz="2" w:space="0" w:color="1f497d"/>
              <w:left w:val="single" w:sz="2" w:space="0" w:color="1f497d"/>
              <w:bottom w:val="single" w:sz="2" w:space="0" w:color="1f497d"/>
              <w:right w:val="single" w:sz="2" w:space="0" w:color="1f497d"/>
            </w:tcBorders>
            <w:tcMar>
              <w:top w:w="15" w:type="dxa"/>
              <w:left w:w="30" w:type="dxa"/>
              <w:bottom w:w="15" w:type="dxa"/>
              <w:right w:w="30" w:type="dxa"/>
            </w:tcMar>
          </w:tcPr>
          <w:p>
            <w:pPr>
              <w:spacing w:before="0" w:after="0" w:line="240" w:lineRule="auto"/>
            </w:pPr>
            <w:r>
              <w:rPr>
                <w:rFonts w:ascii="Cambria" w:hAnsi="Cambria"/>
                <w:color w:val="000000"/>
                <w:sz w:val="18"/>
              </w:rPr>
            </w:r>
          </w:p>
        </w:tc>
      </w:tr>
    </w:tbl>
    <w:tbl>
      <w:tblPr>
        <w:tblW w:type="auto" w:w="0"/>
        <w:jc w:val="center"/>
        <w:tblLook w:firstColumn="1" w:firstRow="1" w:lastColumn="0" w:lastRow="0" w:noHBand="0" w:noVBand="1" w:val="04A0"/>
      </w:tblPr>
      <w:tblGrid>
        <w:gridCol w:w="10800"/>
      </w:tblGrid>
      <w:tr>
        <w:trPr>
          <w:cantSplit/>
        </w:trPr>
        <w:tc>
          <w:tcPr>
            <w:tcW w:type="dxa" w:w="10800"/>
            <w:tcW w:w="10800" w:type="dxa"/>
            <w:tcBorders>
              <w:top w:val="single" w:sz="4" w:space="0" w:color="1f497d"/>
              <w:left w:val="single" w:sz="4" w:space="0" w:color="1f497d"/>
              <w:bottom w:val="single" w:sz="4" w:space="0" w:color="1f497d"/>
              <w:right w:val="single" w:sz="4" w:space="0" w:color="1f497d"/>
            </w:tcBorders>
            <w:tcMar>
              <w:top w:w="30" w:type="dxa"/>
              <w:left w:w="50" w:type="dxa"/>
              <w:bottom w:w="30" w:type="dxa"/>
              <w:right w:w="50" w:type="dxa"/>
            </w:tcMar>
          </w:tcPr>
          <w:p/>
          <w:p>
            <w:pPr>
              <w:spacing w:before="0" w:after="80" w:line="252" w:lineRule="auto"/>
              <w:ind w:left="360"/>
              <w:jc w:val="left"/>
            </w:pPr>
            <w:r>
              <w:rPr>
                <w:rFonts w:ascii="Cambria" w:hAnsi="Cambria"/>
                <w:color w:val="000000"/>
                <w:sz w:val="20"/>
              </w:rPr>
              <w:t>------------------ End Of Report ------------------</w:t>
            </w:r>
          </w:p>
        </w:tc>
      </w:tr>
    </w:tbl>
    <w:tbl>
      <w:tblPr>
        <w:tblW w:type="auto" w:w="0"/>
        <w:jc w:val="center"/>
        <w:tblLayout w:type="fixed"/>
        <w:tblLook w:firstColumn="1" w:firstRow="1" w:lastColumn="0" w:lastRow="0" w:noHBand="0" w:noVBand="1" w:val="04A0"/>
      </w:tblPr>
      <w:tblGrid>
        <w:gridCol w:w="3600"/>
        <w:gridCol w:w="3600"/>
        <w:gridCol w:w="3600"/>
      </w:tblGrid>
      <w:tr>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color w:val="94A3B8"/>
                <w:sz w:val="17"/>
              </w:rPr>
              <w:t>_______________________</w:t>
              <w:br/>
              <w:t>(Signature / Stamp)</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color w:val="94A3B8"/>
                <w:sz w:val="17"/>
              </w:rPr>
              <w:t>_______________________</w:t>
              <w:br/>
              <w:t>(Signature / Stamp)</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color w:val="94A3B8"/>
                <w:sz w:val="17"/>
              </w:rPr>
              <w:t>_______________________</w:t>
              <w:br/>
              <w:t>(Signature / Stamp)</w:t>
            </w:r>
          </w:p>
        </w:tc>
      </w:tr>
      <w:tr>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Prepared / Verified By</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Reviewing Officer</w:t>
            </w:r>
          </w:p>
        </w:tc>
        <w:tc>
          <w:tcPr>
            <w:tcW w:type="dxa" w:w="360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Authorized Signatory</w:t>
            </w:r>
          </w:p>
        </w:tc>
      </w:tr>
    </w:tbl>
    <w:p>
      <w:pPr>
        <w:spacing w:before="240" w:after="240"/>
        <w:jc w:val="center"/>
      </w:pPr>
      <w:r>
        <w:rPr>
          <w:rFonts w:ascii="Calibri" w:hAnsi="Calibri"/>
          <w:b/>
          <w:color w:val="1F497D"/>
          <w:sz w:val="20"/>
        </w:rPr>
        <w:t>------------------ End Of Report ------------------</w:t>
      </w:r>
    </w:p>
    <w:sectPr w:rsidR="00FC693F" w:rsidRPr="0006063C" w:rsidSect="00034616">
      <w:headerReference w:type="default" r:id="rId9"/>
      <w:footerReference w:type="default" r:id="rId10"/>
      <w:pgSz w:w="12240" w:h="15840"/>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tab/>
      <w:t xml:space="preserve">Page </w:t>
      <w:fldChar w:fldCharType="begin"/>
      <w:instrText xml:space="preserve"> PAGE </w:instrText>
      <w:fldChar w:fldCharType="separate"/>
      <w:fldChar w:fldCharType="end"/>
    </w:r>
    <w:r>
      <w:rPr>
        <w:rFonts w:ascii="Cambria" w:hAnsi="Cambria"/>
        <w:sz w:val="18"/>
      </w:rPr>
      <w:t xml:space="preserve"> of </w:t>
      <w:fldChar w:fldCharType="begin"/>
      <w:instrText xml:space="preserve"> NUMPAGES </w:instrText>
      <w:fldChar w:fldCharType="separate"/>
      <w:fldChar w:fldCharType="end"/>
    </w:r>
    <w:r>
      <w:rPr>
        <w:rFonts w:ascii="Cambria" w:hAnsi="Cambria"/>
        <w:sz w:val="18"/>
      </w:rP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W w:w="1900"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Sample Description</w:t>
          </w:r>
        </w:p>
      </w:tc>
      <w:tc>
        <w:tcPr>
          <w:tcW w:type="dxa" w:w="2700"/>
          <w:tcW w:w="3500"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Sample quality is optimum for the test.</w:t>
          </w:r>
        </w:p>
      </w:tc>
      <w:tc>
        <w:tcPr>
          <w:tcW w:type="dxa" w:w="2700"/>
          <w:tcW w:w="1900"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KIF26A</w:t>
          </w:r>
        </w:p>
      </w:tc>
      <w:tc>
        <w:tcPr>
          <w:tcW w:type="dxa" w:w="2700"/>
          <w:tcW w:w="3500"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c.371G&gt;A) is classified as  Uncertain significance  variant.</w:t>
          </w:r>
        </w:p>
      </w:tc>
    </w:tr>
    <w:tr>
      <w:tc>
        <w:tcPr>
          <w:tcW w:type="dxa" w:w="2700"/>
          <w:tcW w:w="1900"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KIF26A Gene Phenotype Description</w:t>
          </w:r>
        </w:p>
      </w:tc>
      <w:tc>
        <w:tcPr>
          <w:tcW w:type="dxa" w:w="2700"/>
          <w:tcW w:w="3500"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An autosomal recessive disorder of aberrant neuronal migration during brain development. CDCBM11 is characterized by dil</w:t>
          </w:r>
        </w:p>
      </w:tc>
      <w:tc>
        <w:tcPr>
          <w:tcW w:type="dxa" w:w="2700"/>
          <w:tcW w:w="1900"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The Genome Analysis Toolkit</w:t>
          </w:r>
        </w:p>
      </w:tc>
      <w:tc>
        <w:tcPr>
          <w:tcW w:type="dxa" w:w="2700"/>
          <w:tcW w:w="3500" w:type="dxa"/>
          <w:tcMar>
            <w:top w:w="20" w:type="dxa"/>
            <w:left w:w="40" w:type="dxa"/>
            <w:bottom w:w="20" w:type="dxa"/>
            <w:right w:w="4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00000"/>
              <w:sz w:val="18"/>
            </w:rPr>
            <w:t>: a MapReduce framework for analyzing next-generation DNA sequencing data. Genome Res, 2010. 20(9)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