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794" w:after="298"/>
        <w:ind w:left="0" w:right="7386" w:firstLine="0"/>
        <w:jc w:val="right"/>
      </w:pPr>
      <w:r>
        <w:rPr>
          <w:rFonts w:ascii="Cambria" w:hAnsi="Cambria" w:eastAsia="Cambria"/>
          <w:b/>
          <w:i/>
          <w:color w:val="008080"/>
          <w:sz w:val="28"/>
        </w:rPr>
        <w:t>TEST NAME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20.0" w:type="dxa"/>
      </w:tblPr>
      <w:tblGrid>
        <w:gridCol w:w="9038"/>
      </w:tblGrid>
      <w:tr>
        <w:trPr>
          <w:trHeight w:hRule="exact" w:val="1688"/>
        </w:trPr>
        <w:tc>
          <w:tcPr>
            <w:tcW w:type="dxa" w:w="4484"/>
            <w:tcBorders>
              <w:top w:sz="6.400000000000091" w:val="single" w:color="#0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12" w:val="left"/>
              </w:tabs>
              <w:autoSpaceDE w:val="0"/>
              <w:widowControl/>
              <w:spacing w:line="245" w:lineRule="auto" w:before="1144" w:after="0"/>
              <w:ind w:left="664" w:right="576" w:firstLine="0"/>
              <w:jc w:val="left"/>
            </w:pP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28"/>
              </w:rPr>
              <w:t xml:space="preserve">Positive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FFFFFF"/>
                <w:sz w:val="20"/>
              </w:rPr>
              <w:t>(Clinically significant Variant detected)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480"/>
        </w:trPr>
        <w:tc>
          <w:tcPr>
            <w:tcW w:type="dxa" w:w="10710"/>
            <w:tcBorders>
              <w:start w:sz="6.400000000000006" w:val="single" w:color="#4AABC4"/>
              <w:top w:sz="6.400000000000091" w:val="single" w:color="#4AABC4"/>
              <w:end w:sz="5.600000000000364" w:val="single" w:color="#4AABC4"/>
              <w:bottom w:sz="6.400000000000091" w:val="single" w:color="#4AABC4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3.99999999999999" w:type="dxa"/>
            </w:tblPr>
            <w:tblGrid>
              <w:gridCol w:w="10710"/>
            </w:tblGrid>
            <w:tr>
              <w:trPr>
                <w:trHeight w:hRule="exact" w:val="272"/>
              </w:trPr>
              <w:tc>
                <w:tcPr>
                  <w:tcW w:type="dxa" w:w="1876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Clinical Indication: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0"/>
              <w:ind w:left="10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Metastatic Adenocarcinoma</w:t>
            </w:r>
          </w:p>
        </w:tc>
      </w:tr>
    </w:tbl>
    <w:p>
      <w:pPr>
        <w:autoSpaceDN w:val="0"/>
        <w:autoSpaceDE w:val="0"/>
        <w:widowControl/>
        <w:spacing w:line="240" w:lineRule="auto" w:before="1196" w:after="230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Report Highlights: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872"/>
        </w:trPr>
        <w:tc>
          <w:tcPr>
            <w:tcW w:type="dxa" w:w="110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4" w:val="left"/>
                <w:tab w:pos="1758" w:val="left"/>
                <w:tab w:pos="1846" w:val="left"/>
                <w:tab w:pos="3108" w:val="left"/>
                <w:tab w:pos="3200" w:val="left"/>
                <w:tab w:pos="4682" w:val="left"/>
                <w:tab w:pos="4772" w:val="left"/>
                <w:tab w:pos="6124" w:val="left"/>
                <w:tab w:pos="6204" w:val="left"/>
                <w:tab w:pos="8530" w:val="left"/>
                <w:tab w:pos="8596" w:val="left"/>
              </w:tabs>
              <w:autoSpaceDE w:val="0"/>
              <w:widowControl/>
              <w:spacing w:line="293" w:lineRule="auto" w:before="60" w:after="0"/>
              <w:ind w:left="42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Tier I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Tier II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III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Tier III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MSI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MSI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Therapies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Therapies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Clinical Trials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Clinical Trials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1834"/>
              <w:gridCol w:w="1834"/>
              <w:gridCol w:w="1834"/>
              <w:gridCol w:w="1834"/>
              <w:gridCol w:w="1834"/>
              <w:gridCol w:w="1834"/>
            </w:tblGrid>
            <w:tr>
              <w:trPr>
                <w:trHeight w:hRule="exact" w:val="218"/>
              </w:trPr>
              <w:tc>
                <w:tcPr>
                  <w:tcW w:type="dxa" w:w="10710"/>
                  <w:gridSpan w:val="6"/>
                  <w:tcBorders>
                    <w:top w:sz="12.0" w:val="single" w:color="#1F497D"/>
                    <w:bottom w:sz="5.599999999999909" w:val="single" w:color="#D9ECF2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86"/>
              </w:trPr>
              <w:tc>
                <w:tcPr>
                  <w:tcW w:type="dxa" w:w="1380"/>
                  <w:tcBorders>
                    <w:start w:sz="6.400000000000006" w:val="single" w:color="#D9ECF2"/>
                    <w:top w:sz="5.599999999999909" w:val="single" w:color="#D9ECF2"/>
                    <w:end w:sz="6.399999999999977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364"/>
                  <w:tcBorders>
                    <w:start w:sz="6.399999999999977" w:val="single" w:color="#D9ECF2"/>
                    <w:top w:sz="5.599999999999909" w:val="single" w:color="#D9ECF2"/>
                    <w:end w:sz="6.400000000000091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412"/>
                  <w:tcBorders>
                    <w:start w:sz="6.400000000000091" w:val="single" w:color="#D9ECF2"/>
                    <w:top w:sz="5.599999999999909" w:val="single" w:color="#D9ECF2"/>
                    <w:end w:sz="5.599999999999909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438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Stable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D9ECF2"/>
                    <w:top w:sz="5.599999999999909" w:val="single" w:color="#D9ECF2"/>
                    <w:end w:sz="6.400000000000091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3106"/>
                  <w:tcBorders>
                    <w:start w:sz="6.400000000000091" w:val="single" w:color="#D9ECF2"/>
                    <w:top w:sz="5.599999999999909" w:val="single" w:color="#D9ECF2"/>
                    <w:end w:sz="5.600000000000364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43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40" w:lineRule="auto" w:before="220" w:after="164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Key Findings: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496"/>
        </w:trPr>
        <w:tc>
          <w:tcPr>
            <w:tcW w:type="dxa" w:w="1572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</w:t>
            </w:r>
          </w:p>
        </w:tc>
        <w:tc>
          <w:tcPr>
            <w:tcW w:type="dxa" w:w="30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54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Gene &amp; Transcript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Gene &amp; Transcript</w:t>
            </w:r>
          </w:p>
        </w:tc>
        <w:tc>
          <w:tcPr>
            <w:tcW w:type="dxa" w:w="222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Variant</w:t>
            </w:r>
          </w:p>
        </w:tc>
        <w:tc>
          <w:tcPr>
            <w:tcW w:type="dxa" w:w="174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45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Exon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Exon</w:t>
            </w:r>
          </w:p>
        </w:tc>
        <w:tc>
          <w:tcPr>
            <w:tcW w:type="dxa" w:w="2178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Coverage/ VAF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Coverage/VAF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646"/>
        </w:trPr>
        <w:tc>
          <w:tcPr>
            <w:tcW w:type="dxa" w:w="1528"/>
            <w:tcBorders>
              <w:start w:sz="6.400000000000006" w:val="single" w:color="#D9ECF2"/>
              <w:top w:sz="6.400000000000091" w:val="single" w:color="#D9ECF2"/>
              <w:end w:sz="5.600000000000023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IIC</w:t>
            </w:r>
          </w:p>
        </w:tc>
        <w:tc>
          <w:tcPr>
            <w:tcW w:type="dxa" w:w="2820"/>
            <w:tcBorders>
              <w:start w:sz="5.600000000000023" w:val="single" w:color="#D9ECF2"/>
              <w:top w:sz="6.400000000000091" w:val="single" w:color="#D9ECF2"/>
              <w:end w:sz="5.599999999999909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720" w:right="72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NM_000546.6</w:t>
            </w:r>
          </w:p>
        </w:tc>
        <w:tc>
          <w:tcPr>
            <w:tcW w:type="dxa" w:w="2642"/>
            <w:tcBorders>
              <w:start w:sz="5.599999999999909" w:val="single" w:color="#D9ECF2"/>
              <w:top w:sz="6.400000000000091" w:val="single" w:color="#D9ECF2"/>
              <w:end w:sz="5.599999999999909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864" w:right="864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c.405C&gt;A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1574"/>
            <w:tcBorders>
              <w:start w:sz="5.599999999999909" w:val="single" w:color="#D9ECF2"/>
              <w:top w:sz="6.400000000000091" w:val="single" w:color="#D9ECF2"/>
              <w:end w:sz="6.400000000000091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146"/>
            <w:tcBorders>
              <w:start w:sz="6.400000000000091" w:val="single" w:color="#D9ECF2"/>
              <w:top w:sz="6.400000000000091" w:val="single" w:color="#D9ECF2"/>
              <w:end w:sz="5.600000000000364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720" w:right="72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691x /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93.13%</w:t>
            </w:r>
          </w:p>
        </w:tc>
      </w:tr>
    </w:tbl>
    <w:p>
      <w:pPr>
        <w:autoSpaceDN w:val="0"/>
        <w:autoSpaceDE w:val="0"/>
        <w:widowControl/>
        <w:spacing w:line="240" w:lineRule="auto" w:before="50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*Genetic test results are reported based on the recommendations of AMP-ASCO-CAP guidelines.</w:t>
      </w:r>
    </w:p>
    <w:p>
      <w:pPr>
        <w:autoSpaceDN w:val="0"/>
        <w:autoSpaceDE w:val="0"/>
        <w:widowControl/>
        <w:spacing w:line="240" w:lineRule="auto" w:before="3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**Public data sources included in relevant targeted therapies, guidelines: EMA, FDA, ESMO, NCCN.</w:t>
      </w:r>
    </w:p>
    <w:p>
      <w:pPr>
        <w:autoSpaceDN w:val="0"/>
        <w:autoSpaceDE w:val="0"/>
        <w:widowControl/>
        <w:spacing w:line="240" w:lineRule="auto" w:before="222" w:after="178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Multi-Gene Biomarkers Results: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3013"/>
        <w:gridCol w:w="3013"/>
        <w:gridCol w:w="3013"/>
      </w:tblGrid>
      <w:tr>
        <w:trPr>
          <w:trHeight w:hRule="exact" w:val="496"/>
        </w:trPr>
        <w:tc>
          <w:tcPr>
            <w:tcW w:type="dxa" w:w="4352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1308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Assay Biomarker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Assay Biomarker</w:t>
            </w:r>
          </w:p>
        </w:tc>
        <w:tc>
          <w:tcPr>
            <w:tcW w:type="dxa" w:w="302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103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Result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338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87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Interpretation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Interpretation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3013"/>
        <w:gridCol w:w="3013"/>
        <w:gridCol w:w="3013"/>
      </w:tblGrid>
      <w:tr>
        <w:trPr>
          <w:trHeight w:hRule="exact" w:val="496"/>
        </w:trPr>
        <w:tc>
          <w:tcPr>
            <w:tcW w:type="dxa" w:w="4440"/>
            <w:tcBorders>
              <w:start w:sz="6.400000000000006" w:val="single" w:color="#D9ECF2"/>
              <w:top w:sz="6.399999999999636" w:val="single" w:color="#D9ECF2"/>
              <w:end w:sz="6.400000000000091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Microsatellite Instability (MSI)</w:t>
            </w:r>
          </w:p>
        </w:tc>
        <w:tc>
          <w:tcPr>
            <w:tcW w:type="dxa" w:w="3044"/>
            <w:tcBorders>
              <w:start w:sz="6.400000000000091" w:val="single" w:color="#D9ECF2"/>
              <w:top w:sz="6.399999999999636" w:val="single" w:color="#D9ECF2"/>
              <w:end w:sz="6.400000000000091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Stable</w:t>
            </w:r>
          </w:p>
        </w:tc>
        <w:tc>
          <w:tcPr>
            <w:tcW w:type="dxa" w:w="3226"/>
            <w:tcBorders>
              <w:start w:sz="6.400000000000091" w:val="single" w:color="#D9ECF2"/>
              <w:top w:sz="6.399999999999636" w:val="single" w:color="#D9ECF2"/>
              <w:end w:sz="5.600000000000364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3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Stable Microsatellite detected</w:t>
            </w:r>
          </w:p>
        </w:tc>
      </w:tr>
    </w:tbl>
    <w:p>
      <w:pPr>
        <w:autoSpaceDN w:val="0"/>
        <w:autoSpaceDE w:val="0"/>
        <w:widowControl/>
        <w:spacing w:line="240" w:lineRule="auto" w:before="50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# Correlation of the genetic findings with the clinical condition of the patient is required to arrive at accurate diagnosis,</w:t>
      </w:r>
    </w:p>
    <w:p>
      <w:pPr>
        <w:autoSpaceDN w:val="0"/>
        <w:autoSpaceDE w:val="0"/>
        <w:widowControl/>
        <w:spacing w:line="240" w:lineRule="auto" w:before="3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prognosis or therapeutic decisions.</w:t>
      </w:r>
    </w:p>
    <w:p>
      <w:pPr>
        <w:sectPr>
          <w:footerReference w:type="default" r:id="rId10"/>
          <w:footerReference w:type="first" r:id="rId11"/>
          <w:footerReference w:type="even" r:id="rId12"/>
          <w:headerReference w:type="default" r:id="rId13"/>
          <w:headerReference w:type="first" r:id="rId14"/>
          <w:headerReference w:type="even" r:id="rId15"/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802" w:after="178"/>
        <w:ind w:left="95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Clinical Significance: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19"/>
        <w:gridCol w:w="4519"/>
      </w:tblGrid>
      <w:tr>
        <w:trPr>
          <w:trHeight w:hRule="exact" w:val="540"/>
        </w:trPr>
        <w:tc>
          <w:tcPr>
            <w:tcW w:type="dxa" w:w="447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4472"/>
            </w:tblGrid>
            <w:tr>
              <w:trPr>
                <w:trHeight w:hRule="exact" w:val="520"/>
              </w:trPr>
              <w:tc>
                <w:tcPr>
                  <w:tcW w:type="dxa" w:w="331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3" w:lineRule="auto" w:before="142" w:after="0"/>
                    <w:ind w:left="0" w:right="1124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Variant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Variant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23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0.0" w:type="dxa"/>
            </w:tblPr>
            <w:tblGrid>
              <w:gridCol w:w="6238"/>
            </w:tblGrid>
            <w:tr>
              <w:trPr>
                <w:trHeight w:hRule="exact" w:val="382"/>
              </w:trPr>
              <w:tc>
                <w:tcPr>
                  <w:tcW w:type="dxa" w:w="354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3" w:lineRule="auto" w:before="60" w:after="0"/>
                    <w:ind w:left="0" w:right="1554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Therapy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008"/>
        </w:trPr>
        <w:tc>
          <w:tcPr>
            <w:tcW w:type="dxa" w:w="1070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567"/>
              <w:gridCol w:w="3567"/>
              <w:gridCol w:w="3567"/>
            </w:tblGrid>
            <w:tr>
              <w:trPr>
                <w:trHeight w:hRule="exact" w:val="510"/>
              </w:trPr>
              <w:tc>
                <w:tcPr>
                  <w:tcW w:type="dxa" w:w="3554"/>
                  <w:tcBorders>
                    <w:start w:sz="6.400000000000006" w:val="single" w:color="#D9ECF2"/>
                    <w:top w:sz="5.599999999999909" w:val="single" w:color="#D9ECF2"/>
                    <w:end w:sz="5.599999999999909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562"/>
                  <w:tcBorders>
                    <w:start w:sz="5.599999999999909" w:val="single" w:color="#D9ECF2"/>
                    <w:top w:sz="5.599999999999909" w:val="single" w:color="#D9ECF2"/>
                    <w:end w:sz="6.400000000000091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133.9999999999998" w:type="dxa"/>
                  </w:tblPr>
                  <w:tblGrid>
                    <w:gridCol w:w="3562"/>
                  </w:tblGrid>
                  <w:tr>
                    <w:trPr>
                      <w:trHeight w:hRule="exact" w:val="280"/>
                    </w:trPr>
                    <w:tc>
                      <w:tcPr>
                        <w:tcW w:type="dxa" w:w="1454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In This Cancer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3578"/>
                  <w:tcBorders>
                    <w:start w:sz="6.400000000000091" w:val="single" w:color="#D9ECF2"/>
                    <w:top w:sz="5.599999999999909" w:val="single" w:color="#D9ECF2"/>
                    <w:end w:sz="5.600000000000364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63.9999999999998" w:type="dxa"/>
                  </w:tblPr>
                  <w:tblGrid>
                    <w:gridCol w:w="3578"/>
                  </w:tblGrid>
                  <w:tr>
                    <w:trPr>
                      <w:trHeight w:hRule="exact" w:val="280"/>
                    </w:trPr>
                    <w:tc>
                      <w:tcPr>
                        <w:tcW w:type="dxa" w:w="1606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In Other Cancer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978"/>
              </w:trPr>
              <w:tc>
                <w:tcPr>
                  <w:tcW w:type="dxa" w:w="3554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148" w:after="0"/>
                    <w:ind w:left="1296" w:right="1296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IIC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TP53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p.(C135*)</w:t>
                  </w:r>
                </w:p>
              </w:tc>
              <w:tc>
                <w:tcPr>
                  <w:tcW w:type="dxa" w:w="356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50" w:after="0"/>
                    <w:ind w:left="11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6666"/>
                      <w:sz w:val="24"/>
                    </w:rPr>
                    <w:t>▪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  <w:tc>
                <w:tcPr>
                  <w:tcW w:type="dxa" w:w="3578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23.999999999999773" w:type="dxa"/>
                  </w:tblPr>
                  <w:tblGrid>
                    <w:gridCol w:w="3578"/>
                  </w:tblGrid>
                  <w:tr>
                    <w:trPr>
                      <w:trHeight w:hRule="exact" w:val="940"/>
                    </w:trPr>
                    <w:tc>
                      <w:tcPr>
                        <w:tcW w:type="dxa" w:w="3554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42" w:after="0"/>
                          <w:ind w:left="96" w:right="0" w:firstLine="0"/>
                          <w:jc w:val="left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006666"/>
                            <w:sz w:val="24"/>
                          </w:rPr>
                          <w:t>▪</w:t>
                        </w: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000000"/>
                            <w:sz w:val="20"/>
                          </w:rPr>
                          <w:t>None*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tabs>
                <w:tab w:pos="1124" w:val="left"/>
                <w:tab w:pos="3712" w:val="left"/>
                <w:tab w:pos="3780" w:val="left"/>
                <w:tab w:pos="7670" w:val="left"/>
                <w:tab w:pos="7736" w:val="left"/>
              </w:tabs>
              <w:autoSpaceDE w:val="0"/>
              <w:widowControl/>
              <w:spacing w:line="290" w:lineRule="auto" w:before="462" w:after="0"/>
              <w:ind w:left="104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Variant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Diagnostic Significance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Diagnostic Significance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Prognostic Significance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Prognostic Significance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3567"/>
              <w:gridCol w:w="3567"/>
              <w:gridCol w:w="3567"/>
            </w:tblGrid>
            <w:tr>
              <w:trPr>
                <w:trHeight w:hRule="exact" w:val="202"/>
              </w:trPr>
              <w:tc>
                <w:tcPr>
                  <w:tcW w:type="dxa" w:w="10710"/>
                  <w:gridSpan w:val="3"/>
                  <w:tcBorders>
                    <w:top w:sz="12.0" w:val="single" w:color="#1F497D"/>
                    <w:bottom w:sz="5.599999999999909" w:val="single" w:color="#D9ECF2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24"/>
              </w:trPr>
              <w:tc>
                <w:tcPr>
                  <w:tcW w:type="dxa" w:w="2788"/>
                  <w:tcBorders>
                    <w:start w:sz="6.400000000000006" w:val="single" w:color="#D9ECF2"/>
                    <w:top w:sz="5.599999999999909" w:val="single" w:color="#D9ECF2"/>
                    <w:end w:sz="5.599999999999909" w:val="single" w:color="#D9ECF2"/>
                    <w:bottom w:sz="5.599999999999909" w:val="single" w:color="#D9ECF2"/>
                  </w:tcBorders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42" w:after="0"/>
                    <w:ind w:left="864" w:right="864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TP53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p.(C135*)</w:t>
                  </w:r>
                </w:p>
              </w:tc>
              <w:tc>
                <w:tcPr>
                  <w:tcW w:type="dxa" w:w="3962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  <w:bottom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46" w:after="0"/>
                    <w:ind w:left="8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  <w:tc>
                <w:tcPr>
                  <w:tcW w:type="dxa" w:w="3960"/>
                  <w:tcBorders>
                    <w:start w:sz="5.599999999999909" w:val="single" w:color="#D9ECF2"/>
                    <w:top w:sz="5.599999999999909" w:val="single" w:color="#D9ECF2"/>
                    <w:end w:sz="5.600000000000364" w:val="single" w:color="#D9ECF2"/>
                    <w:bottom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4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6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4519"/>
        <w:gridCol w:w="4519"/>
      </w:tblGrid>
      <w:tr>
        <w:trPr>
          <w:trHeight w:hRule="exact" w:val="932"/>
        </w:trPr>
        <w:tc>
          <w:tcPr>
            <w:tcW w:type="dxa" w:w="3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38" w:val="left"/>
                <w:tab w:pos="914" w:val="left"/>
              </w:tabs>
              <w:autoSpaceDE w:val="0"/>
              <w:widowControl/>
              <w:spacing w:line="406" w:lineRule="auto" w:before="40" w:after="0"/>
              <w:ind w:left="314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8080"/>
                <w:sz w:val="24"/>
              </w:rPr>
              <w:t xml:space="preserve">Biomarker Description: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Variant</w:t>
            </w:r>
          </w:p>
        </w:tc>
        <w:tc>
          <w:tcPr>
            <w:tcW w:type="dxa" w:w="71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628" w:after="0"/>
              <w:ind w:left="0" w:right="308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Biomarker Description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Biomarker Description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19"/>
        <w:gridCol w:w="4519"/>
      </w:tblGrid>
      <w:tr>
        <w:trPr>
          <w:trHeight w:hRule="exact" w:val="4524"/>
        </w:trPr>
        <w:tc>
          <w:tcPr>
            <w:tcW w:type="dxa" w:w="2368"/>
            <w:tcBorders>
              <w:start w:sz="6.400000000000006" w:val="single" w:color="#D9ECF2"/>
              <w:top w:sz="6.400000000000091" w:val="single" w:color="#D9ECF2"/>
              <w:end w:sz="5.599999999999909" w:val="single" w:color="#D9ECF2"/>
              <w:bottom w:sz="6.399999999999636" w:val="single" w:color="#D9ECF2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44" w:after="0"/>
              <w:ind w:left="100" w:right="864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NM_000546.6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chr17:7578525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c.405C&gt;A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8342"/>
            <w:tcBorders>
              <w:start w:sz="5.599999999999909" w:val="single" w:color="#D9ECF2"/>
              <w:top w:sz="6.400000000000091" w:val="single" w:color="#D9ECF2"/>
              <w:end w:sz="5.600000000000364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" w:after="0"/>
              <w:ind w:left="86" w:right="288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TP53 gene encodes the tumor suppressor protein p53, which binds to DNA and activates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transcription in response to diverse cellular stresses to induce cell cycle arrest, apoptosis, or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DNA repair[1]. In unstressed cells, TP53 is kept inactive by targeted degradation via MDM2,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substrate recognition factor for ubiquitin-dependent proteolysis[2]. Alterations in TP53 are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required for oncogenesis as they result in loss of protein function and gain of transforming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potential[3]. Germline mutations in TP53 are the underlying cause of Li-Fraumeni syndrome,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complex hereditary cancer predisposition disorder associated with early-onset cancers[4,5].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is the most frequently mutated gene in the cancer genome with approximately half of all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experiencing TP53 mutations. Ovarian, head and neck, esophageal, and lung squamous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have particularly high TP53 mutation rates (60-90%)[6,7,8,9,10,11]. Approximately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two-thirds of TP53 mutations are missense mutations and several recurrent missense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mutations are common, including substitutions at codons R158, R175, Y220, R248, R273, and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R282[6,7]. Invariably, recurrent missense mutations in TP53 inactivate its ability to bind DNA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and activate transcription of target genes[12,13,14,15]. Alterations in TP53 are also observed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 pediatric cancers[6,7]. Somatic mutations are observed in 53% of non-Hodgkin lymphoma,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24% of soft tissue sarcoma, 19% of glioma, 13% of bone cancer, 9% of B-lymphoblastic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leukemia/lymphoma, 4% of embryonal tumors, 3% of Wilms tumor and leukemia, 2% of T-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lymphoblastic leukemia/lymphoma, and less than 1% of peripheral nervous system cancers (5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in 1158 cases )[6,7]. Biallelic loss of TP53 is observed in 10% of bone cancer, 2% of Wilms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2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151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9" w:lineRule="auto" w:before="104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tumor, and less than 1% of B-lymphoblastic leukemia/lymphoma (2 in 731 cases) and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tumor, and less than 1% of B-lymphoblastic leukemia/lymphoma (2 in 731 cases) and</w:t>
            </w:r>
          </w:p>
          <w:p>
            <w:pPr>
              <w:autoSpaceDN w:val="0"/>
              <w:tabs>
                <w:tab w:pos="2506" w:val="left"/>
                <w:tab w:pos="4668" w:val="left"/>
                <w:tab w:pos="6278" w:val="left"/>
                <w:tab w:pos="7868" w:val="left"/>
                <w:tab w:pos="9622" w:val="left"/>
              </w:tabs>
              <w:autoSpaceDE w:val="0"/>
              <w:widowControl/>
              <w:spacing w:line="314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leukemia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leukemia (1 in 250 cases)[6,7]. The small molecule p53 reactivator, PC14586[16] (2020),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(1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250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cases)[6,7].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small molecule p53 reactivator, PC14586[16] (2020), received a fast track designation by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received a fast track designation by the FDA for advanced tumors harboring a TP53 Y220C</w:t>
            </w:r>
          </w:p>
          <w:p>
            <w:pPr>
              <w:autoSpaceDN w:val="0"/>
              <w:autoSpaceDE w:val="0"/>
              <w:widowControl/>
              <w:spacing w:line="286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FDA for advanced tumors harboring a TP53 Y220C mutation. The FDA has granted fast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mutation. The FDA has granted fast track designation to the p53 reactivator,</w:t>
            </w:r>
          </w:p>
          <w:p>
            <w:pPr>
              <w:autoSpaceDN w:val="0"/>
              <w:autoSpaceDE w:val="0"/>
              <w:widowControl/>
              <w:spacing w:line="269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track designation to the p53 reactivator, eprenetapopt[17], (2019) and breakthrough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eprenetapopt[17], (2019) and breakthrough designation[18] (2020) in combination with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designation[18] (2020) in combination with azacitidine or azacitidine and venetoclax for acute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9038"/>
      </w:tblGrid>
      <w:tr>
        <w:trPr>
          <w:trHeight w:hRule="exact" w:val="3074"/>
        </w:trPr>
        <w:tc>
          <w:tcPr>
            <w:tcW w:type="dxa" w:w="10724"/>
            <w:tcBorders>
              <w:bottom w:sz="6.400000000000091" w:val="single" w:color="#D9ECF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" w:after="0"/>
              <w:ind w:left="2534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myelodysplastic syndrome (MDS) harboring a TP53 mutation, respectively. In addition to</w:t>
            </w:r>
          </w:p>
          <w:p>
            <w:pPr>
              <w:autoSpaceDN w:val="0"/>
              <w:autoSpaceDE w:val="0"/>
              <w:widowControl/>
              <w:spacing w:line="262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mutation, respectively. In addition to investigational therapies aimed at restoring wild-type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investigational therapies aimed at restoring wild-type TP53 activity, compounds that</w:t>
            </w:r>
          </w:p>
          <w:p>
            <w:pPr>
              <w:autoSpaceDN w:val="0"/>
              <w:tabs>
                <w:tab w:pos="2556" w:val="left"/>
                <w:tab w:pos="3110" w:val="left"/>
                <w:tab w:pos="3970" w:val="left"/>
                <w:tab w:pos="5154" w:val="left"/>
                <w:tab w:pos="5684" w:val="left"/>
                <w:tab w:pos="6444" w:val="left"/>
                <w:tab w:pos="7414" w:val="left"/>
                <w:tab w:pos="8306" w:val="left"/>
                <w:tab w:pos="8770" w:val="left"/>
                <w:tab w:pos="9300" w:val="left"/>
                <w:tab w:pos="10000" w:val="left"/>
              </w:tabs>
              <w:autoSpaceDE w:val="0"/>
              <w:widowControl/>
              <w:spacing w:line="259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induce synthetic lethality are also under clinical evaluation[19,20]. TP53 mutation are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activity,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compounds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that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induce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synthetic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lethality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are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also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under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clinical</w:t>
            </w:r>
          </w:p>
          <w:p>
            <w:pPr>
              <w:autoSpaceDN w:val="0"/>
              <w:autoSpaceDE w:val="0"/>
              <w:widowControl/>
              <w:spacing w:line="290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evaluation[19,20]. TP53 mutation are a diagnostic marker of SHH-activated, TP53-mutant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diagnostic marker of SHH-activated, TP53-mutant medulloblastoma[21]. TP53 mutations</w:t>
            </w:r>
          </w:p>
          <w:p>
            <w:pPr>
              <w:autoSpaceDN w:val="0"/>
              <w:autoSpaceDE w:val="0"/>
              <w:widowControl/>
              <w:spacing w:line="307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medulloblastoma[21]. TP53 mutations confer poor prognosis and poor risk in multiple blood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confer poor prognosis and poor risk in multiple blood cancers including AML, MDS,</w:t>
            </w:r>
          </w:p>
          <w:p>
            <w:pPr>
              <w:autoSpaceDN w:val="0"/>
              <w:autoSpaceDE w:val="0"/>
              <w:widowControl/>
              <w:spacing w:line="307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including AML, MDS, myeloproliferative neoplasms (MPN), and chronic lymphocytic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myeloproliferative neoplasms (MPN), and chronic lymphocytic leukemia (CLL), and acute</w:t>
            </w:r>
          </w:p>
          <w:p>
            <w:pPr>
              <w:autoSpaceDN w:val="0"/>
              <w:autoSpaceDE w:val="0"/>
              <w:widowControl/>
              <w:spacing w:line="338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leukemia (CLL), and acute lymphoblastic leukemia (ALL)[22,23,24,25,26,27]. In mantle cell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lymphoblastic leukemia (ALL)[22,23,24,25,26,27]. In mantle cell lymphoma, TP53</w:t>
            </w:r>
          </w:p>
          <w:p>
            <w:pPr>
              <w:autoSpaceDN w:val="0"/>
              <w:autoSpaceDE w:val="0"/>
              <w:widowControl/>
              <w:spacing w:line="444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including hematopoietic cell transplant[28]. Mono- and bi-allelic mutations in TP53 confer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lymphoma, TP53 mutations are associated with poor prognosis when treated with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mutations are associated with poor prognosis when treated with conventional therapy</w:t>
            </w:r>
          </w:p>
          <w:p>
            <w:pPr>
              <w:autoSpaceDN w:val="0"/>
              <w:autoSpaceDE w:val="0"/>
              <w:widowControl/>
              <w:spacing w:line="329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conventional therapy including hematopoietic cell transplant[28]. Mono- and bi-allelic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unique characteristics in MDS, with multi-hit patients also experiencing associations with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2454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complex karyotype, few co-occurring mutations, and high-risk disease presentation as well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mutations in TP53 confer unique characteristics in MDS, with multi-hit patients also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experiencing associations with complex karyotype, few co-occurring mutations, and high-risk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as predicted death and leukemic transformation independent of the IPSS-R staging</w:t>
            </w:r>
          </w:p>
          <w:p>
            <w:pPr>
              <w:autoSpaceDN w:val="0"/>
              <w:autoSpaceDE w:val="0"/>
              <w:widowControl/>
              <w:spacing w:line="269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disease presentation as well as predicted death and leukemic transformation independent of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system[29].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the IPSS-R staging system[29].</w:t>
            </w:r>
          </w:p>
        </w:tc>
      </w:tr>
    </w:tbl>
    <w:p>
      <w:pPr>
        <w:autoSpaceDN w:val="0"/>
        <w:autoSpaceDE w:val="0"/>
        <w:widowControl/>
        <w:spacing w:line="240" w:lineRule="auto" w:before="290" w:after="0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Therapy &amp; Clinical Trials:</w:t>
      </w:r>
    </w:p>
    <w:p>
      <w:pPr>
        <w:autoSpaceDN w:val="0"/>
        <w:autoSpaceDE w:val="0"/>
        <w:widowControl/>
        <w:spacing w:line="240" w:lineRule="auto" w:before="402" w:after="8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0"/>
        </w:rPr>
        <w:t>TP53 p.(C135*) c.405C&gt;A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32"/>
        </w:trPr>
        <w:tc>
          <w:tcPr>
            <w:tcW w:type="dxa" w:w="4452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1280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Therapy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Therapy</w:t>
            </w:r>
          </w:p>
        </w:tc>
        <w:tc>
          <w:tcPr>
            <w:tcW w:type="dxa" w:w="20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25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FDA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FDA</w:t>
            </w:r>
          </w:p>
        </w:tc>
        <w:tc>
          <w:tcPr>
            <w:tcW w:type="dxa" w:w="11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NCCN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NCCN</w:t>
            </w:r>
          </w:p>
        </w:tc>
        <w:tc>
          <w:tcPr>
            <w:tcW w:type="dxa" w:w="10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EMA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EMA</w:t>
            </w:r>
          </w:p>
        </w:tc>
        <w:tc>
          <w:tcPr>
            <w:tcW w:type="dxa" w:w="11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ESMO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ESMO</w:t>
            </w:r>
          </w:p>
        </w:tc>
        <w:tc>
          <w:tcPr>
            <w:tcW w:type="dxa" w:w="1058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Trials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Trials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2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48"/>
        </w:trPr>
        <w:tc>
          <w:tcPr>
            <w:tcW w:type="dxa" w:w="5416"/>
            <w:tcBorders>
              <w:start w:sz="6.400000000000006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8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</w:t>
            </w:r>
          </w:p>
        </w:tc>
        <w:tc>
          <w:tcPr>
            <w:tcW w:type="dxa" w:w="1020"/>
            <w:tcBorders>
              <w:start w:sz="5.599999999999909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>
              <w:start w:sz="5.599999999999909" w:val="single" w:color="#D9ECF2"/>
              <w:top w:sz="5.600000000000364" w:val="single" w:color="#D9ECF2"/>
              <w:end w:sz="5.600000000000364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>
              <w:start w:sz="5.600000000000364" w:val="single" w:color="#D9ECF2"/>
              <w:top w:sz="5.600000000000364" w:val="single" w:color="#D9ECF2"/>
              <w:end w:sz="5.600000000000364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46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0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atezolizumab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66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azenosertib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6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6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ART-6043, olaparib, niraparib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ATRN-119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6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6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GSK-101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VB-15010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2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2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36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GenSci-122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38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291"/>
        <w:gridCol w:w="1291"/>
        <w:gridCol w:w="1291"/>
        <w:gridCol w:w="1291"/>
        <w:gridCol w:w="1291"/>
        <w:gridCol w:w="1291"/>
        <w:gridCol w:w="1291"/>
      </w:tblGrid>
      <w:tr>
        <w:trPr>
          <w:trHeight w:hRule="exact" w:val="494"/>
        </w:trPr>
        <w:tc>
          <w:tcPr>
            <w:tcW w:type="dxa" w:w="157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572"/>
            </w:tblGrid>
            <w:tr>
              <w:trPr>
                <w:trHeight w:hRule="exact" w:val="474"/>
              </w:trPr>
              <w:tc>
                <w:tcPr>
                  <w:tcW w:type="dxa" w:w="119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92" w:after="0"/>
                    <w:ind w:left="10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GH-2616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136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GH-2616</w:t>
            </w:r>
          </w:p>
        </w:tc>
        <w:tc>
          <w:tcPr>
            <w:tcW w:type="dxa" w:w="1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45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7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2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52"/>
        </w:trPr>
        <w:tc>
          <w:tcPr>
            <w:tcW w:type="dxa" w:w="5416"/>
            <w:tcBorders>
              <w:start w:sz="6.400000000000006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8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HRS-1167</w:t>
            </w:r>
          </w:p>
        </w:tc>
        <w:tc>
          <w:tcPr>
            <w:tcW w:type="dxa" w:w="1020"/>
            <w:tcBorders>
              <w:start w:sz="5.599999999999909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>
              <w:start w:sz="5.599999999999909" w:val="single" w:color="#D9ECF2"/>
              <w:top w:sz="5.599999999999909" w:val="single" w:color="#D9ECF2"/>
              <w:end w:sz="5.600000000000364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>
              <w:start w:sz="5.600000000000364" w:val="single" w:color="#D9ECF2"/>
              <w:top w:sz="5.599999999999909" w:val="single" w:color="#D9ECF2"/>
              <w:end w:sz="5.600000000000364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45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HS-10502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0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0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SIM-0501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talazoparib, palbociclib, axitinib, crizotinib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65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XL-309, olaparib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pembrolizumab,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IV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hormone therapy,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chemotherapy, radiation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saruparib, hormone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radiation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28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28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II/III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 +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II/III</w:t>
            </w:r>
          </w:p>
        </w:tc>
      </w:tr>
      <w:tr>
        <w:trPr>
          <w:trHeight w:hRule="exact" w:val="645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52" w:after="0"/>
              <w:ind w:left="94" w:right="288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abiraterone + niraparib, hormone therapy, radiation therapy,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steroid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608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608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7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49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camrelizumab, fluzoparib,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eflornithine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hormone therapy, hormone therapy +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lunresertib, trastuzumab, chemotherapy, camonsertib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0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0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dostarlimab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0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0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 + hormone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2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38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086"/>
        </w:trPr>
        <w:tc>
          <w:tcPr>
            <w:tcW w:type="dxa" w:w="5436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436"/>
            </w:tblGrid>
            <w:tr>
              <w:trPr>
                <w:trHeight w:hRule="exact" w:val="474"/>
              </w:trPr>
              <w:tc>
                <w:tcPr>
                  <w:tcW w:type="dxa" w:w="455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7" w:lineRule="auto" w:before="126" w:after="0"/>
                    <w:ind w:left="10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olaparib, durvalumab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olaparib, durvalumab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9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5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10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102"/>
            </w:tblGrid>
            <w:tr>
              <w:trPr>
                <w:trHeight w:hRule="exact" w:val="400"/>
              </w:trPr>
              <w:tc>
                <w:tcPr>
                  <w:tcW w:type="dxa" w:w="62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7" w:lineRule="auto" w:before="6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II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52"/>
        </w:trPr>
        <w:tc>
          <w:tcPr>
            <w:tcW w:type="dxa" w:w="5436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64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50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/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4" w:lineRule="exact" w:before="100" w:after="196"/>
        <w:ind w:left="716" w:right="1440" w:firstLine="0"/>
        <w:jc w:val="left"/>
      </w:pPr>
      <w:r>
        <w:rPr>
          <w:rFonts w:ascii="Type3 (21 0 R)" w:hAnsi="Type3 (21 0 R)" w:eastAsia="Type3 (21 0 R)"/>
          <w:b w:val="0"/>
          <w:i w:val="0"/>
          <w:color w:val="000000"/>
          <w:sz w:val="20"/>
        </w:rPr>
        <w:t>📝</w:t>
      </w:r>
      <w:r>
        <w:rPr>
          <w:rFonts w:ascii="Cambria" w:hAnsi="Cambria" w:eastAsia="Cambria"/>
          <w:b w:val="0"/>
          <w:i w:val="0"/>
          <w:color w:val="000000"/>
          <w:sz w:val="20"/>
        </w:rPr>
        <w:t>Note:</w:t>
      </w:r>
      <w:r>
        <w:rPr>
          <w:rFonts w:ascii="Segoe UI Symbol" w:hAnsi="Segoe UI Symbol" w:eastAsia="Segoe UI Symbol"/>
          <w:b w:val="0"/>
          <w:i w:val="0"/>
          <w:color w:val="00B05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In this Cancer Type,</w:t>
      </w:r>
      <w:r>
        <w:rPr>
          <w:rFonts w:ascii="Segoe UI Symbol" w:hAnsi="Segoe UI Symbol" w:eastAsia="Segoe UI Symbol"/>
          <w:b w:val="0"/>
          <w:i w:val="0"/>
          <w:color w:val="FFC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In Other Cancer Type,</w:t>
      </w:r>
      <w:r>
        <w:rPr>
          <w:rFonts w:ascii="Segoe UI Symbol" w:hAnsi="Segoe UI Symbol" w:eastAsia="Segoe UI Symbol"/>
          <w:b w:val="0"/>
          <w:i w:val="0"/>
          <w:color w:val="00B050"/>
          <w:sz w:val="20"/>
        </w:rPr>
        <w:t>✓</w:t>
      </w:r>
      <w:r>
        <w:rPr>
          <w:rFonts w:ascii="Segoe UI Symbol" w:hAnsi="Segoe UI Symbol" w:eastAsia="Segoe UI Symbol"/>
          <w:b w:val="0"/>
          <w:i w:val="0"/>
          <w:color w:val="FFC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both In this and Other Cancer Type,</w:t>
      </w:r>
      <w:r>
        <w:rPr>
          <w:rFonts w:ascii="Cambria" w:hAnsi="Cambria" w:eastAsia="Cambria"/>
          <w:b w:val="0"/>
          <w:i w:val="0"/>
          <w:color w:val="808080"/>
          <w:sz w:val="20"/>
        </w:rPr>
        <w:t xml:space="preserve"> X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No Evidence.</w:t>
      </w:r>
      <w:r>
        <w:rPr>
          <w:rFonts w:ascii="Type3 (23 0 R)" w:hAnsi="Type3 (23 0 R)" w:eastAsia="Type3 (23 0 R)"/>
          <w:b w:val="0"/>
          <w:i w:val="0"/>
          <w:color w:val="EE0000"/>
          <w:sz w:val="20"/>
        </w:rPr>
        <w:t>⚠️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: </w:t>
      </w:r>
      <w:r>
        <w:rPr>
          <w:rFonts w:ascii="Cambria" w:hAnsi="Cambria" w:eastAsia="Cambria"/>
          <w:b w:val="0"/>
          <w:i w:val="0"/>
          <w:color w:val="000000"/>
          <w:sz w:val="20"/>
        </w:rPr>
        <w:t>Caution for Use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344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9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Test Description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10694"/>
            </w:tblGrid>
            <w:tr>
              <w:trPr>
                <w:trHeight w:hRule="exact" w:val="2814"/>
              </w:trPr>
              <w:tc>
                <w:tcPr>
                  <w:tcW w:type="dxa" w:w="10710"/>
                  <w:tcBorders>
                    <w:start w:sz="6.400000000000006" w:val="single" w:color="#D9ECF2"/>
                    <w:top w:sz="6.400000000000091" w:val="single" w:color="#D9ECF2"/>
                    <w:end w:sz="5.600000000000364" w:val="single" w:color="#D9ECF2"/>
                    <w:bottom w:sz="5.600000000000364" w:val="single" w:color="#D9ECF2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24" w:after="0"/>
                    <w:ind w:left="100" w:right="4032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TEST NAME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is advancing precision oncology research through the analysis of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multiple relevant biomarkers in a single next-generation sequencing (NGS) test.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396" w:after="0"/>
                    <w:ind w:left="100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The Liquidseq Actionable Genomic Profiling assay analyses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34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unique genes (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28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DNA +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6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Fusions driver genes) for single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gene and multiple gene biomarker insights, detects single gene biomarkers from all variant types including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SNVs, indels,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CNVs, known and novel fusions, and splice variants.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Analyze complex multi-gene biomarkers for mutational signatures,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including microsatellite instability (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MSI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) for immunotherapy research.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396" w:after="0"/>
                    <w:ind w:left="100" w:right="115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The performance of the panel was verified using both commercially sourced reference controls and cell-free DNA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(cfTNA)samples.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32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9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Test Methodology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978"/>
        </w:trPr>
        <w:tc>
          <w:tcPr>
            <w:tcW w:type="dxa" w:w="10710"/>
            <w:tcBorders>
              <w:start w:sz="6.400000000000006" w:val="single" w:color="#D9ECF2"/>
              <w:top w:sz="6.399999999999636" w:val="single" w:color="#D9ECF2"/>
              <w:end w:sz="5.600000000000364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6" w:after="0"/>
              <w:ind w:left="98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Extraction &amp; Library Preparation: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Cell free Total Nucleic acid (cfTNA) extracted from the liquid biopsy sample is used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for targeted gene capture using a custom designed hybrid capture panel. In process quality controls were determined for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prepared library.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5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2566"/>
        </w:trPr>
        <w:tc>
          <w:tcPr>
            <w:tcW w:type="dxa" w:w="10710"/>
            <w:tcBorders>
              <w:start w:sz="6.400000000000006" w:val="single" w:color="#D9ECF2"/>
              <w:end w:sz="5.600000000000364" w:val="single" w:color="#D9ECF2"/>
              <w:bottom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4" w:after="0"/>
              <w:ind w:left="100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Sequencing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: The libraries were sequenced at mean depth: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&gt;25,000x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on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Illumina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Novaseq- next generation sequencing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platform.</w:t>
            </w:r>
          </w:p>
          <w:p>
            <w:pPr>
              <w:autoSpaceDN w:val="0"/>
              <w:autoSpaceDE w:val="0"/>
              <w:widowControl/>
              <w:spacing w:line="245" w:lineRule="auto" w:before="260" w:after="0"/>
              <w:ind w:left="98" w:right="288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Data Analysis: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Sequencing data analyzed using a customized and validated bioinformatics pipeline capable of detecting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various classes of genomic alterations, including single nucleotide variants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SNVs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),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Indels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, copy number variations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CNVs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)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fusions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. As part of the streamlined bioinformatics workflow, Multi-gene Biomarkers such as Microsatellite Instability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MSI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) Score is calculated. Reportable genomic alterations and fusions are prioritized, classified, and reported based on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AMP-ASCO-CAP guidelines and NCCN guidelines.</w:t>
            </w:r>
          </w:p>
          <w:p>
            <w:pPr>
              <w:autoSpaceDN w:val="0"/>
              <w:autoSpaceDE w:val="0"/>
              <w:widowControl/>
              <w:spacing w:line="245" w:lineRule="auto" w:before="80" w:after="0"/>
              <w:ind w:left="100" w:right="432" w:hanging="2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Limit of Detection (LOD): The LOD for SNVs and Short InDels is 0.1% Variant allele Frequency (VAF) and for Fusions is 05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supporting reads.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6676"/>
        </w:trPr>
        <w:tc>
          <w:tcPr>
            <w:tcW w:type="dxa" w:w="10710"/>
            <w:tcBorders>
              <w:start w:sz="6.400000000000006" w:val="single" w:color="#D9ECF2"/>
              <w:top w:sz="5.599999999999909" w:val="single" w:color="#D9ECF2"/>
              <w:end w:sz="5.600000000000364" w:val="single" w:color="#D9ECF2"/>
              <w:bottom w:sz="5.600000000000364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6" w:after="0"/>
              <w:ind w:left="98" w:right="72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Treatment decisions should not be based solely on the results of this test. Findings must be interpreted in the context of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patient’s complete clinical profile—including pathological, radiological, and family history—to guide diagnosis,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prognosis, and therapeutic decisions.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98" w:right="576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Therapy-related information in this report is derived from multiple sources including FDA-approved drug data, NCCN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guidelines, peer-reviewed literature, standard clinical databases, and biomarker evidence strength. However, therapy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options listed may not be suitable or beneficial for all patients. This report aims to provide a summary of potentially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effective treatments, therapies that may pose increased risks, and those that may have limited benefit, based on genomic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alterations identified. Prognostic and diagnostic biomarkers relevant to the disease context may also be reported.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98" w:right="1296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Laboratory does not guarantee completeness, accuracy, or eligibility for trial enrollment. Physicians must verify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eligibility criteria for specific trials independently.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98" w:right="432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Identification of a genomic alteration does not guarantee therapeutic efficacy or predict ineffectiveness. Final decisions on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treatment should rest with the treating physician. The absence of reported therapeutic options does not imply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ineffectiveness or lack of safety of any medication selected independently.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98" w:right="864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All variant classifications and related clinical information are based on the latest evidence from peer-reviewed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publications, public clinical databases, and medical guidelines (e.g., NCCN, ASCO, AMP) available at the time of report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generation. However, literature is continuously evolving, and classification may change with emerging evidence.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98" w:right="576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assay is designed and validated for somatic variant detection, it does not differentiate between somatic and germline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variants. If indicated, germline testing and genetic counselling are recommended.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7022"/>
        </w:trPr>
        <w:tc>
          <w:tcPr>
            <w:tcW w:type="dxa" w:w="10604"/>
            <w:tcBorders>
              <w:bottom w:sz="5.600000000000364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604"/>
            </w:tblGrid>
            <w:tr>
              <w:trPr>
                <w:trHeight w:hRule="exact" w:val="280"/>
              </w:trPr>
              <w:tc>
                <w:tcPr>
                  <w:tcW w:type="dxa" w:w="676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Notes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5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3556"/>
        </w:trPr>
        <w:tc>
          <w:tcPr>
            <w:tcW w:type="dxa" w:w="10710"/>
            <w:tcBorders>
              <w:start w:sz="6.400000000000006" w:val="single" w:color="#D9ECF2"/>
              <w:end w:sz="5.600000000000364" w:val="single" w:color="#D9ECF2"/>
              <w:bottom w:sz="6.400000000000091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Poor-quality cfDNA/ Previous or Ongoing therapy may fail QC thresholds at various stages such as cfDNA extraction,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library preparation, or bioinformatics, and may result in assay failure or compromised results, such as low gene coverage</w:t>
            </w:r>
          </w:p>
          <w:p>
            <w:pPr>
              <w:autoSpaceDN w:val="0"/>
              <w:autoSpaceDE w:val="0"/>
              <w:widowControl/>
              <w:spacing w:line="240" w:lineRule="auto" w:before="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or shallow variant depth.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with lower allele frequencies may be reported if they are of strong or potential clinical relevance, or if previously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detected in the same patient. False positives or negatives below assay sensitivity cannot be ruled out.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CNVs/gene amplifications reported, Confirmation using orthogonal methods such as DDPCR is recommended when</w:t>
            </w:r>
          </w:p>
          <w:p>
            <w:pPr>
              <w:autoSpaceDN w:val="0"/>
              <w:autoSpaceDE w:val="0"/>
              <w:widowControl/>
              <w:spacing w:line="240" w:lineRule="auto" w:before="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clinically indicated.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in non-coding regions or deep intronic sequences are not assessed in this assay.</w:t>
            </w:r>
          </w:p>
          <w:p>
            <w:pPr>
              <w:autoSpaceDN w:val="0"/>
              <w:autoSpaceDE w:val="0"/>
              <w:widowControl/>
              <w:spacing w:line="240" w:lineRule="auto" w:before="8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This assay is under the scope of NABL as Liquidseq Actionable Panel.</w:t>
            </w:r>
          </w:p>
        </w:tc>
      </w:tr>
    </w:tbl>
    <w:p>
      <w:pPr>
        <w:autoSpaceDN w:val="0"/>
        <w:autoSpaceDE w:val="0"/>
        <w:widowControl/>
        <w:spacing w:line="2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038"/>
      </w:tblGrid>
      <w:tr>
        <w:trPr>
          <w:trHeight w:hRule="exact" w:val="6086"/>
        </w:trPr>
        <w:tc>
          <w:tcPr>
            <w:tcW w:type="dxa" w:w="11044"/>
            <w:tcBorders>
              <w:bottom w:sz="5.600000000000364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2.0" w:type="dxa"/>
            </w:tblPr>
            <w:tblGrid>
              <w:gridCol w:w="2209"/>
              <w:gridCol w:w="2209"/>
              <w:gridCol w:w="2209"/>
              <w:gridCol w:w="2209"/>
              <w:gridCol w:w="2209"/>
            </w:tblGrid>
            <w:tr>
              <w:trPr>
                <w:trHeight w:hRule="exact" w:val="240"/>
              </w:trPr>
              <w:tc>
                <w:tcPr>
                  <w:tcW w:type="dxa" w:w="10682"/>
                  <w:gridSpan w:val="5"/>
                  <w:tcBorders/>
                  <w:shd w:fill="008080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7.99999999999997" w:type="dxa"/>
                  </w:tblPr>
                  <w:tblGrid>
                    <w:gridCol w:w="10682"/>
                  </w:tblGrid>
                  <w:tr>
                    <w:trPr>
                      <w:trHeight w:hRule="exact" w:val="222"/>
                    </w:trPr>
                    <w:tc>
                      <w:tcPr>
                        <w:tcW w:type="dxa" w:w="1440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DNA Gene List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6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AKT1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ALK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APC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ATM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BRAF</w:t>
                  </w:r>
                </w:p>
              </w:tc>
            </w:tr>
            <w:tr>
              <w:trPr>
                <w:trHeight w:hRule="exact" w:val="255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BRCA2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CTNNB1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EGFR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ERBB2</w:t>
                  </w:r>
                </w:p>
              </w:tc>
            </w:tr>
            <w:tr>
              <w:trPr>
                <w:trHeight w:hRule="exact" w:val="240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ERBB3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ESR1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FOXL2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GNA11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GNAQ</w:t>
                  </w:r>
                </w:p>
              </w:tc>
            </w:tr>
            <w:tr>
              <w:trPr>
                <w:trHeight w:hRule="exact" w:val="240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HRAS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IDH1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IDH2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KIT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KRAS</w:t>
                  </w:r>
                </w:p>
              </w:tc>
            </w:tr>
            <w:tr>
              <w:trPr>
                <w:trHeight w:hRule="exact" w:val="255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NRAS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PDGFRA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PIK3CA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POLE</w:t>
                  </w:r>
                </w:p>
              </w:tc>
            </w:tr>
            <w:tr>
              <w:trPr>
                <w:trHeight w:hRule="exact" w:val="231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2576" w:val="left"/>
                <w:tab w:pos="4718" w:val="left"/>
              </w:tabs>
              <w:autoSpaceDE w:val="0"/>
              <w:widowControl/>
              <w:spacing w:line="240" w:lineRule="auto" w:before="0" w:after="234"/>
              <w:ind w:left="43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RAF1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RET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TP53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0.0" w:type="dxa"/>
            </w:tblPr>
            <w:tblGrid>
              <w:gridCol w:w="2209"/>
              <w:gridCol w:w="2209"/>
              <w:gridCol w:w="2209"/>
              <w:gridCol w:w="2209"/>
              <w:gridCol w:w="2209"/>
            </w:tblGrid>
            <w:tr>
              <w:trPr>
                <w:trHeight w:hRule="exact" w:val="240"/>
              </w:trPr>
              <w:tc>
                <w:tcPr>
                  <w:tcW w:type="dxa" w:w="10686"/>
                  <w:gridSpan w:val="5"/>
                  <w:tcBorders/>
                  <w:shd w:fill="008080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0.0" w:type="dxa"/>
                  </w:tblPr>
                  <w:tblGrid>
                    <w:gridCol w:w="10686"/>
                  </w:tblGrid>
                  <w:tr>
                    <w:trPr>
                      <w:trHeight w:hRule="exact" w:val="224"/>
                    </w:trPr>
                    <w:tc>
                      <w:tcPr>
                        <w:tcW w:type="dxa" w:w="1440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RNA Gene List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4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ALK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NTRK1</w:t>
                  </w:r>
                </w:p>
              </w:tc>
              <w:tc>
                <w:tcPr>
                  <w:tcW w:type="dxa" w:w="2142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NTRK2</w:t>
                  </w:r>
                </w:p>
              </w:tc>
              <w:tc>
                <w:tcPr>
                  <w:tcW w:type="dxa" w:w="212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NTRK3</w:t>
                  </w:r>
                </w:p>
              </w:tc>
            </w:tr>
            <w:tr>
              <w:trPr>
                <w:trHeight w:hRule="exact" w:val="244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204"/>
              <w:ind w:left="43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ROS1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32.0" w:type="dxa"/>
            </w:tblPr>
            <w:tblGrid>
              <w:gridCol w:w="5522"/>
              <w:gridCol w:w="5522"/>
            </w:tblGrid>
            <w:tr>
              <w:trPr>
                <w:trHeight w:hRule="exact" w:val="238"/>
              </w:trPr>
              <w:tc>
                <w:tcPr>
                  <w:tcW w:type="dxa" w:w="4704"/>
                  <w:tcBorders>
                    <w:start w:sz="12.0" w:val="single" w:color="#1F497D"/>
                    <w:top w:sz="12.0" w:val="single" w:color="#1F497D"/>
                    <w:end w:sz="12.0" w:val="single" w:color="#1F497D"/>
                    <w:bottom w:sz="6.399999999999636" w:val="single" w:color="#00808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2.00000000000003" w:type="dxa"/>
                  </w:tblPr>
                  <w:tblGrid>
                    <w:gridCol w:w="2352"/>
                    <w:gridCol w:w="2352"/>
                  </w:tblGrid>
                  <w:tr>
                    <w:trPr>
                      <w:trHeight w:hRule="exact" w:val="244"/>
                    </w:trPr>
                    <w:tc>
                      <w:tcPr>
                        <w:tcW w:type="dxa" w:w="524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MSI</w:t>
                        </w:r>
                      </w:p>
                    </w:tc>
                    <w:tc>
                      <w:tcPr>
                        <w:tcW w:type="dxa" w:w="297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2" w:lineRule="auto" w:before="40" w:after="0"/>
                          <w:ind w:left="0" w:right="1094" w:firstLine="0"/>
                          <w:jc w:val="right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19"/>
                          </w:rPr>
                          <w:t>MSI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5998"/>
                  <w:tcBorders>
                    <w:start w:sz="12.0" w:val="single" w:color="#1F497D"/>
                    <w:top w:sz="12.0" w:val="single" w:color="#1F497D"/>
                    <w:end w:sz="12.0" w:val="single" w:color="#1F497D"/>
                    <w:bottom w:sz="6.399999999999636" w:val="single" w:color="#00808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7.99999999999955" w:type="dxa"/>
                  </w:tblPr>
                  <w:tblGrid>
                    <w:gridCol w:w="2999"/>
                    <w:gridCol w:w="2999"/>
                  </w:tblGrid>
                  <w:tr>
                    <w:trPr>
                      <w:trHeight w:hRule="exact" w:val="244"/>
                    </w:trPr>
                    <w:tc>
                      <w:tcPr>
                        <w:tcW w:type="dxa" w:w="1846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% of Unstable Loci</w:t>
                        </w:r>
                      </w:p>
                    </w:tc>
                    <w:tc>
                      <w:tcPr>
                        <w:tcW w:type="dxa" w:w="294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2" w:lineRule="auto" w:before="40" w:after="0"/>
                          <w:ind w:left="206" w:right="0" w:firstLine="0"/>
                          <w:jc w:val="left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19"/>
                          </w:rPr>
                          <w:t>% of Unstable Loci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43"/>
              </w:trPr>
              <w:tc>
                <w:tcPr>
                  <w:tcW w:type="dxa" w:w="4704"/>
                  <w:tcBorders>
                    <w:top w:sz="6.399999999999636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Stable</w:t>
                  </w:r>
                </w:p>
              </w:tc>
              <w:tc>
                <w:tcPr>
                  <w:tcW w:type="dxa" w:w="5998"/>
                  <w:tcBorders>
                    <w:top w:sz="6.399999999999636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0-19%</w:t>
                  </w:r>
                </w:p>
              </w:tc>
            </w:tr>
            <w:tr>
              <w:trPr>
                <w:trHeight w:hRule="exact" w:val="248"/>
              </w:trPr>
              <w:tc>
                <w:tcPr>
                  <w:tcW w:type="dxa" w:w="470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Low / Intermediate</w:t>
                  </w:r>
                </w:p>
              </w:tc>
              <w:tc>
                <w:tcPr>
                  <w:tcW w:type="dxa" w:w="599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20-30%</w:t>
                  </w:r>
                </w:p>
              </w:tc>
            </w:tr>
            <w:tr>
              <w:trPr>
                <w:trHeight w:hRule="exact" w:val="235"/>
              </w:trPr>
              <w:tc>
                <w:tcPr>
                  <w:tcW w:type="dxa" w:w="4704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998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5142" w:val="left"/>
              </w:tabs>
              <w:autoSpaceDE w:val="0"/>
              <w:widowControl/>
              <w:spacing w:line="240" w:lineRule="auto" w:before="0" w:after="0"/>
              <w:ind w:left="43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MSI - High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&gt;30%</w:t>
            </w:r>
          </w:p>
          <w:p>
            <w:pPr>
              <w:autoSpaceDN w:val="0"/>
              <w:tabs>
                <w:tab w:pos="1066" w:val="left"/>
                <w:tab w:pos="2376" w:val="left"/>
                <w:tab w:pos="5948" w:val="left"/>
              </w:tabs>
              <w:autoSpaceDE w:val="0"/>
              <w:widowControl/>
              <w:spacing w:line="286" w:lineRule="auto" w:before="290" w:after="0"/>
              <w:ind w:left="52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Tier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Interpretation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Interpretation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36.0" w:type="dxa"/>
            </w:tblPr>
            <w:tblGrid>
              <w:gridCol w:w="5522"/>
              <w:gridCol w:w="5522"/>
            </w:tblGrid>
            <w:tr>
              <w:trPr>
                <w:trHeight w:hRule="exact" w:val="948"/>
              </w:trPr>
              <w:tc>
                <w:tcPr>
                  <w:tcW w:type="dxa" w:w="1848"/>
                  <w:tcBorders>
                    <w:start w:sz="6.400000000000006" w:val="single" w:color="#008080"/>
                    <w:end w:sz="6.399999999999977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78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IA</w:t>
                  </w:r>
                </w:p>
              </w:tc>
              <w:tc>
                <w:tcPr>
                  <w:tcW w:type="dxa" w:w="8846"/>
                  <w:tcBorders>
                    <w:start w:sz="6.399999999999977" w:val="single" w:color="#008080"/>
                    <w:end w:sz="5.600000000000364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78" w:after="0"/>
                    <w:ind w:left="94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Variants of Strong Clinical Significance: Biomarkers that predict response or resistance to US FDA-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approved therapies for a specific type of tumor or have been included in professional guidelines as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therapeutic, diagnostic, and/or prognostic biomarkers for specific types of tumors.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184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74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IB</w:t>
                  </w:r>
                </w:p>
              </w:tc>
              <w:tc>
                <w:tcPr>
                  <w:tcW w:type="dxa" w:w="88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0" w:after="0"/>
                    <w:ind w:left="102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Strong Clinical Significance: Biomarkers that predict response or resistance to a therapy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based on well-powered studies with consensus from experts in the field, or have diagnostic and/or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2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52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710"/>
            </w:tblGrid>
            <w:tr>
              <w:trPr>
                <w:trHeight w:hRule="exact" w:val="506"/>
              </w:trPr>
              <w:tc>
                <w:tcPr>
                  <w:tcW w:type="dxa" w:w="1071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104" w:after="0"/>
                    <w:ind w:left="192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prognostic significance of certain diseases based on well-powered studies with expert consensus.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prognostic significance of certain diseases based on well-powered studies with expert consensus.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294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.0" w:type="dxa"/>
            </w:tblPr>
            <w:tblGrid>
              <w:gridCol w:w="5355"/>
              <w:gridCol w:w="5355"/>
            </w:tblGrid>
            <w:tr>
              <w:trPr>
                <w:trHeight w:hRule="exact" w:val="1184"/>
              </w:trPr>
              <w:tc>
                <w:tcPr>
                  <w:tcW w:type="dxa" w:w="1842"/>
                  <w:tcBorders>
                    <w:start w:sz="6.400000000000006" w:val="single" w:color="#008080"/>
                    <w:top w:sz="6.400000000000091" w:val="single" w:color="#008080"/>
                    <w:end w:sz="6.399999999999977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IIC</w:t>
                  </w:r>
                </w:p>
              </w:tc>
              <w:tc>
                <w:tcPr>
                  <w:tcW w:type="dxa" w:w="8848"/>
                  <w:tcBorders>
                    <w:start w:sz="6.399999999999977" w:val="single" w:color="#008080"/>
                    <w:top w:sz="6.400000000000091" w:val="single" w:color="#008080"/>
                    <w:end w:sz="5.600000000000364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50" w:after="0"/>
                    <w:ind w:left="98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Potential Clinical Significance: biomarkers that predict response or resistance to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therapies approved by FDA or professional societies for a different tumor type (i.e., off-label use of a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drug), serve as inclusion criteria for clinical trials, or have diagnostic and/or prognostic significance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based on the results of multiple small studies.</w:t>
                  </w:r>
                </w:p>
              </w:tc>
            </w:tr>
            <w:tr>
              <w:trPr>
                <w:trHeight w:hRule="exact" w:val="941"/>
              </w:trPr>
              <w:tc>
                <w:tcPr>
                  <w:tcW w:type="dxa" w:w="1842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8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IID</w:t>
                  </w:r>
                </w:p>
              </w:tc>
              <w:tc>
                <w:tcPr>
                  <w:tcW w:type="dxa" w:w="884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58" w:after="0"/>
                    <w:ind w:left="106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Potential Clinical Significance: Biomarkers that show plausible therapeutic significance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based on preclinical studies or may assist disease diagnosis and/or prognosis themselves or along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with other biomarkers based on small studies or multiple case reports with no consensus.</w:t>
                  </w:r>
                </w:p>
              </w:tc>
            </w:tr>
            <w:tr>
              <w:trPr>
                <w:trHeight w:hRule="exact" w:val="698"/>
              </w:trPr>
              <w:tc>
                <w:tcPr>
                  <w:tcW w:type="dxa" w:w="1842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4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III</w:t>
                  </w:r>
                </w:p>
              </w:tc>
              <w:tc>
                <w:tcPr>
                  <w:tcW w:type="dxa" w:w="8848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64" w:after="0"/>
                    <w:ind w:left="106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Unknown clinical significance (VUS): Not observed at a significant allele frequency in the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general or specific subpopulation or pancancer or tumor specific variant databases. No convincing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0"/>
              <w:ind w:left="195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published evidence of cancer Association</w:t>
            </w:r>
          </w:p>
        </w:tc>
      </w:tr>
    </w:tbl>
    <w:p>
      <w:pPr>
        <w:autoSpaceDN w:val="0"/>
        <w:autoSpaceDE w:val="0"/>
        <w:widowControl/>
        <w:spacing w:line="240" w:lineRule="auto" w:before="186" w:after="0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0"/>
        </w:rPr>
        <w:t>References: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1.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 xml:space="preserve">O&amp;#x27;Leary et al. Reference sequence (RefSeq) database at NCBI: current status, taxonomic expansion, and functional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annotation. Nucleic Acids Res. 2016 Jan 4;44(D1):D733-45. PMID: 26553804</w:t>
      </w:r>
    </w:p>
    <w:p>
      <w:pPr>
        <w:autoSpaceDN w:val="0"/>
        <w:autoSpaceDE w:val="0"/>
        <w:widowControl/>
        <w:spacing w:line="240" w:lineRule="auto" w:before="112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Nag et al. The MDM2-p53 pathway revisited. J Biomed Res. 2013 Jul;27(4):254-71. PMID: 23885265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Muller et al. Mutant p53 in cancer: new functions and therapeutic opportunities. Cancer Cell. 2014 Mar 17;25(3):304-17.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PMID: 24651012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Olivier et al. TP53 mutations in human cancers: origins, consequences, and clinical use. Cold Spring Harb Perspect Biol. 2010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Jan;2(1):a001008. PMID: 20182602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2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Guha et al. Inherited TP53 Mutations and the Li-Fraumeni Syndrome. Cold Spring Harb Perspect Med. 2017 Apr 3;7(4). PMID: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28270529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Cerami et al. The cBio cancer genomics portal: an open platform for exploring multidimensional cancer genomics data. Cancer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Discov. 2012 May;2(5):401-4. PMID: 22588877</w:t>
      </w:r>
    </w:p>
    <w:p>
      <w:pPr>
        <w:autoSpaceDN w:val="0"/>
        <w:autoSpaceDE w:val="0"/>
        <w:widowControl/>
        <w:spacing w:line="240" w:lineRule="auto" w:before="126" w:after="0"/>
        <w:ind w:left="0" w:right="0" w:firstLine="0"/>
        <w:jc w:val="center"/>
      </w:pPr>
      <w:r>
        <w:rPr>
          <w:rFonts w:ascii="Cambria" w:hAnsi="Cambria" w:eastAsia="Cambria"/>
          <w:b w:val="0"/>
          <w:i/>
          <w:color w:val="000000"/>
          <w:sz w:val="20"/>
        </w:rPr>
        <w:t>Weinstein et al. The Cancer Genome Atlas Pan-Cancer analysis project. Nat. Genet. 2013 Oct;45(10):1113-20. PMID: 24071849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2" w:after="0"/>
        <w:ind w:left="716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Peter et al. Comprehensive genomic characterization of squamous cell lung cancers. Nature. 2012 Sep 27;489(7417):519-25.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PMID: 22960745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Cancer Genome Atlas Network. Comprehensive genomic characterization of head and neck squamous cell carcinomas. Nature.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2015 Jan 29;517(7536):576-82. PMID: 25631445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Campbell et al. Distinct patterns of somatic genome alterations in lung adenocarcinomas and squamous cell carcinomas. Nat.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Genet. 2016 Jun;48(6):607-16. PMID: 27158780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2826" w:after="0"/>
        <w:ind w:left="716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Cancer Genome Atlas Research Network. Integrated genomic characterization of oesophageal carcinoma. Nature. 2017 Jan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12;541(7636):169-175. doi: 10.1038/nature20805. Epub 2017 Jan 4. PMID: 28052061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296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Olivier et al. The IARC TP53 database: new online mutation analysis and recommendations to users. Hum. Mutat. 2002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Jun;19(6):607-14. PMID: 12007217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2" w:after="0"/>
        <w:ind w:left="714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Rivlin et al. Mutations in the p53 Tumor Suppressor Gene: Important Milestones at the Various Steps of Tumorigenesis. Genes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Cancer. 2011 Apr;2(4):466-74. PMID: 21779514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6" w:right="144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Petitjean et al. TP53 mutations in human cancers: functional selection and impact on cancer prognosis and outcomes.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Oncogene. 2007 Apr 2;26(15):2157-65. PMID: 17401424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26" w:after="0"/>
        <w:ind w:left="714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Soussi et al. Recommendations for analyzing and reporting TP53 gene variants in the high-throughput sequencing era. Hum.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Mutat. 2014 Jun;35(6):766-78. PMID: 24729566</w:t>
      </w:r>
    </w:p>
    <w:p>
      <w:pPr>
        <w:autoSpaceDN w:val="0"/>
        <w:autoSpaceDE w:val="0"/>
        <w:widowControl/>
        <w:spacing w:line="264" w:lineRule="auto" w:before="112" w:after="0"/>
        <w:ind w:left="1074" w:right="1440" w:hanging="36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https://www.globenewswire.com/news-release/2020/10/13/2107498/0/en/PMV-Pharma-Granted-FDA-Fast-Track-</w:t>
      </w:r>
      <w:r>
        <w:rPr>
          <w:rFonts w:ascii="Cambria" w:hAnsi="Cambria" w:eastAsia="Cambria"/>
          <w:b w:val="0"/>
          <w:i/>
          <w:color w:val="000000"/>
          <w:sz w:val="20"/>
        </w:rPr>
        <w:t>Designation-of-PC14586-for-the-Treatment-of-Advanced-Cancer-Patients-that-have-Tumors-with-a-p53-Y220C-</w:t>
      </w:r>
      <w:r>
        <w:rPr>
          <w:rFonts w:ascii="Cambria" w:hAnsi="Cambria" w:eastAsia="Cambria"/>
          <w:b w:val="0"/>
          <w:i/>
          <w:color w:val="000000"/>
          <w:sz w:val="20"/>
        </w:rPr>
        <w:t>Mutation.html</w:t>
      </w:r>
    </w:p>
    <w:p>
      <w:pPr>
        <w:autoSpaceDN w:val="0"/>
        <w:autoSpaceDE w:val="0"/>
        <w:widowControl/>
        <w:spacing w:line="240" w:lineRule="auto" w:before="110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https://ir.aprea.com//news-releases/news-release-details/aprea-therapeutics-receives-fda-fast-track-designation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26" w:after="56"/>
        <w:ind w:left="714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http://vp280.alertir.com/en/pressreleases/karolinska-development%27s-portfolio-company-aprea-therapeutics-receives-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fda-breakthrough-therapy-designation-1769167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rHeight w:hRule="exact" w:val="308"/>
        </w:trPr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6" w:firstLine="0"/>
              <w:jc w:val="righ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Parrales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et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al.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Targeting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Oncogenic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Mutant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p53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for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Cancer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Therapy.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Front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Oncol.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2015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Dec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21;5:288.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doi:</w:t>
            </w:r>
          </w:p>
        </w:tc>
      </w:tr>
    </w:tbl>
    <w:p>
      <w:pPr>
        <w:autoSpaceDN w:val="0"/>
        <w:autoSpaceDE w:val="0"/>
        <w:widowControl/>
        <w:spacing w:line="240" w:lineRule="auto" w:before="18" w:after="0"/>
        <w:ind w:left="107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10.3389/fonc.2015.00288. eCollection 2015. PMID: 26732534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Zhao et al. Molecularly targeted therapies for p53-mutant cancers. Cell. Mol. Life Sci. 2017 Nov;74(22):4171-4187. PMID: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28643165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2" w:after="0"/>
        <w:ind w:left="714" w:right="144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Louis et al. The 2021 WHO Classification of Tumors of the Central Nervous System: a summary. Neuro Oncol. 2021 Aug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2;23(8):1231-1251. PMID: 34185076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NCCN-Acute Myeloid Leukemia [Version 2.2025]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Döhner et al. Diagnosis and management of AML in adults: 2022 recommendations from an international expert panel on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behalf of the ELN. Blood. 2022 Sep 22;140(12):1345-1377. PMID: 35797463</w:t>
      </w:r>
    </w:p>
    <w:p>
      <w:pPr>
        <w:autoSpaceDN w:val="0"/>
        <w:autoSpaceDE w:val="0"/>
        <w:widowControl/>
        <w:spacing w:line="240" w:lineRule="auto" w:before="112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NCCN-Myelodysplastic Syndromes [Version 2.2025]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NCCN-Myeloproliferative Neoplasms [Version 1.2025]</w:t>
      </w:r>
    </w:p>
    <w:p>
      <w:pPr>
        <w:autoSpaceDN w:val="0"/>
        <w:autoSpaceDE w:val="0"/>
        <w:widowControl/>
        <w:spacing w:line="240" w:lineRule="auto" w:before="110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NCCN-Chronic Lymphocytic Leukemia/Small Lymphocytic Lymphoma [Version 3.2025]</w:t>
      </w:r>
    </w:p>
    <w:p>
      <w:pPr>
        <w:autoSpaceDN w:val="0"/>
        <w:autoSpaceDE w:val="0"/>
        <w:widowControl/>
        <w:spacing w:line="240" w:lineRule="auto" w:before="112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NCCN-Acute Lymphoblastic Leukemia [Version 3.2024]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NCCN-B-Cell Lymphomas [Version 2.2025]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826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Bernard et al. Implications of TP53 allelic state for genome stability, clinical presentation and outcomes in myelodysplastic</w:t>
      </w:r>
    </w:p>
    <w:p>
      <w:pPr>
        <w:autoSpaceDN w:val="0"/>
        <w:autoSpaceDE w:val="0"/>
        <w:widowControl/>
        <w:spacing w:line="240" w:lineRule="auto" w:before="36" w:after="0"/>
        <w:ind w:left="107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syndromes. Nat. Med. 2020 Aug 3. PMID: 32747829</w:t>
      </w:r>
    </w:p>
    <w:p>
      <w:pPr>
        <w:autoSpaceDN w:val="0"/>
        <w:autoSpaceDE w:val="0"/>
        <w:widowControl/>
        <w:spacing w:line="240" w:lineRule="auto" w:before="576" w:after="0"/>
        <w:ind w:left="0" w:right="0" w:firstLine="0"/>
        <w:jc w:val="center"/>
      </w:pPr>
      <w:r>
        <w:rPr>
          <w:rFonts w:ascii="Cambria" w:hAnsi="Cambria" w:eastAsia="Cambria"/>
          <w:b w:val="0"/>
          <w:i w:val="0"/>
          <w:color w:val="000000"/>
          <w:sz w:val="20"/>
        </w:rPr>
        <w:t>------------------ End Of Report ------------------</w:t>
      </w:r>
    </w:p>
    <w:sectPr w:rsidR="00FC693F" w:rsidRPr="0006063C" w:rsidSect="00034616">
      <w:pgSz w:w="11918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43000" cy="11178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r_vinay_signat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1117848"/>
                  </a:xfrm>
                  <a:prstGeom prst="rect"/>
                </pic:spPr>
              </pic:pic>
            </a:graphicData>
          </a:graphic>
        </wp:inline>
      </w:drawing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43000" cy="11178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r_vinay_signat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1117848"/>
                  </a:xfrm>
                  <a:prstGeom prst="rect"/>
                </pic:spPr>
              </pic:pic>
            </a:graphicData>
          </a:graphic>
        </wp:inline>
      </w:drawing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43000" cy="11178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r_vinay_signat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111784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