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2600132470</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EDTA PERIPHERAL BLOOD</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MR. BIRENDRA KR TRIPATHI (KOL2604200324)</w:t>
            </w:r>
          </w:p>
        </w:tc>
        <w:tc>
          <w:tcPr>
            <w:tcW w:type="dxa" w:w="1440"/>
            <w:tcMar>
              <w:top w:w="20" w:type="dxa"/>
              <w:bottom w:w="20" w:type="dxa"/>
              <w:start w:w="40" w:type="dxa"/>
              <w:end w:w="40" w:type="dxa"/>
            </w:tcMar>
          </w:tcPr>
          <w:p>
            <w:r>
              <w:rPr>
                <w:rFonts w:ascii="Cambria" w:hAnsi="Cambria"/>
                <w:b/>
                <w:color w:val="1F497D"/>
                <w:sz w:val="20"/>
              </w:rPr>
              <w:t>Date &amp; Time Collected</w:t>
            </w:r>
          </w:p>
        </w:tc>
        <w:tc>
          <w:tcPr>
            <w:tcW w:type="dxa" w:w="3168"/>
            <w:tcMar>
              <w:top w:w="20" w:type="dxa"/>
              <w:bottom w:w="20" w:type="dxa"/>
              <w:start w:w="40" w:type="dxa"/>
              <w:end w:w="40" w:type="dxa"/>
            </w:tcMar>
          </w:tcPr>
          <w:p>
            <w:r>
              <w:rPr>
                <w:rFonts w:ascii="Cambria" w:hAnsi="Cambria"/>
                <w:color w:val="000000"/>
                <w:sz w:val="20"/>
              </w:rPr>
              <w:t>20-Apr-2026 06:44 AM</w:t>
            </w:r>
          </w:p>
        </w:tc>
      </w:tr>
      <w:tr>
        <w:trPr>
          <w:cantSplit w:val="true"/>
        </w:trPr>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Male/49 Years</w:t>
            </w:r>
          </w:p>
        </w:tc>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22-Apr-2026 01:03 PM</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20-May-2026 06:11 AM</w:t>
            </w:r>
          </w:p>
        </w:tc>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keepNext/>
        <w:spacing w:before="78" w:after="80"/>
        <w:jc w:val="center"/>
      </w:pPr>
      <w:r>
        <w:rPr>
          <w:rFonts w:ascii="Cambria" w:hAnsi="Cambria"/>
          <w:b/>
          <w:i w:val="0"/>
          <w:color w:val="008080"/>
          <w:sz w:val="28"/>
        </w:rPr>
        <w:t>TEST NAME</w:t>
      </w:r>
    </w:p>
    <w:p>
      <w:pPr>
        <w:spacing w:before="292" w:after="80" w:line="276" w:lineRule="auto"/>
        <w:jc w:val="left"/>
      </w:pPr>
      <w:r>
        <w:rPr>
          <w:rFonts w:ascii="Cambria" w:hAnsi="Cambria"/>
          <w:color w:val="000000"/>
          <w:sz w:val="20"/>
        </w:rPr>
        <w:t>Clinical Indication:</w:t>
      </w:r>
    </w:p>
    <w:p>
      <w:pPr>
        <w:spacing w:before="73" w:after="80" w:line="276" w:lineRule="auto"/>
        <w:jc w:val="left"/>
      </w:pPr>
      <w:r>
        <w:rPr>
          <w:rFonts w:ascii="Cambria" w:hAnsi="Cambria"/>
          <w:color w:val="000000"/>
          <w:sz w:val="20"/>
        </w:rPr>
        <w:t>Birendra Tripathi diagnosed case of adenocarcinoma of ascending colon with brain lesion.</w:t>
      </w:r>
    </w:p>
    <w:p>
      <w:pPr>
        <w:spacing w:before="360" w:after="80" w:line="276" w:lineRule="auto"/>
        <w:jc w:val="left"/>
      </w:pPr>
      <w:r>
        <w:rPr>
          <w:rFonts w:ascii="Cambria" w:hAnsi="Cambria"/>
          <w:color w:val="000000"/>
          <w:sz w:val="20"/>
        </w:rPr>
        <w:t>Sample Description: Sample quality is optimum for the test.</w:t>
      </w:r>
    </w:p>
    <w:p>
      <w:pPr>
        <w:keepNext/>
        <w:shd w:val="clear" w:color="auto" w:fill="C00000"/>
        <w:spacing w:before="160" w:after="160"/>
        <w:jc w:val="center"/>
      </w:pPr>
      <w:r>
        <w:rPr>
          <w:rFonts w:ascii="Cambria" w:hAnsi="Cambria"/>
          <w:b/>
          <w:color w:val="FFFFFF"/>
          <w:sz w:val="26"/>
        </w:rPr>
        <w:t>Pathogenic deletion identified in relation to phenotype</w:t>
      </w:r>
    </w:p>
    <w:p>
      <w:pPr>
        <w:keepNext/>
        <w:spacing w:before="360" w:after="60"/>
        <w:jc w:val="left"/>
      </w:pPr>
      <w:r>
        <w:rPr>
          <w:rFonts w:ascii="Cambria" w:hAnsi="Cambria"/>
          <w:b/>
          <w:i w:val="0"/>
          <w:color w:val="008080"/>
          <w:sz w:val="20"/>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44"/>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2147"/>
            <w:shd w:val="clear" w:color="auto" w:fill="008080"/>
            <w:tcMar>
              <w:top w:w="60" w:type="dxa"/>
              <w:bottom w:w="60" w:type="dxa"/>
              <w:start w:w="80" w:type="dxa"/>
              <w:end w:w="80" w:type="dxa"/>
            </w:tcMar>
          </w:tcPr>
          <w:p>
            <w:pPr>
              <w:jc w:val="center"/>
            </w:pPr>
            <w:r>
              <w:rPr>
                <w:rFonts w:ascii="Cambria" w:hAnsi="Cambria"/>
                <w:b/>
                <w:color w:val="FFFFFF"/>
                <w:sz w:val="20"/>
              </w:rPr>
              <w:t>Location</w:t>
            </w:r>
          </w:p>
        </w:tc>
        <w:tc>
          <w:tcPr>
            <w:tcW w:type="dxa" w:w="1691"/>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867"/>
            <w:shd w:val="clear" w:color="auto" w:fill="008080"/>
            <w:tcMar>
              <w:top w:w="60" w:type="dxa"/>
              <w:bottom w:w="60" w:type="dxa"/>
              <w:start w:w="80" w:type="dxa"/>
              <w:end w:w="80" w:type="dxa"/>
            </w:tcMar>
          </w:tcPr>
          <w:p>
            <w:pPr>
              <w:jc w:val="center"/>
            </w:pPr>
            <w:r>
              <w:rPr>
                <w:rFonts w:ascii="Cambria" w:hAnsi="Cambria"/>
                <w:b/>
                <w:color w:val="FFFFFF"/>
                <w:sz w:val="20"/>
              </w:rPr>
              <w:t>Zygosity/</w:t>
              <w:br/>
              <w:t>Inheritance</w:t>
            </w:r>
          </w:p>
        </w:tc>
        <w:tc>
          <w:tcPr>
            <w:tcW w:type="dxa" w:w="1496"/>
            <w:shd w:val="clear" w:color="auto" w:fill="008080"/>
            <w:tcMar>
              <w:top w:w="60" w:type="dxa"/>
              <w:bottom w:w="60" w:type="dxa"/>
              <w:start w:w="80" w:type="dxa"/>
              <w:end w:w="80" w:type="dxa"/>
            </w:tcMar>
          </w:tcPr>
          <w:p>
            <w:pPr>
              <w:jc w:val="center"/>
            </w:pPr>
            <w:r>
              <w:rPr>
                <w:rFonts w:ascii="Cambria" w:hAnsi="Cambria"/>
                <w:b/>
                <w:color w:val="FFFFFF"/>
                <w:sz w:val="20"/>
              </w:rPr>
              <w:t>Phenotype</w:t>
            </w:r>
          </w:p>
        </w:tc>
        <w:tc>
          <w:tcPr>
            <w:tcW w:type="dxa" w:w="1620"/>
            <w:shd w:val="clear" w:color="auto" w:fill="008080"/>
            <w:tcMar>
              <w:top w:w="60" w:type="dxa"/>
              <w:bottom w:w="60" w:type="dxa"/>
              <w:start w:w="80" w:type="dxa"/>
              <w:end w:w="80" w:type="dxa"/>
            </w:tcMar>
          </w:tcPr>
          <w:p>
            <w:pPr>
              <w:jc w:val="center"/>
            </w:pPr>
            <w:r>
              <w:rPr>
                <w:rFonts w:ascii="Cambria" w:hAnsi="Cambria"/>
                <w:b/>
                <w:color w:val="FFFFFF"/>
                <w:sz w:val="20"/>
              </w:rPr>
              <w:t>Clinical</w:t>
              <w:br/>
              <w:t>Significance</w:t>
            </w:r>
          </w:p>
        </w:tc>
      </w:tr>
      <w:tr>
        <w:trPr>
          <w:cantSplit w:val="true"/>
        </w:trPr>
        <w:tc>
          <w:tcPr>
            <w:tcW w:type="dxa" w:w="1644"/>
            <w:shd w:val="clear" w:color="auto" w:fill="daedf3"/>
            <w:tcMar>
              <w:top w:w="60" w:type="dxa"/>
              <w:bottom w:w="60" w:type="dxa"/>
              <w:start w:w="80" w:type="dxa"/>
              <w:end w:w="80" w:type="dxa"/>
            </w:tcMar>
          </w:tcPr>
          <w:p>
            <w:pPr>
              <w:jc w:val="left"/>
            </w:pPr>
            <w:r>
              <w:rPr>
                <w:rFonts w:ascii="Cambria" w:hAnsi="Cambria"/>
                <w:b/>
                <w:i/>
                <w:color w:val="242729"/>
                <w:sz w:val="20"/>
              </w:rPr>
              <w:t>MSH2 (+)</w:t>
              <w:br/>
              <w:t>NM 000251.3</w:t>
              <w:br/>
              <w:t>_</w:t>
            </w:r>
          </w:p>
        </w:tc>
        <w:tc>
          <w:tcPr>
            <w:tcW w:type="dxa" w:w="2147"/>
            <w:shd w:val="clear" w:color="auto" w:fill="daedf3"/>
            <w:tcMar>
              <w:top w:w="60" w:type="dxa"/>
              <w:bottom w:w="60" w:type="dxa"/>
              <w:start w:w="80" w:type="dxa"/>
              <w:end w:w="80" w:type="dxa"/>
            </w:tcMar>
          </w:tcPr>
          <w:p>
            <w:pPr>
              <w:jc w:val="left"/>
            </w:pPr>
            <w:r>
              <w:rPr>
                <w:rFonts w:ascii="Cambria" w:hAnsi="Cambria"/>
                <w:b w:val="0"/>
                <w:i w:val="0"/>
                <w:color w:val="000000"/>
                <w:sz w:val="20"/>
              </w:rPr>
              <w:t>2p21</w:t>
              <w:br/>
              <w:t>(? 47,410,089-</w:t>
              <w:br/>
              <w:t>_</w:t>
              <w:br/>
              <w:t>47,416,441 ?)</w:t>
              <w:br/>
              <w:t>_</w:t>
              <w:br/>
              <w:t>Exon 3-6</w:t>
            </w:r>
          </w:p>
        </w:tc>
        <w:tc>
          <w:tcPr>
            <w:tcW w:type="dxa" w:w="1691"/>
            <w:shd w:val="clear" w:color="auto" w:fill="daedf3"/>
            <w:tcMar>
              <w:top w:w="60" w:type="dxa"/>
              <w:bottom w:w="60" w:type="dxa"/>
              <w:start w:w="80" w:type="dxa"/>
              <w:end w:w="80" w:type="dxa"/>
            </w:tcMar>
          </w:tcPr>
          <w:p>
            <w:pPr>
              <w:jc w:val="left"/>
            </w:pPr>
            <w:r>
              <w:rPr>
                <w:rFonts w:ascii="Cambria" w:hAnsi="Cambria"/>
                <w:b w:val="0"/>
                <w:i w:val="0"/>
                <w:color w:val="000000"/>
                <w:sz w:val="20"/>
              </w:rPr>
              <w:t>c.367-? c.1076+?</w:t>
              <w:br/>
              <w:t>_</w:t>
              <w:br/>
              <w:t>6.4kb</w:t>
            </w:r>
          </w:p>
        </w:tc>
        <w:tc>
          <w:tcPr>
            <w:tcW w:type="dxa" w:w="1867"/>
            <w:shd w:val="clear" w:color="auto" w:fill="daedf3"/>
            <w:tcMar>
              <w:top w:w="60" w:type="dxa"/>
              <w:bottom w:w="60" w:type="dxa"/>
              <w:start w:w="80" w:type="dxa"/>
              <w:end w:w="80" w:type="dxa"/>
            </w:tcMar>
          </w:tcPr>
          <w:p>
            <w:pPr>
              <w:jc w:val="left"/>
            </w:pPr>
            <w:r>
              <w:rPr>
                <w:rFonts w:ascii="Cambria" w:hAnsi="Cambria"/>
                <w:b w:val="0"/>
                <w:i w:val="0"/>
                <w:color w:val="000000"/>
                <w:sz w:val="20"/>
              </w:rPr>
              <w:t>Heterozygous</w:t>
              <w:br/>
              <w:t>/Autosomal</w:t>
              <w:br/>
              <w:t>Dominant</w:t>
            </w:r>
          </w:p>
        </w:tc>
        <w:tc>
          <w:tcPr>
            <w:tcW w:type="dxa" w:w="1496"/>
            <w:shd w:val="clear" w:color="auto" w:fill="daedf3"/>
            <w:tcMar>
              <w:top w:w="60" w:type="dxa"/>
              <w:bottom w:w="60" w:type="dxa"/>
              <w:start w:w="80" w:type="dxa"/>
              <w:end w:w="80" w:type="dxa"/>
            </w:tcMar>
          </w:tcPr>
          <w:p>
            <w:pPr>
              <w:jc w:val="left"/>
            </w:pPr>
            <w:r>
              <w:rPr>
                <w:rFonts w:ascii="Cambria" w:hAnsi="Cambria"/>
                <w:b w:val="0"/>
                <w:i w:val="0"/>
                <w:color w:val="000000"/>
                <w:sz w:val="20"/>
              </w:rPr>
              <w:t>Lynch syndrome 1</w:t>
            </w:r>
          </w:p>
        </w:tc>
        <w:tc>
          <w:tcPr>
            <w:tcW w:type="dxa" w:w="1620"/>
            <w:shd w:val="clear" w:color="auto" w:fill="daedf3"/>
            <w:tcMar>
              <w:top w:w="60" w:type="dxa"/>
              <w:bottom w:w="60" w:type="dxa"/>
              <w:start w:w="80" w:type="dxa"/>
              <w:end w:w="80" w:type="dxa"/>
            </w:tcMar>
          </w:tcPr>
          <w:p>
            <w:pPr>
              <w:jc w:val="right"/>
            </w:pPr>
            <w:r>
              <w:rPr>
                <w:rFonts w:ascii="Cambria" w:hAnsi="Cambria"/>
                <w:b w:val="0"/>
                <w:i w:val="0"/>
                <w:color w:val="FF0000"/>
                <w:sz w:val="20"/>
              </w:rPr>
              <w:t>Pathogenic</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American College of Medical Genetics</w:t>
      </w:r>
    </w:p>
    <w:p>
      <w:pPr>
        <w:spacing w:before="235" w:after="80" w:line="276" w:lineRule="auto"/>
        <w:jc w:val="left"/>
      </w:pPr>
      <w:r>
        <w:rPr>
          <w:rFonts w:ascii="Cambria" w:hAnsi="Cambria"/>
          <w:color w:val="000000"/>
          <w:sz w:val="20"/>
        </w:rPr>
        <w:t>Variant Interpretation &amp; Clinical correlation:</w:t>
      </w:r>
    </w:p>
    <w:p>
      <w:pPr>
        <w:spacing w:before="0" w:after="29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MSH2</w:t>
            </w:r>
          </w:p>
        </w:tc>
        <w:tc>
          <w:tcPr>
            <w:tcW w:type="dxa" w:w="3168"/>
            <w:tcMar>
              <w:top w:w="20" w:type="dxa"/>
              <w:bottom w:w="20" w:type="dxa"/>
              <w:start w:w="40" w:type="dxa"/>
              <w:end w:w="40" w:type="dxa"/>
            </w:tcMar>
          </w:tcPr>
          <w:p>
            <w:r>
              <w:rPr>
                <w:rFonts w:ascii="Cambria" w:hAnsi="Cambria"/>
                <w:color w:val="000000"/>
                <w:sz w:val="20"/>
              </w:rPr>
              <w:t>Deletion Exon 3-6;</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49" w:after="80" w:line="276" w:lineRule="auto"/>
        <w:jc w:val="left"/>
      </w:pPr>
      <w:r>
        <w:rPr>
          <w:rFonts w:ascii="Cambria" w:hAnsi="Cambria"/>
          <w:color w:val="0D0D0D"/>
          <w:sz w:val="20"/>
        </w:rPr>
        <w:t>Based on above evidence, this variant (MSH2:Deletion Exon 3-6) is classified as  Pathogenic  variant.</w:t>
      </w:r>
    </w:p>
    <w:p>
      <w:pPr>
        <w:spacing w:before="240" w:after="80" w:line="276" w:lineRule="auto"/>
        <w:jc w:val="left"/>
      </w:pPr>
      <w:r>
        <w:rPr>
          <w:rFonts w:ascii="Cambria" w:hAnsi="Cambria"/>
          <w:color w:val="000000"/>
          <w:sz w:val="20"/>
        </w:rPr>
        <w:t>MSH2 Gene Phenotype Description : Lynch syndrome-1 (LYNCH1), also known as hereditary nonpolyposis colorectal cancer (HNPCC1), is caused by heterozygous mutation in the mismatch repair gene MSH2 (609309) on chromosome 2p21-p16. Lynch syndrome (LYNCH), also called hereditary nonpolyposis colorectal cancer, is defined as an autosomal dominant predisposition to a spectrum of cancers, primarily of the colorectum and endometrium, which exhibit impaired DNA mismatch repair (MMR) activity (summary by Lynch et al., 2015).</w:t>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29"/>
          <w:headerReference w:type="even" r:id="rId30"/>
          <w:footerReference w:type="first" r:id="rId31"/>
          <w:footerReference w:type="even" r:id="rId32"/>
          <w:pgSz w:w="11906" w:h="16838"/>
          <w:pgMar w:top="1200" w:right="720" w:bottom="800" w:left="720" w:header="720" w:footer="720" w:gutter="0"/>
          <w:cols w:space="720"/>
          <w:docGrid w:linePitch="360"/>
        </w:sectPr>
      </w:pPr>
    </w:p>
    <w:p>
      <w:pPr>
        <w:keepNext/>
        <w:spacing w:before="360" w:after="60"/>
        <w:jc w:val="left"/>
      </w:pPr>
      <w:r>
        <w:rPr>
          <w:rFonts w:ascii="Cambria" w:hAnsi="Cambria"/>
          <w:b/>
          <w:i w:val="0"/>
          <w:color w:val="008080"/>
          <w:sz w:val="20"/>
        </w:rPr>
        <w:t>Additional Findings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2047"/>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1259"/>
            <w:shd w:val="clear" w:color="auto" w:fill="008080"/>
            <w:tcMar>
              <w:top w:w="60" w:type="dxa"/>
              <w:bottom w:w="60" w:type="dxa"/>
              <w:start w:w="80" w:type="dxa"/>
              <w:end w:w="80" w:type="dxa"/>
            </w:tcMar>
          </w:tcPr>
          <w:p>
            <w:pPr>
              <w:jc w:val="center"/>
            </w:pPr>
            <w:r>
              <w:rPr>
                <w:rFonts w:ascii="Cambria" w:hAnsi="Cambria"/>
                <w:b/>
                <w:color w:val="FFFFFF"/>
                <w:sz w:val="20"/>
              </w:rPr>
              <w:t>Location</w:t>
            </w:r>
          </w:p>
        </w:tc>
        <w:tc>
          <w:tcPr>
            <w:tcW w:type="dxa" w:w="1989"/>
            <w:shd w:val="clear" w:color="auto" w:fill="008080"/>
            <w:tcMar>
              <w:top w:w="60" w:type="dxa"/>
              <w:bottom w:w="60" w:type="dxa"/>
              <w:start w:w="80" w:type="dxa"/>
              <w:end w:w="80" w:type="dxa"/>
            </w:tcMar>
          </w:tcPr>
          <w:p>
            <w:pPr>
              <w:jc w:val="center"/>
            </w:pPr>
            <w:r>
              <w:rPr>
                <w:rFonts w:ascii="Cambria" w:hAnsi="Cambria"/>
                <w:b/>
                <w:color w:val="FFFFFF"/>
                <w:sz w:val="20"/>
              </w:rPr>
              <w:t>Variant &amp;</w:t>
              <w:br/>
              <w:t>Depth/VAF</w:t>
            </w:r>
          </w:p>
        </w:tc>
        <w:tc>
          <w:tcPr>
            <w:tcW w:type="dxa" w:w="1869"/>
            <w:shd w:val="clear" w:color="auto" w:fill="008080"/>
            <w:tcMar>
              <w:top w:w="60" w:type="dxa"/>
              <w:bottom w:w="60" w:type="dxa"/>
              <w:start w:w="80" w:type="dxa"/>
              <w:end w:w="80" w:type="dxa"/>
            </w:tcMar>
          </w:tcPr>
          <w:p>
            <w:pPr>
              <w:jc w:val="center"/>
            </w:pPr>
            <w:r>
              <w:rPr>
                <w:rFonts w:ascii="Cambria" w:hAnsi="Cambria"/>
                <w:b/>
                <w:color w:val="FFFFFF"/>
                <w:sz w:val="20"/>
              </w:rPr>
              <w:t>Zygosity/</w:t>
              <w:br/>
              <w:t>Inheritance</w:t>
            </w:r>
          </w:p>
        </w:tc>
        <w:tc>
          <w:tcPr>
            <w:tcW w:type="dxa" w:w="1582"/>
            <w:shd w:val="clear" w:color="auto" w:fill="008080"/>
            <w:tcMar>
              <w:top w:w="60" w:type="dxa"/>
              <w:bottom w:w="60" w:type="dxa"/>
              <w:start w:w="80" w:type="dxa"/>
              <w:end w:w="80" w:type="dxa"/>
            </w:tcMar>
          </w:tcPr>
          <w:p>
            <w:pPr>
              <w:jc w:val="center"/>
            </w:pPr>
            <w:r>
              <w:rPr>
                <w:rFonts w:ascii="Cambria" w:hAnsi="Cambria"/>
                <w:b/>
                <w:color w:val="FFFFFF"/>
                <w:sz w:val="20"/>
              </w:rPr>
              <w:t>Phenotype</w:t>
            </w:r>
          </w:p>
        </w:tc>
        <w:tc>
          <w:tcPr>
            <w:tcW w:type="dxa" w:w="1720"/>
            <w:shd w:val="clear" w:color="auto" w:fill="008080"/>
            <w:tcMar>
              <w:top w:w="60" w:type="dxa"/>
              <w:bottom w:w="60" w:type="dxa"/>
              <w:start w:w="80" w:type="dxa"/>
              <w:end w:w="80" w:type="dxa"/>
            </w:tcMar>
          </w:tcPr>
          <w:p>
            <w:pPr>
              <w:jc w:val="center"/>
            </w:pPr>
            <w:r>
              <w:rPr>
                <w:rFonts w:ascii="Cambria" w:hAnsi="Cambria"/>
                <w:b/>
                <w:color w:val="FFFFFF"/>
                <w:sz w:val="20"/>
              </w:rPr>
              <w:t>Clinical Significance</w:t>
            </w:r>
          </w:p>
        </w:tc>
      </w:tr>
      <w:tr>
        <w:trPr>
          <w:cantSplit w:val="true"/>
        </w:trPr>
        <w:tc>
          <w:tcPr>
            <w:tcW w:type="dxa" w:w="2047"/>
            <w:shd w:val="clear" w:color="auto" w:fill="daedf3"/>
            <w:tcMar>
              <w:top w:w="60" w:type="dxa"/>
              <w:bottom w:w="60" w:type="dxa"/>
              <w:start w:w="80" w:type="dxa"/>
              <w:end w:w="80" w:type="dxa"/>
            </w:tcMar>
          </w:tcPr>
          <w:p>
            <w:pPr>
              <w:jc w:val="left"/>
            </w:pPr>
            <w:r>
              <w:rPr>
                <w:rFonts w:ascii="Cambria" w:hAnsi="Cambria"/>
                <w:b/>
                <w:i/>
                <w:color w:val="242729"/>
                <w:sz w:val="20"/>
              </w:rPr>
              <w:t>HBB (-)</w:t>
              <w:br/>
              <w:t>NM 000518.5</w:t>
              <w:br/>
              <w:t>_</w:t>
              <w:br/>
              <w:t>(chr11:g.5227071T&gt;G)</w:t>
            </w:r>
          </w:p>
        </w:tc>
        <w:tc>
          <w:tcPr>
            <w:tcW w:type="dxa" w:w="1259"/>
            <w:shd w:val="clear" w:color="auto" w:fill="daedf3"/>
            <w:tcMar>
              <w:top w:w="60" w:type="dxa"/>
              <w:bottom w:w="60" w:type="dxa"/>
              <w:start w:w="80" w:type="dxa"/>
              <w:end w:w="80" w:type="dxa"/>
            </w:tcMar>
          </w:tcPr>
          <w:p>
            <w:pPr>
              <w:jc w:val="left"/>
            </w:pPr>
            <w:r>
              <w:rPr>
                <w:rFonts w:ascii="Cambria" w:hAnsi="Cambria"/>
                <w:b w:val="0"/>
                <w:i w:val="0"/>
                <w:color w:val="000000"/>
                <w:sz w:val="20"/>
              </w:rPr>
              <w:t>Exon 1</w:t>
            </w:r>
          </w:p>
        </w:tc>
        <w:tc>
          <w:tcPr>
            <w:tcW w:type="dxa" w:w="1989"/>
            <w:shd w:val="clear" w:color="auto" w:fill="daedf3"/>
            <w:tcMar>
              <w:top w:w="60" w:type="dxa"/>
              <w:bottom w:w="60" w:type="dxa"/>
              <w:start w:w="80" w:type="dxa"/>
              <w:end w:w="80" w:type="dxa"/>
            </w:tcMar>
          </w:tcPr>
          <w:p>
            <w:pPr>
              <w:jc w:val="left"/>
            </w:pPr>
            <w:r>
              <w:rPr>
                <w:rFonts w:ascii="Cambria" w:hAnsi="Cambria"/>
                <w:b w:val="0"/>
                <w:i w:val="0"/>
                <w:color w:val="000000"/>
                <w:sz w:val="20"/>
              </w:rPr>
              <w:t>c.-50A&gt;C</w:t>
              <w:br/>
              <w:t>(5' prime UTR</w:t>
              <w:br/>
              <w:t>variant)</w:t>
              <w:br/>
              <w:t>49x/51%</w:t>
            </w:r>
          </w:p>
        </w:tc>
        <w:tc>
          <w:tcPr>
            <w:tcW w:type="dxa" w:w="1869"/>
            <w:shd w:val="clear" w:color="auto" w:fill="daedf3"/>
            <w:tcMar>
              <w:top w:w="60" w:type="dxa"/>
              <w:bottom w:w="60" w:type="dxa"/>
              <w:start w:w="80" w:type="dxa"/>
              <w:end w:w="80" w:type="dxa"/>
            </w:tcMar>
          </w:tcPr>
          <w:p>
            <w:pPr>
              <w:jc w:val="left"/>
            </w:pPr>
            <w:r>
              <w:rPr>
                <w:rFonts w:ascii="Cambria" w:hAnsi="Cambria"/>
                <w:b w:val="0"/>
                <w:i w:val="0"/>
                <w:color w:val="000000"/>
                <w:sz w:val="20"/>
              </w:rPr>
              <w:t>Heterozygous</w:t>
              <w:br/>
              <w:t>/Autosomal</w:t>
              <w:br/>
              <w:t>Recessive</w:t>
            </w:r>
          </w:p>
        </w:tc>
        <w:tc>
          <w:tcPr>
            <w:tcW w:type="dxa" w:w="1582"/>
            <w:shd w:val="clear" w:color="auto" w:fill="daedf3"/>
            <w:tcMar>
              <w:top w:w="60" w:type="dxa"/>
              <w:bottom w:w="60" w:type="dxa"/>
              <w:start w:w="80" w:type="dxa"/>
              <w:end w:w="80" w:type="dxa"/>
            </w:tcMar>
          </w:tcPr>
          <w:p>
            <w:pPr>
              <w:jc w:val="left"/>
            </w:pPr>
            <w:r>
              <w:rPr>
                <w:rFonts w:ascii="Cambria" w:hAnsi="Cambria"/>
                <w:b w:val="0"/>
                <w:i w:val="0"/>
                <w:color w:val="000000"/>
                <w:sz w:val="20"/>
              </w:rPr>
              <w:t>Beta-thalassemia HBB</w:t>
            </w:r>
          </w:p>
        </w:tc>
        <w:tc>
          <w:tcPr>
            <w:tcW w:type="dxa" w:w="1720"/>
            <w:shd w:val="clear" w:color="auto" w:fill="daedf3"/>
            <w:tcMar>
              <w:top w:w="60" w:type="dxa"/>
              <w:bottom w:w="60" w:type="dxa"/>
              <w:start w:w="80" w:type="dxa"/>
              <w:end w:w="80" w:type="dxa"/>
            </w:tcMar>
          </w:tcPr>
          <w:p>
            <w:pPr>
              <w:jc w:val="right"/>
            </w:pPr>
            <w:r>
              <w:rPr>
                <w:rFonts w:ascii="Cambria" w:hAnsi="Cambria"/>
                <w:b w:val="0"/>
                <w:i w:val="0"/>
                <w:color w:val="FF0000"/>
                <w:sz w:val="20"/>
              </w:rPr>
              <w:t>Pathogenic</w:t>
              <w:br/>
              <w:t>(PM2, PM3, PP5)</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American College of Medical Genetics</w:t>
      </w:r>
    </w:p>
    <w:p>
      <w:pPr>
        <w:spacing w:before="234" w:after="80" w:line="276" w:lineRule="auto"/>
        <w:jc w:val="left"/>
      </w:pPr>
      <w:r>
        <w:rPr>
          <w:rFonts w:ascii="Cambria" w:hAnsi="Cambria"/>
          <w:color w:val="000000"/>
          <w:sz w:val="20"/>
        </w:rPr>
        <w:t>HBB Gene Phenotype Description : Direct sequencing of specific regions of genomic DNA became feasible with the invention of the polymerase chain reaction (PCR) which permits amplification of specific regions of DNA. Recently, human mitochondrial DNA was amplified and directly sequenced. Using a thermostable DNA polymerase of T. aquaticus (Saiki, R.K. et al., manuscript in preparation) in the PCR, we have applied a combination of PCR and direct sequence analysis of the amplified product to a human single- copy gene. We studied the genomic DNA of five patients with beta-thalassaemia whose mutant alleles were uncharacterized, and found two previously undescribed mutations, along with three known alleles. One new allele is a frameshift at codons 106-107 and the other is an A-C transversion at the cap site (+1) of the beta-globin gene. This latter is the first natural mutation observed at the cap site and it occurs in a gene which is poorly expressed.</w:t>
      </w:r>
    </w:p>
    <w:p>
      <w:pPr>
        <w:spacing w:before="297" w:after="80" w:line="276" w:lineRule="auto"/>
        <w:jc w:val="left"/>
      </w:pPr>
      <w:r>
        <w:rPr>
          <w:rFonts w:ascii="Cambria" w:hAnsi="Cambria"/>
          <w:color w:val="000000"/>
          <w:sz w:val="20"/>
        </w:rPr>
        <w:t>Case Specific Recommendations: 1. Segregation analysis of the variant by Sanger /Exome sequencing/ MLPA is recommended.</w:t>
      </w:r>
    </w:p>
    <w:p>
      <w:pPr>
        <w:spacing w:before="255" w:after="80" w:line="276" w:lineRule="auto"/>
        <w:jc w:val="left"/>
      </w:pPr>
      <w:r>
        <w:rPr>
          <w:rFonts w:ascii="Cambria" w:hAnsi="Cambria"/>
          <w:color w:val="000000"/>
          <w:sz w:val="20"/>
        </w:rPr>
        <w:t>Recommendations  Genetic counseling is advised for interpretation on the consequences of the variant(s).  We recommend confirming the presence of these variants by Sanger Sequencing/ MLPA.  Segregation analysis of the variant by Sanger /Exome sequencing/ MLPA is recommended.  The significance/classification of the variants might change based on parental and family members genetic testing.  For questions about this report, or for assistance in locating nearby genetic counseling services, please contact the Laboratory:  contact@Laboratory.com .  If results obtained do not match the clinical findings, additional testing should be considered as per referring clinician's recommendation.</w:t>
      </w:r>
    </w:p>
    <w:p>
      <w:pPr>
        <w:spacing w:before="254" w:after="80" w:line="276" w:lineRule="auto"/>
        <w:jc w:val="left"/>
      </w:pPr>
      <w:r>
        <w:rPr>
          <w:rFonts w:ascii="Cambria" w:hAnsi="Cambria"/>
          <w:color w:val="000000"/>
          <w:sz w:val="20"/>
        </w:rPr>
        <w:t>Methodology:  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Page 2 of 8</w:t>
      </w:r>
    </w:p>
    <w:p>
      <w:pPr>
        <w:spacing w:before="0" w:after="120"/>
        <w:jc w:val="center"/>
      </w:pPr>
      <w:r>
        <w:drawing>
          <wp:inline xmlns:a="http://schemas.openxmlformats.org/drawingml/2006/main" xmlns:pic="http://schemas.openxmlformats.org/drawingml/2006/picture">
            <wp:extent cx="1536700" cy="6731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5"/>
          <w:footerReference w:type="default" r:id="rId16"/>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 This assay (Whole exome sequencing)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Laboratory's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p>
      <w:pPr>
        <w:spacing w:before="276" w:after="80" w:line="276" w:lineRule="auto"/>
        <w:jc w:val="left"/>
      </w:pPr>
      <w:r>
        <w:rPr>
          <w:rFonts w:ascii="Cambria" w:hAnsi="Cambria"/>
          <w:color w:val="000000"/>
          <w:sz w:val="20"/>
        </w:rPr>
        <w:t>Limitations/Disclaimer:  It should be noted that this test does not sequence all bases in a human genome, not all variants have been identified or interpreted, and this report is limited only to variants with evidence for causing or contributing to disease/clinical details provided to SN Gene Lab Pvt Ltd.  Testing has been performed assuming that the sample received belongs to the above named individual and any stated relationships between individuals are accepted as true.  Test results are interpreted in the context of clinical findings, family history and other laboratory data. Only variations 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 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w:t>
      </w:r>
    </w:p>
    <w:p>
      <w:pPr>
        <w:spacing w:before="232" w:after="120"/>
        <w:jc w:val="center"/>
      </w:pPr>
      <w:r>
        <w:drawing>
          <wp:inline xmlns:a="http://schemas.openxmlformats.org/drawingml/2006/main" xmlns:pic="http://schemas.openxmlformats.org/drawingml/2006/picture">
            <wp:extent cx="1536700" cy="6731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0" name="Picture 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7"/>
          <w:footerReference w:type="default" r:id="rId18"/>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before="0" w:after="24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487"/>
            <w:shd w:val="clear" w:color="auto" w:fill="008080"/>
            <w:tcMar>
              <w:top w:w="60" w:type="dxa"/>
              <w:bottom w:w="60" w:type="dxa"/>
              <w:start w:w="80" w:type="dxa"/>
              <w:end w:w="80" w:type="dxa"/>
            </w:tcMar>
          </w:tcPr>
          <w:p>
            <w:pPr>
              <w:jc w:val="center"/>
            </w:pPr>
            <w:r>
              <w:rPr>
                <w:rFonts w:ascii="Cambria" w:hAnsi="Cambria"/>
                <w:b w:val="0"/>
                <w:color w:val="FFFFFF"/>
                <w:sz w:val="20"/>
              </w:rPr>
              <w:t>*Variant classification as per ACMG guidelines:</w:t>
            </w:r>
          </w:p>
        </w:tc>
        <w:tc>
          <w:tcPr>
            <w:tcW w:type="dxa" w:w="7979"/>
            <w:shd w:val="clear" w:color="auto" w:fill="1f497d"/>
            <w:tcMar>
              <w:top w:w="60" w:type="dxa"/>
              <w:bottom w:w="60" w:type="dxa"/>
              <w:start w:w="80" w:type="dxa"/>
              <w:end w:w="80" w:type="dxa"/>
            </w:tcMar>
          </w:tcPr>
          <w:p>
            <w:pPr>
              <w:jc w:val="center"/>
            </w:pPr>
            <w:r>
              <w:rPr>
                <w:rFonts w:ascii="Cambria" w:hAnsi="Cambria"/>
                <w:b/>
                <w:color w:val="FFFFFF"/>
                <w:sz w:val="19"/>
              </w:rPr>
              <w:t>Column 2</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Variant</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change in a gene. This could be disease causing (pathogenic) or not disease causing (benign).</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Benign</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variant which is known not to be responsible for disease has been detected. Generally, no</w:t>
              <w:br/>
              <w:t>further action is warranted on such variants when detected.</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Likely Benign</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variant which is very unlikely to contribute to the development of disease however, the</w:t>
              <w:br/>
              <w:t>scientific evidence is currently insufficient to prove this conclusively. Additional evidence is</w:t>
              <w:br/>
              <w:t>expected to confirm this assertion of Pathogenicity.</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Pathogenic</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disease-causing variation in a gene which can explain the patient's symptoms has been detected.</w:t>
              <w:br/>
              <w:t>This usually means that a suspected disorder for which testing had been requested has been</w:t>
              <w:br/>
              <w:t>confirmed.</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Likely Pathogenic</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variant which is very likely to contribute to the development of disease however, the scientific</w:t>
              <w:br/>
              <w:t>evidence is currently insufficient to prove this conclusively. Additional evidence is expected to</w:t>
              <w:br/>
              <w:t>confirm this assertion of pathogenicity.</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Variant of</w:t>
              <w:br/>
              <w:t>Uncertain</w:t>
              <w:br/>
              <w:t>Significance</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variant has been detected, but it is difficult to classify it as either pathogenic (disease causing) or</w:t>
              <w:br/>
              <w:t>benign (non-disease causing) based on current available scientific evidence. Further testing of the</w:t>
              <w:br/>
              <w:t>patient or family members as recommended by your clinician may be needed. It is probable that</w:t>
              <w:br/>
              <w:t>their significance can be assessed only with time, subject to availability of scientific evidence.</w:t>
            </w:r>
          </w:p>
        </w:tc>
      </w:tr>
    </w:tbl>
    <w:p>
      <w:pPr>
        <w:spacing w:before="0" w:after="120" w:line="20" w:lineRule="exact"/>
      </w:pPr>
      <w:r>
        <w:rPr>
          <w:sz w:val="2"/>
        </w:rPr>
      </w:r>
    </w:p>
    <w:p>
      <w:pPr>
        <w:spacing w:before="0" w:after="24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interpretation of sequence variants</w:t>
            </w:r>
          </w:p>
        </w:tc>
        <w:tc>
          <w:tcPr>
            <w:tcW w:type="dxa" w:w="3168"/>
            <w:tcMar>
              <w:top w:w="20" w:type="dxa"/>
              <w:bottom w:w="20" w:type="dxa"/>
              <w:start w:w="40" w:type="dxa"/>
              <w:end w:w="40" w:type="dxa"/>
            </w:tcMar>
          </w:tcPr>
          <w:p>
            <w:r>
              <w:rPr>
                <w:rFonts w:ascii="Cambria" w:hAnsi="Cambria"/>
                <w:color w:val="000000"/>
                <w:sz w:val="20"/>
              </w:rPr>
              <w:t>a joint consensus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60" w:after="80" w:line="276" w:lineRule="auto"/>
        <w:jc w:val="left"/>
      </w:pPr>
      <w:r>
        <w:rPr>
          <w:rFonts w:ascii="Cambria" w:hAnsi="Cambria"/>
          <w:color w:val="000000"/>
          <w:sz w:val="20"/>
        </w:rPr>
        <w:t>2. Kalia S.S. et al., Recommendations for reporting of secondary findings in clinical exome and genome sequencing, 2016 update(ACMG SF v2.0): a policy statement of the American College of Medical Genetics and Genomics. Genet Med., 19(2):249-255, 2017.</w:t>
      </w:r>
    </w:p>
    <w:p>
      <w:pPr>
        <w:spacing w:before="360"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9"/>
          <w:footerReference w:type="default" r:id="rId20"/>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3. Meyer, L.R., et al., The UCSC Genome Browser database: extensions and updates 2013. Nucleic Acids Res, 2013. 41(D1): p.D64-9.</w:t>
      </w:r>
    </w:p>
    <w:p>
      <w:pPr>
        <w:spacing w:before="160" w:after="80" w:line="276" w:lineRule="auto"/>
        <w:jc w:val="left"/>
      </w:pPr>
      <w:r>
        <w:rPr>
          <w:rFonts w:ascii="Cambria" w:hAnsi="Cambria"/>
          <w:color w:val="000000"/>
          <w:sz w:val="20"/>
        </w:rPr>
        <w:t>4. McKenna, A., et al., The Genome Analysis Toolkit: a MapReduce framework for analyzing next-generation DNA sequencing data. Genome Res, 2010. 20(9): p. 1297-303</w:t>
      </w:r>
    </w:p>
    <w:p>
      <w:pPr>
        <w:spacing w:before="235" w:after="80" w:line="276" w:lineRule="auto"/>
        <w:jc w:val="left"/>
      </w:pPr>
      <w:r>
        <w:rPr>
          <w:rFonts w:ascii="Cambria" w:hAnsi="Cambria"/>
          <w:color w:val="000000"/>
          <w:sz w:val="20"/>
        </w:rPr>
        <w:t>5. 1000 Genomes Project Consortium et al., A global reference for human genetic variation. Nature, 526(7571): 68-74, 2015.</w:t>
      </w:r>
    </w:p>
    <w:p>
      <w:pPr>
        <w:spacing w:before="160" w:after="80" w:line="276" w:lineRule="auto"/>
        <w:jc w:val="left"/>
      </w:pPr>
      <w:r>
        <w:rPr>
          <w:rFonts w:ascii="Cambria" w:hAnsi="Cambria"/>
          <w:color w:val="000000"/>
          <w:sz w:val="20"/>
        </w:rPr>
        <w:t>6. Lek M. et al., Analysis of protein-coding genetic variation in 60,706 humans. Nature, 536(7616):285-91, 2016.</w:t>
      </w:r>
    </w:p>
    <w:p>
      <w:pPr>
        <w:spacing w:before="160" w:after="80" w:line="276" w:lineRule="auto"/>
        <w:jc w:val="left"/>
      </w:pPr>
      <w:r>
        <w:rPr>
          <w:rFonts w:ascii="Cambria" w:hAnsi="Cambria"/>
          <w:color w:val="000000"/>
          <w:sz w:val="20"/>
        </w:rPr>
        <w:t>7. McLaren, W., et al., Deriving the consequences of genomic variants with the Ensembl API and SNP Effect Predictor. Bioinformatics, 2010. 26(16): p. 2069-70.</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7233"/>
            <w:shd w:val="clear" w:color="auto" w:fill="008080"/>
            <w:tcMar>
              <w:top w:w="60" w:type="dxa"/>
              <w:bottom w:w="60" w:type="dxa"/>
              <w:start w:w="80" w:type="dxa"/>
              <w:end w:w="80" w:type="dxa"/>
            </w:tcMar>
          </w:tcPr>
          <w:p>
            <w:pPr>
              <w:jc w:val="center"/>
            </w:pPr>
            <w:r>
              <w:rPr>
                <w:rFonts w:ascii="Cambria" w:hAnsi="Cambria"/>
                <w:b/>
                <w:color w:val="FFFFFF"/>
                <w:sz w:val="20"/>
              </w:rPr>
              <w:t>Title</w:t>
            </w:r>
          </w:p>
        </w:tc>
        <w:tc>
          <w:tcPr>
            <w:tcW w:type="dxa" w:w="3232"/>
            <w:shd w:val="clear" w:color="auto" w:fill="008080"/>
            <w:tcMar>
              <w:top w:w="60" w:type="dxa"/>
              <w:bottom w:w="60" w:type="dxa"/>
              <w:start w:w="80" w:type="dxa"/>
              <w:end w:w="80" w:type="dxa"/>
            </w:tcMar>
          </w:tcPr>
          <w:p>
            <w:pPr>
              <w:jc w:val="center"/>
            </w:pPr>
            <w:r>
              <w:rPr>
                <w:rFonts w:ascii="Cambria" w:hAnsi="Cambria"/>
                <w:b/>
                <w:color w:val="FFFFFF"/>
                <w:sz w:val="20"/>
              </w:rPr>
              <w:t>Data</w:t>
            </w:r>
          </w:p>
        </w:tc>
      </w:tr>
      <w:tr>
        <w:trPr>
          <w:cantSplit w:val="true"/>
        </w:trPr>
        <w:tc>
          <w:tcPr>
            <w:tcW w:type="dxa" w:w="7233"/>
            <w:tcMar>
              <w:top w:w="60" w:type="dxa"/>
              <w:bottom w:w="60" w:type="dxa"/>
              <w:start w:w="80" w:type="dxa"/>
              <w:end w:w="80" w:type="dxa"/>
            </w:tcMar>
          </w:tcPr>
          <w:p>
            <w:pPr>
              <w:jc w:val="left"/>
            </w:pPr>
            <w:r>
              <w:rPr>
                <w:rFonts w:ascii="Cambria" w:hAnsi="Cambria"/>
                <w:b w:val="0"/>
                <w:i w:val="0"/>
                <w:color w:val="000000"/>
                <w:sz w:val="20"/>
              </w:rPr>
              <w:t>Total data generated (Gb)</w:t>
            </w:r>
          </w:p>
        </w:tc>
        <w:tc>
          <w:tcPr>
            <w:tcW w:type="dxa" w:w="3232"/>
            <w:tcMar>
              <w:top w:w="60" w:type="dxa"/>
              <w:bottom w:w="60" w:type="dxa"/>
              <w:start w:w="80" w:type="dxa"/>
              <w:end w:w="80" w:type="dxa"/>
            </w:tcMar>
          </w:tcPr>
          <w:p>
            <w:pPr>
              <w:jc w:val="right"/>
            </w:pPr>
            <w:r>
              <w:rPr>
                <w:rFonts w:ascii="Cambria" w:hAnsi="Cambria"/>
                <w:b w:val="0"/>
                <w:i w:val="0"/>
                <w:color w:val="000000"/>
                <w:sz w:val="20"/>
              </w:rPr>
              <w:t>8.09</w:t>
            </w:r>
          </w:p>
        </w:tc>
      </w:tr>
      <w:tr>
        <w:trPr>
          <w:cantSplit w:val="true"/>
        </w:trPr>
        <w:tc>
          <w:tcPr>
            <w:tcW w:type="dxa" w:w="7233"/>
            <w:shd w:val="clear" w:color="auto" w:fill="f8fafc"/>
            <w:tcMar>
              <w:top w:w="60" w:type="dxa"/>
              <w:bottom w:w="60" w:type="dxa"/>
              <w:start w:w="80" w:type="dxa"/>
              <w:end w:w="80" w:type="dxa"/>
            </w:tcMar>
          </w:tcPr>
          <w:p>
            <w:pPr>
              <w:jc w:val="left"/>
            </w:pPr>
            <w:r>
              <w:rPr>
                <w:rFonts w:ascii="Cambria" w:hAnsi="Cambria"/>
                <w:b w:val="0"/>
                <w:i w:val="0"/>
                <w:color w:val="000000"/>
                <w:sz w:val="20"/>
              </w:rPr>
              <w:t>Total Reads (%)</w:t>
            </w:r>
          </w:p>
        </w:tc>
        <w:tc>
          <w:tcPr>
            <w:tcW w:type="dxa" w:w="3232"/>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7233"/>
            <w:tcMar>
              <w:top w:w="60" w:type="dxa"/>
              <w:bottom w:w="60" w:type="dxa"/>
              <w:start w:w="80" w:type="dxa"/>
              <w:end w:w="80" w:type="dxa"/>
            </w:tcMar>
          </w:tcPr>
          <w:p>
            <w:pPr>
              <w:jc w:val="left"/>
            </w:pPr>
            <w:r>
              <w:rPr>
                <w:rFonts w:ascii="Cambria" w:hAnsi="Cambria"/>
                <w:b w:val="0"/>
                <w:i w:val="0"/>
                <w:color w:val="000000"/>
                <w:sz w:val="20"/>
              </w:rPr>
              <w:t>Total reads aligned (%)</w:t>
            </w:r>
          </w:p>
        </w:tc>
        <w:tc>
          <w:tcPr>
            <w:tcW w:type="dxa" w:w="3232"/>
            <w:tcMar>
              <w:top w:w="60" w:type="dxa"/>
              <w:bottom w:w="60" w:type="dxa"/>
              <w:start w:w="80" w:type="dxa"/>
              <w:end w:w="80" w:type="dxa"/>
            </w:tcMar>
          </w:tcPr>
          <w:p>
            <w:pPr>
              <w:jc w:val="right"/>
            </w:pPr>
            <w:r>
              <w:rPr>
                <w:rFonts w:ascii="Cambria" w:hAnsi="Cambria"/>
                <w:b w:val="0"/>
                <w:i w:val="0"/>
                <w:color w:val="000000"/>
                <w:sz w:val="20"/>
              </w:rPr>
              <w:t>99.30</w:t>
            </w:r>
          </w:p>
        </w:tc>
      </w:tr>
      <w:tr>
        <w:trPr>
          <w:cantSplit w:val="true"/>
        </w:trPr>
        <w:tc>
          <w:tcPr>
            <w:tcW w:type="dxa" w:w="7233"/>
            <w:shd w:val="clear" w:color="auto" w:fill="f8fafc"/>
            <w:tcMar>
              <w:top w:w="60" w:type="dxa"/>
              <w:bottom w:w="60" w:type="dxa"/>
              <w:start w:w="80" w:type="dxa"/>
              <w:end w:w="80" w:type="dxa"/>
            </w:tcMar>
          </w:tcPr>
          <w:p>
            <w:pPr>
              <w:jc w:val="left"/>
            </w:pPr>
            <w:r>
              <w:rPr>
                <w:rFonts w:ascii="Cambria" w:hAnsi="Cambria"/>
                <w:b w:val="0"/>
                <w:i w:val="0"/>
                <w:color w:val="000000"/>
                <w:sz w:val="20"/>
              </w:rPr>
              <w:t>Data &gt;Q30 (%)</w:t>
            </w:r>
          </w:p>
        </w:tc>
        <w:tc>
          <w:tcPr>
            <w:tcW w:type="dxa" w:w="3232"/>
            <w:shd w:val="clear" w:color="auto" w:fill="f8fafc"/>
            <w:tcMar>
              <w:top w:w="60" w:type="dxa"/>
              <w:bottom w:w="60" w:type="dxa"/>
              <w:start w:w="80" w:type="dxa"/>
              <w:end w:w="80" w:type="dxa"/>
            </w:tcMar>
          </w:tcPr>
          <w:p>
            <w:pPr>
              <w:jc w:val="right"/>
            </w:pPr>
            <w:r>
              <w:rPr>
                <w:rFonts w:ascii="Cambria" w:hAnsi="Cambria"/>
                <w:b w:val="0"/>
                <w:i w:val="0"/>
                <w:color w:val="000000"/>
                <w:sz w:val="20"/>
              </w:rPr>
              <w:t>96.93</w:t>
            </w:r>
          </w:p>
        </w:tc>
      </w:tr>
    </w:tbl>
    <w:p>
      <w:pPr>
        <w:spacing w:before="0" w:after="120" w:line="20" w:lineRule="exact"/>
      </w:pPr>
      <w:r>
        <w:rPr>
          <w:sz w:val="2"/>
        </w:rPr>
      </w:r>
    </w:p>
    <w:p>
      <w:pPr>
        <w:spacing w:before="0" w:after="238"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Appendix 2</w:t>
            </w:r>
          </w:p>
        </w:tc>
        <w:tc>
          <w:tcPr>
            <w:tcW w:type="dxa" w:w="3168"/>
            <w:tcMar>
              <w:top w:w="20" w:type="dxa"/>
              <w:bottom w:w="20" w:type="dxa"/>
              <w:start w:w="40" w:type="dxa"/>
              <w:end w:w="40" w:type="dxa"/>
            </w:tcMar>
          </w:tcPr>
          <w:p>
            <w:r>
              <w:rPr>
                <w:rFonts w:ascii="Cambria" w:hAnsi="Cambria"/>
                <w:color w:val="000000"/>
                <w:sz w:val="20"/>
              </w:rPr>
              <w:t>COVERAGE SUMMARY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rPr>
          <w:tblHeader w:val="true"/>
          <w:cantSplit w:val="true"/>
        </w:trPr>
        <w:tc>
          <w:tcPr>
            <w:tcW w:type="dxa" w:w="2230"/>
            <w:shd w:val="clear" w:color="auto" w:fill="008080"/>
            <w:tcMar>
              <w:top w:w="60" w:type="dxa"/>
              <w:bottom w:w="60" w:type="dxa"/>
              <w:start w:w="80" w:type="dxa"/>
              <w:end w:w="80" w:type="dxa"/>
            </w:tcMar>
          </w:tcPr>
          <w:p>
            <w:pPr>
              <w:jc w:val="center"/>
            </w:pPr>
            <w:r>
              <w:rPr>
                <w:rFonts w:ascii="Cambria" w:hAnsi="Cambria"/>
                <w:b/>
                <w:color w:val="FFFFFF"/>
                <w:sz w:val="20"/>
              </w:rPr>
              <w:t>Mean Depth</w:t>
            </w:r>
          </w:p>
        </w:tc>
        <w:tc>
          <w:tcPr>
            <w:tcW w:type="dxa" w:w="4160"/>
            <w:shd w:val="clear" w:color="auto" w:fill="008080"/>
            <w:tcMar>
              <w:top w:w="60" w:type="dxa"/>
              <w:bottom w:w="60" w:type="dxa"/>
              <w:start w:w="80" w:type="dxa"/>
              <w:end w:w="80" w:type="dxa"/>
            </w:tcMar>
          </w:tcPr>
          <w:p>
            <w:pPr>
              <w:jc w:val="center"/>
            </w:pPr>
            <w:r>
              <w:rPr>
                <w:rFonts w:ascii="Cambria" w:hAnsi="Cambria"/>
                <w:b/>
                <w:color w:val="FFFFFF"/>
                <w:sz w:val="20"/>
              </w:rPr>
              <w:t>Percentage target base pairs covered</w:t>
            </w:r>
          </w:p>
        </w:tc>
        <w:tc>
          <w:tcPr>
            <w:tcW w:type="dxa" w:w="2038"/>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38"/>
            <w:shd w:val="clear" w:color="auto" w:fill="1f497d"/>
            <w:tcMar>
              <w:top w:w="60" w:type="dxa"/>
              <w:bottom w:w="60" w:type="dxa"/>
              <w:start w:w="80" w:type="dxa"/>
              <w:end w:w="80" w:type="dxa"/>
            </w:tcMar>
          </w:tcPr>
          <w:p>
            <w:pPr>
              <w:jc w:val="center"/>
            </w:pPr>
            <w:r>
              <w:rPr>
                <w:rFonts w:ascii="Cambria" w:hAnsi="Cambria"/>
                <w:b/>
                <w:color w:val="FFFFFF"/>
                <w:sz w:val="19"/>
              </w:rPr>
              <w:t>Column 4</w:t>
            </w:r>
          </w:p>
        </w:tc>
      </w:tr>
      <w:tr>
        <w:trPr>
          <w:cantSplit w:val="true"/>
        </w:trPr>
        <w:tc>
          <w:tcPr>
            <w:tcW w:type="dxa" w:w="2230"/>
            <w:tcMar>
              <w:top w:w="60" w:type="dxa"/>
              <w:bottom w:w="60" w:type="dxa"/>
              <w:start w:w="80" w:type="dxa"/>
              <w:end w:w="80" w:type="dxa"/>
            </w:tcMar>
          </w:tcPr>
          <w:p>
            <w:pPr>
              <w:jc w:val="left"/>
            </w:pPr>
            <w:r>
              <w:rPr>
                <w:rFonts w:ascii="Cambria" w:hAnsi="Cambria"/>
                <w:b w:val="0"/>
                <w:i w:val="0"/>
                <w:color w:val="000000"/>
                <w:sz w:val="20"/>
              </w:rPr>
              <w:t>80.16x</w:t>
            </w:r>
          </w:p>
        </w:tc>
        <w:tc>
          <w:tcPr>
            <w:tcW w:type="dxa" w:w="4160"/>
            <w:tcMar>
              <w:top w:w="60" w:type="dxa"/>
              <w:bottom w:w="60" w:type="dxa"/>
              <w:start w:w="80" w:type="dxa"/>
              <w:end w:w="80" w:type="dxa"/>
            </w:tcMar>
          </w:tcPr>
          <w:p>
            <w:pPr>
              <w:jc w:val="left"/>
            </w:pPr>
            <w:r>
              <w:rPr>
                <w:rFonts w:ascii="Cambria" w:hAnsi="Cambria"/>
                <w:b w:val="0"/>
                <w:i w:val="0"/>
                <w:color w:val="000000"/>
                <w:sz w:val="20"/>
              </w:rPr>
              <w:t>1x</w:t>
            </w:r>
          </w:p>
        </w:tc>
        <w:tc>
          <w:tcPr>
            <w:tcW w:type="dxa" w:w="2038"/>
            <w:tcMar>
              <w:top w:w="60" w:type="dxa"/>
              <w:bottom w:w="60" w:type="dxa"/>
              <w:start w:w="80" w:type="dxa"/>
              <w:end w:w="80" w:type="dxa"/>
            </w:tcMar>
          </w:tcPr>
          <w:p>
            <w:pPr>
              <w:jc w:val="left"/>
            </w:pPr>
            <w:r>
              <w:rPr>
                <w:rFonts w:ascii="Cambria" w:hAnsi="Cambria"/>
                <w:b w:val="0"/>
                <w:i w:val="0"/>
                <w:color w:val="000000"/>
                <w:sz w:val="20"/>
              </w:rPr>
              <w:t>5x</w:t>
            </w:r>
          </w:p>
        </w:tc>
        <w:tc>
          <w:tcPr>
            <w:tcW w:type="dxa" w:w="2038"/>
            <w:tcMar>
              <w:top w:w="60" w:type="dxa"/>
              <w:bottom w:w="60" w:type="dxa"/>
              <w:start w:w="80" w:type="dxa"/>
              <w:end w:w="80" w:type="dxa"/>
            </w:tcMar>
          </w:tcPr>
          <w:p>
            <w:pPr>
              <w:jc w:val="right"/>
            </w:pPr>
            <w:r>
              <w:rPr>
                <w:rFonts w:ascii="Cambria" w:hAnsi="Cambria"/>
                <w:b w:val="0"/>
                <w:i w:val="0"/>
                <w:color w:val="000000"/>
                <w:sz w:val="20"/>
              </w:rPr>
              <w:t>20x</w:t>
            </w:r>
          </w:p>
        </w:tc>
      </w:tr>
      <w:tr>
        <w:trPr>
          <w:cantSplit w:val="true"/>
        </w:trPr>
        <w:tc>
          <w:tcPr>
            <w:tcW w:type="dxa" w:w="2230"/>
            <w:shd w:val="clear" w:color="auto" w:fill="f8fafc"/>
            <w:tcMar>
              <w:top w:w="60" w:type="dxa"/>
              <w:bottom w:w="60" w:type="dxa"/>
              <w:start w:w="80" w:type="dxa"/>
              <w:end w:w="80" w:type="dxa"/>
            </w:tcMar>
          </w:tcPr>
          <w:p>
            <w:pPr>
              <w:jc w:val="left"/>
            </w:pPr>
            <w:r>
              <w:rPr>
                <w:rFonts w:ascii="Cambria" w:hAnsi="Cambria"/>
                <w:b w:val="0"/>
                <w:i w:val="0"/>
                <w:color w:val="000000"/>
                <w:sz w:val="19"/>
              </w:rPr>
            </w:r>
          </w:p>
        </w:tc>
        <w:tc>
          <w:tcPr>
            <w:tcW w:type="dxa" w:w="4160"/>
            <w:shd w:val="clear" w:color="auto" w:fill="f8fafc"/>
            <w:tcMar>
              <w:top w:w="60" w:type="dxa"/>
              <w:bottom w:w="60" w:type="dxa"/>
              <w:start w:w="80" w:type="dxa"/>
              <w:end w:w="80" w:type="dxa"/>
            </w:tcMar>
          </w:tcPr>
          <w:p>
            <w:pPr>
              <w:jc w:val="left"/>
            </w:pPr>
            <w:r>
              <w:rPr>
                <w:rFonts w:ascii="Cambria" w:hAnsi="Cambria"/>
                <w:b w:val="0"/>
                <w:i w:val="0"/>
                <w:color w:val="000000"/>
                <w:sz w:val="20"/>
              </w:rPr>
              <w:t>98.71%</w:t>
            </w:r>
          </w:p>
        </w:tc>
        <w:tc>
          <w:tcPr>
            <w:tcW w:type="dxa" w:w="2038"/>
            <w:shd w:val="clear" w:color="auto" w:fill="f8fafc"/>
            <w:tcMar>
              <w:top w:w="60" w:type="dxa"/>
              <w:bottom w:w="60" w:type="dxa"/>
              <w:start w:w="80" w:type="dxa"/>
              <w:end w:w="80" w:type="dxa"/>
            </w:tcMar>
          </w:tcPr>
          <w:p>
            <w:pPr>
              <w:jc w:val="left"/>
            </w:pPr>
            <w:r>
              <w:rPr>
                <w:rFonts w:ascii="Cambria" w:hAnsi="Cambria"/>
                <w:b w:val="0"/>
                <w:i w:val="0"/>
                <w:color w:val="000000"/>
                <w:sz w:val="20"/>
              </w:rPr>
              <w:t>98.42%</w:t>
            </w:r>
          </w:p>
        </w:tc>
        <w:tc>
          <w:tcPr>
            <w:tcW w:type="dxa" w:w="2038"/>
            <w:shd w:val="clear" w:color="auto" w:fill="f8fafc"/>
            <w:tcMar>
              <w:top w:w="60" w:type="dxa"/>
              <w:bottom w:w="60" w:type="dxa"/>
              <w:start w:w="80" w:type="dxa"/>
              <w:end w:w="80" w:type="dxa"/>
            </w:tcMar>
          </w:tcPr>
          <w:p>
            <w:pPr>
              <w:jc w:val="right"/>
            </w:pPr>
            <w:r>
              <w:rPr>
                <w:rFonts w:ascii="Cambria" w:hAnsi="Cambria"/>
                <w:b w:val="0"/>
                <w:i w:val="0"/>
                <w:color w:val="000000"/>
                <w:sz w:val="20"/>
              </w:rPr>
              <w:t>97.85%</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26"/>
            <w:shd w:val="clear" w:color="auto" w:fill="008080"/>
            <w:tcMar>
              <w:top w:w="60" w:type="dxa"/>
              <w:bottom w:w="60" w:type="dxa"/>
              <w:start w:w="80" w:type="dxa"/>
              <w:end w:w="80" w:type="dxa"/>
            </w:tcMar>
          </w:tcPr>
          <w:p>
            <w:pPr>
              <w:jc w:val="center"/>
            </w:pPr>
            <w:r>
              <w:rPr>
                <w:rFonts w:ascii="Cambria" w:hAnsi="Cambria"/>
                <w:b/>
                <w:color w:val="FFFFFF"/>
                <w:sz w:val="20"/>
              </w:rPr>
              <w:t>Gene</w:t>
            </w:r>
          </w:p>
        </w:tc>
        <w:tc>
          <w:tcPr>
            <w:tcW w:type="dxa" w:w="1917"/>
            <w:shd w:val="clear" w:color="auto" w:fill="008080"/>
            <w:tcMar>
              <w:top w:w="60" w:type="dxa"/>
              <w:bottom w:w="60" w:type="dxa"/>
              <w:start w:w="80" w:type="dxa"/>
              <w:end w:w="80" w:type="dxa"/>
            </w:tcMar>
          </w:tcPr>
          <w:p>
            <w:pPr>
              <w:jc w:val="center"/>
            </w:pPr>
            <w:r>
              <w:rPr>
                <w:rFonts w:ascii="Cambria" w:hAnsi="Cambria"/>
                <w:b/>
                <w:color w:val="FFFFFF"/>
                <w:sz w:val="20"/>
              </w:rPr>
              <w:t>Region covered</w:t>
            </w:r>
          </w:p>
        </w:tc>
        <w:tc>
          <w:tcPr>
            <w:tcW w:type="dxa" w:w="1526"/>
            <w:shd w:val="clear" w:color="auto" w:fill="008080"/>
            <w:tcMar>
              <w:top w:w="60" w:type="dxa"/>
              <w:bottom w:w="60" w:type="dxa"/>
              <w:start w:w="80" w:type="dxa"/>
              <w:end w:w="80" w:type="dxa"/>
            </w:tcMar>
          </w:tcPr>
          <w:p>
            <w:pPr>
              <w:jc w:val="center"/>
            </w:pPr>
            <w:r>
              <w:rPr>
                <w:rFonts w:ascii="Cambria" w:hAnsi="Cambria"/>
                <w:b/>
                <w:color w:val="FFFFFF"/>
                <w:sz w:val="20"/>
              </w:rPr>
              <w:t>Gene_2</w:t>
            </w:r>
          </w:p>
        </w:tc>
        <w:tc>
          <w:tcPr>
            <w:tcW w:type="dxa" w:w="2017"/>
            <w:shd w:val="clear" w:color="auto" w:fill="008080"/>
            <w:tcMar>
              <w:top w:w="60" w:type="dxa"/>
              <w:bottom w:w="60" w:type="dxa"/>
              <w:start w:w="80" w:type="dxa"/>
              <w:end w:w="80" w:type="dxa"/>
            </w:tcMar>
          </w:tcPr>
          <w:p>
            <w:pPr>
              <w:jc w:val="center"/>
            </w:pPr>
            <w:r>
              <w:rPr>
                <w:rFonts w:ascii="Cambria" w:hAnsi="Cambria"/>
                <w:b/>
                <w:color w:val="FFFFFF"/>
                <w:sz w:val="20"/>
              </w:rPr>
              <w:t>Region covered_2</w:t>
            </w:r>
          </w:p>
        </w:tc>
        <w:tc>
          <w:tcPr>
            <w:tcW w:type="dxa" w:w="1462"/>
            <w:shd w:val="clear" w:color="auto" w:fill="008080"/>
            <w:tcMar>
              <w:top w:w="60" w:type="dxa"/>
              <w:bottom w:w="60" w:type="dxa"/>
              <w:start w:w="80" w:type="dxa"/>
              <w:end w:w="80" w:type="dxa"/>
            </w:tcMar>
          </w:tcPr>
          <w:p>
            <w:pPr>
              <w:jc w:val="center"/>
            </w:pPr>
            <w:r>
              <w:rPr>
                <w:rFonts w:ascii="Cambria" w:hAnsi="Cambria"/>
                <w:b/>
                <w:color w:val="FFFFFF"/>
                <w:sz w:val="20"/>
              </w:rPr>
              <w:t>Gene_3</w:t>
            </w:r>
          </w:p>
        </w:tc>
        <w:tc>
          <w:tcPr>
            <w:tcW w:type="dxa" w:w="2017"/>
            <w:shd w:val="clear" w:color="auto" w:fill="008080"/>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MT-ATP6</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MT-ND6</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MT-TL1</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MT-ATP8</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MT-RNR1</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MT-TL2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MT-CO1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MT-RNR2</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MT-TM</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MT-CO2</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MT-TA</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MT-TN</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MT-CO3</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MT-TC</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MT-TP</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MT-CYB</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MT-TD</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MT-TQ</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MT-ND1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MT-TE</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MT-TR</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MT-ND2</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MT-TF</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MT-TS1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MT-ND3</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MT-TG</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MT-TS2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MT-ND4</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MT-TH</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MT-TT</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MT-ND4L</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MT-TI</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MT-TV</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MT-ND5</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MT-TK</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MT-TW</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MT-TY</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Arial" w:hAnsi="Arial"/>
                <w:b w:val="0"/>
                <w:i w:val="0"/>
                <w:color w:val="000000"/>
                <w:sz w:val="16"/>
              </w:rPr>
            </w:r>
          </w:p>
        </w:tc>
        <w:tc>
          <w:tcPr>
            <w:tcW w:type="dxa" w:w="2017"/>
            <w:tcMar>
              <w:top w:w="60" w:type="dxa"/>
              <w:bottom w:w="60" w:type="dxa"/>
              <w:start w:w="80" w:type="dxa"/>
              <w:end w:w="80" w:type="dxa"/>
            </w:tcMar>
          </w:tcPr>
          <w:p>
            <w:pPr>
              <w:jc w:val="left"/>
            </w:pPr>
            <w:r>
              <w:rPr>
                <w:rFonts w:ascii="Arial" w:hAnsi="Arial"/>
                <w:b w:val="0"/>
                <w:i w:val="0"/>
                <w:color w:val="000000"/>
                <w:sz w:val="16"/>
              </w:rPr>
            </w:r>
          </w:p>
        </w:tc>
        <w:tc>
          <w:tcPr>
            <w:tcW w:type="dxa" w:w="1462"/>
            <w:tcMar>
              <w:top w:w="60" w:type="dxa"/>
              <w:bottom w:w="60" w:type="dxa"/>
              <w:start w:w="80" w:type="dxa"/>
              <w:end w:w="80" w:type="dxa"/>
            </w:tcMar>
          </w:tcPr>
          <w:p>
            <w:pPr>
              <w:jc w:val="left"/>
            </w:pPr>
            <w:r>
              <w:rPr>
                <w:rFonts w:ascii="Cambria" w:hAnsi="Cambria"/>
                <w:b w:val="0"/>
                <w:i w:val="0"/>
                <w:color w:val="000000"/>
                <w:sz w:val="19"/>
              </w:rPr>
            </w:r>
          </w:p>
        </w:tc>
        <w:tc>
          <w:tcPr>
            <w:tcW w:type="dxa" w:w="2017"/>
            <w:tcMar>
              <w:top w:w="60" w:type="dxa"/>
              <w:bottom w:w="60" w:type="dxa"/>
              <w:start w:w="80" w:type="dxa"/>
              <w:end w:w="80" w:type="dxa"/>
            </w:tcMar>
          </w:tcPr>
          <w:p>
            <w:pPr>
              <w:jc w:val="right"/>
            </w:pPr>
            <w:r>
              <w:rPr>
                <w:rFonts w:ascii="Cambria" w:hAnsi="Cambria"/>
                <w:b w:val="0"/>
                <w:i w:val="0"/>
                <w:color w:val="000000"/>
                <w:sz w:val="19"/>
              </w:rPr>
            </w:r>
          </w:p>
        </w:tc>
      </w:tr>
    </w:tbl>
    <w:p>
      <w:pPr>
        <w:spacing w:before="0" w:after="120" w:line="20" w:lineRule="exact"/>
      </w:pPr>
      <w:r>
        <w:rPr>
          <w:sz w:val="2"/>
        </w:rPr>
      </w:r>
    </w:p>
    <w:p>
      <w:pPr>
        <w:spacing w:before="107" w:after="120"/>
        <w:jc w:val="center"/>
      </w:pPr>
      <w:r>
        <w:drawing>
          <wp:inline xmlns:a="http://schemas.openxmlformats.org/drawingml/2006/main" xmlns:pic="http://schemas.openxmlformats.org/drawingml/2006/picture">
            <wp:extent cx="1536700" cy="6731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1"/>
          <w:footerReference w:type="default" r:id="rId2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008080"/>
            <w:tcMar>
              <w:top w:w="60" w:type="dxa"/>
              <w:bottom w:w="60" w:type="dxa"/>
              <w:start w:w="80" w:type="dxa"/>
              <w:end w:w="80" w:type="dxa"/>
            </w:tcMar>
          </w:tcPr>
          <w:p>
            <w:pPr>
              <w:jc w:val="center"/>
            </w:pPr>
            <w:r>
              <w:rPr>
                <w:rFonts w:ascii="Cambria" w:hAnsi="Cambria"/>
                <w:b/>
                <w:color w:val="FFFFFF"/>
                <w:sz w:val="20"/>
              </w:rPr>
              <w:t>Gene</w:t>
            </w:r>
          </w:p>
        </w:tc>
        <w:tc>
          <w:tcPr>
            <w:tcW w:type="dxa" w:w="1893"/>
            <w:shd w:val="clear" w:color="auto" w:fill="008080"/>
            <w:tcMar>
              <w:top w:w="60" w:type="dxa"/>
              <w:bottom w:w="60" w:type="dxa"/>
              <w:start w:w="80" w:type="dxa"/>
              <w:end w:w="80" w:type="dxa"/>
            </w:tcMar>
          </w:tcPr>
          <w:p>
            <w:pPr>
              <w:jc w:val="center"/>
            </w:pPr>
            <w:r>
              <w:rPr>
                <w:rFonts w:ascii="Cambria" w:hAnsi="Cambria"/>
                <w:b/>
                <w:color w:val="FFFFFF"/>
                <w:sz w:val="20"/>
              </w:rPr>
              <w:t>Region covered</w:t>
            </w:r>
          </w:p>
        </w:tc>
        <w:tc>
          <w:tcPr>
            <w:tcW w:type="dxa" w:w="1571"/>
            <w:shd w:val="clear" w:color="auto" w:fill="008080"/>
            <w:tcMar>
              <w:top w:w="60" w:type="dxa"/>
              <w:bottom w:w="60" w:type="dxa"/>
              <w:start w:w="80" w:type="dxa"/>
              <w:end w:w="80" w:type="dxa"/>
            </w:tcMar>
          </w:tcPr>
          <w:p>
            <w:pPr>
              <w:jc w:val="center"/>
            </w:pPr>
            <w:r>
              <w:rPr>
                <w:rFonts w:ascii="Cambria" w:hAnsi="Cambria"/>
                <w:b/>
                <w:color w:val="FFFFFF"/>
                <w:sz w:val="20"/>
              </w:rPr>
              <w:t>Gene_2</w:t>
            </w:r>
          </w:p>
        </w:tc>
        <w:tc>
          <w:tcPr>
            <w:tcW w:type="dxa" w:w="1990"/>
            <w:shd w:val="clear" w:color="auto" w:fill="008080"/>
            <w:tcMar>
              <w:top w:w="60" w:type="dxa"/>
              <w:bottom w:w="60" w:type="dxa"/>
              <w:start w:w="80" w:type="dxa"/>
              <w:end w:w="80" w:type="dxa"/>
            </w:tcMar>
          </w:tcPr>
          <w:p>
            <w:pPr>
              <w:jc w:val="center"/>
            </w:pPr>
            <w:r>
              <w:rPr>
                <w:rFonts w:ascii="Cambria" w:hAnsi="Cambria"/>
                <w:b/>
                <w:color w:val="FFFFFF"/>
                <w:sz w:val="20"/>
              </w:rPr>
              <w:t>Region covered_2</w:t>
            </w:r>
          </w:p>
        </w:tc>
        <w:tc>
          <w:tcPr>
            <w:tcW w:type="dxa" w:w="1511"/>
            <w:shd w:val="clear" w:color="auto" w:fill="008080"/>
            <w:tcMar>
              <w:top w:w="60" w:type="dxa"/>
              <w:bottom w:w="60" w:type="dxa"/>
              <w:start w:w="80" w:type="dxa"/>
              <w:end w:w="80" w:type="dxa"/>
            </w:tcMar>
          </w:tcPr>
          <w:p>
            <w:pPr>
              <w:jc w:val="center"/>
            </w:pPr>
            <w:r>
              <w:rPr>
                <w:rFonts w:ascii="Cambria" w:hAnsi="Cambria"/>
                <w:b/>
                <w:color w:val="FFFFFF"/>
                <w:sz w:val="20"/>
              </w:rPr>
              <w:t>Gene_3</w:t>
            </w:r>
          </w:p>
        </w:tc>
        <w:tc>
          <w:tcPr>
            <w:tcW w:type="dxa" w:w="1990"/>
            <w:shd w:val="clear" w:color="auto" w:fill="008080"/>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Gene</w:t>
            </w:r>
          </w:p>
        </w:tc>
        <w:tc>
          <w:tcPr>
            <w:tcW w:type="dxa" w:w="1893"/>
            <w:tcMar>
              <w:top w:w="60" w:type="dxa"/>
              <w:bottom w:w="60" w:type="dxa"/>
              <w:start w:w="80" w:type="dxa"/>
              <w:end w:w="80" w:type="dxa"/>
            </w:tcMar>
          </w:tcPr>
          <w:p>
            <w:pPr>
              <w:jc w:val="left"/>
            </w:pPr>
            <w:r>
              <w:rPr>
                <w:rFonts w:ascii="Cambria" w:hAnsi="Cambria"/>
                <w:b w:val="0"/>
                <w:i w:val="0"/>
                <w:color w:val="000000"/>
                <w:sz w:val="20"/>
              </w:rPr>
              <w:t>Region covered</w:t>
            </w:r>
          </w:p>
        </w:tc>
        <w:tc>
          <w:tcPr>
            <w:tcW w:type="dxa" w:w="1571"/>
            <w:tcMar>
              <w:top w:w="60" w:type="dxa"/>
              <w:bottom w:w="60" w:type="dxa"/>
              <w:start w:w="80" w:type="dxa"/>
              <w:end w:w="80" w:type="dxa"/>
            </w:tcMar>
          </w:tcPr>
          <w:p>
            <w:pPr>
              <w:jc w:val="left"/>
            </w:pPr>
            <w:r>
              <w:rPr>
                <w:rFonts w:ascii="Cambria" w:hAnsi="Cambria"/>
                <w:b/>
                <w:i/>
                <w:color w:val="000000"/>
                <w:sz w:val="20"/>
              </w:rPr>
              <w:t>Gene</w:t>
            </w:r>
          </w:p>
        </w:tc>
        <w:tc>
          <w:tcPr>
            <w:tcW w:type="dxa" w:w="1990"/>
            <w:tcMar>
              <w:top w:w="60" w:type="dxa"/>
              <w:bottom w:w="60" w:type="dxa"/>
              <w:start w:w="80" w:type="dxa"/>
              <w:end w:w="80" w:type="dxa"/>
            </w:tcMar>
          </w:tcPr>
          <w:p>
            <w:pPr>
              <w:jc w:val="left"/>
            </w:pPr>
            <w:r>
              <w:rPr>
                <w:rFonts w:ascii="Cambria" w:hAnsi="Cambria"/>
                <w:b w:val="0"/>
                <w:i w:val="0"/>
                <w:color w:val="000000"/>
                <w:sz w:val="20"/>
              </w:rPr>
              <w:t>Region covered</w:t>
            </w:r>
          </w:p>
        </w:tc>
        <w:tc>
          <w:tcPr>
            <w:tcW w:type="dxa" w:w="1511"/>
            <w:tcMar>
              <w:top w:w="60" w:type="dxa"/>
              <w:bottom w:w="60" w:type="dxa"/>
              <w:start w:w="80" w:type="dxa"/>
              <w:end w:w="80" w:type="dxa"/>
            </w:tcMar>
          </w:tcPr>
          <w:p>
            <w:pPr>
              <w:jc w:val="left"/>
            </w:pPr>
            <w:r>
              <w:rPr>
                <w:rFonts w:ascii="Cambria" w:hAnsi="Cambria"/>
                <w:b/>
                <w:i/>
                <w:color w:val="000000"/>
                <w:sz w:val="20"/>
              </w:rPr>
              <w:t>Gene</w:t>
            </w:r>
          </w:p>
        </w:tc>
        <w:tc>
          <w:tcPr>
            <w:tcW w:type="dxa" w:w="1990"/>
            <w:tcMar>
              <w:top w:w="60" w:type="dxa"/>
              <w:bottom w:w="60" w:type="dxa"/>
              <w:start w:w="80" w:type="dxa"/>
              <w:end w:w="80" w:type="dxa"/>
            </w:tcMar>
          </w:tcPr>
          <w:p>
            <w:pPr>
              <w:jc w:val="right"/>
            </w:pPr>
            <w:r>
              <w:rPr>
                <w:rFonts w:ascii="Cambria" w:hAnsi="Cambria"/>
                <w:b w:val="0"/>
                <w:i w:val="0"/>
                <w:color w:val="000000"/>
                <w:sz w:val="20"/>
              </w:rPr>
              <w:t>Region covered</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RAD50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CDK4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CDKN1B</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CDKN2A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CHEK2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FLCN</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FH</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MSH6</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APC</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EPCAM</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SMAD4</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MAX</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MEN1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MET</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MITF</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MLH1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MRE11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MSH2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MUTYH</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NBN</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ATM</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NF1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PMS2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SDHAF2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TMEM127</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PRKAR1A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PTCH1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PTEN</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BARD1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RAD51C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RAD51D</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RB1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RET</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SDHB</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BLM</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BMPR1A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BRCA1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BRCA2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STK11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TP53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TSC1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TSC2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VHL</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XRCC2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CDC73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PALB2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BAP1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BRIP1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CDH1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AXIN2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CTNNA1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DICER1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GREM1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HOXB13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KIT</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MSH3</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NTHL1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PDGFRA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POLD1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POLE</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SDHA</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SDHC</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SDHD</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SMARCA4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VPS13B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RNASEL</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ELAC2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MSR1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PRSS1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SPINK1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ABRAXAS1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ACVRL1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AKT1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BUB1B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CASR</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CDKN1C</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CEBPA</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DDX41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DIS3L2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EGFR</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ETV6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EXT1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EXT2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FANCC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GALNT12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GATA2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GPC3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HNF1A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HNF1B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HRAS</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KIF1B</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MC1R</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MLH3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NF2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PHOX2B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PIK3CA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PMS1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POT1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PTCH2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RECQL</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REST</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RNF43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RPS20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RUNX1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SAMD9L</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SMARCA2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SMARCB1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SMARCE1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SUFU</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71"/>
            <w:shd w:val="clear" w:color="auto" w:fill="f8fafc"/>
            <w:tcMar>
              <w:top w:w="60" w:type="dxa"/>
              <w:bottom w:w="60" w:type="dxa"/>
              <w:start w:w="80" w:type="dxa"/>
              <w:end w:w="80" w:type="dxa"/>
            </w:tcMar>
          </w:tcPr>
          <w:p>
            <w:pPr>
              <w:jc w:val="left"/>
            </w:pPr>
            <w:r>
              <w:rPr>
                <w:rFonts w:ascii="Cambria" w:hAnsi="Cambria"/>
                <w:b w:val="0"/>
                <w:i w:val="0"/>
                <w:color w:val="000000"/>
                <w:sz w:val="19"/>
              </w:rPr>
              <w:t>TERT</w:t>
              <w:br/>
              <w:t>Pag</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br/>
              <w:t>e 6 of 8</w:t>
            </w:r>
          </w:p>
        </w:tc>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TGFBR2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78" w:after="120"/>
        <w:jc w:val="center"/>
      </w:pPr>
      <w:r>
        <w:drawing>
          <wp:inline xmlns:a="http://schemas.openxmlformats.org/drawingml/2006/main" xmlns:pic="http://schemas.openxmlformats.org/drawingml/2006/picture">
            <wp:extent cx="1536700" cy="6731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3"/>
          <w:footerReference w:type="default" r:id="rId2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8"/>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620"/>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8"/>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TRIP13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WRN</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WT1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XRCC3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CDKN2B</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AIP</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ALK</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ANKRD26</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BRAF</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CBL</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CD70</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CEP57</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CYLD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DDB2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DKC1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EFL1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ELANE</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ERCC1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ERCC2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ERCC3</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ERCC4</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ERCC5</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EXO1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EZH2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FAM111B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FANCA</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FANCB</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FANCD2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FANCE</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FANCF</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FANCG</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FANCI</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FANCL</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FANCM</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GPR101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HAVCR2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IKZF1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KITLG</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KRAS</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LZTR1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MAP2K1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MAP2K2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NRAS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NSD1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NSUN2</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PAX5</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POLH</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PPM1D</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PRF1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PTPN11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RAF1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RASA2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RECQL4</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RHBDF2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RIT1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RRAS</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SAMD9</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SBDS</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SHOC2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SLX4</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SOS1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SOS2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SPRED1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SRP72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TINF2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XPA</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XPC</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CPA1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RFWD3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BTNL2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NHEJ1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RINT1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AR</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CD82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ATR</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PALLD</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ZFHX3</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AXIN1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TGFB1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ENG</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RAD51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LIG4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TOX3</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LSP1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RASAL1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MXI1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CFTR</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FGFR2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MAD2L2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MYSM1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MAP3K1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UBE2T</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ACD</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KLHDC8B</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NPAT</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TERF2IP</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ADA</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CARD11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CASP10</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CD27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CTLA4</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DOCK8</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FAS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FASLG</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ITK</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MAGT1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PIK3CD</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SH2D1A</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APCS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STXBP2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TNFRSF13B</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WAS</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CARMIL2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CASP8</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CTPS1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FADD</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FCHO1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val="0"/>
                <w:i w:val="0"/>
                <w:color w:val="000000"/>
                <w:sz w:val="19"/>
              </w:rPr>
              <w:t>IL2RA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Cambria" w:hAnsi="Cambria"/>
                <w:b w:val="0"/>
                <w:i w:val="0"/>
                <w:color w:val="000000"/>
                <w:sz w:val="19"/>
              </w:rPr>
              <w:t>IL2RB</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620"/>
            <w:shd w:val="clear" w:color="auto" w:fill="f8fafc"/>
            <w:tcMar>
              <w:top w:w="60" w:type="dxa"/>
              <w:bottom w:w="60" w:type="dxa"/>
              <w:start w:w="80" w:type="dxa"/>
              <w:end w:w="80" w:type="dxa"/>
            </w:tcMar>
          </w:tcPr>
          <w:p>
            <w:pPr>
              <w:jc w:val="left"/>
            </w:pPr>
            <w:r>
              <w:rPr>
                <w:rFonts w:ascii="Cambria" w:hAnsi="Cambria"/>
                <w:b w:val="0"/>
                <w:i w:val="0"/>
                <w:color w:val="000000"/>
                <w:sz w:val="19"/>
              </w:rPr>
              <w:t>MCM4</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8" name="Picture 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5"/>
          <w:footerReference w:type="default" r:id="rId2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71"/>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PIK3R1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PRKCD</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RAC2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RASGRP1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RHOH</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STAT3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STK4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TPP2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XIAP</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CREBBP</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MYD88</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STAT6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B2M</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EP300</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NOTCH1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TET2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BCL2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NOTCH2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TNFAIP3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FOXO1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TNFRSF14</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GNA13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PIM1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CD79A</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KMT2D</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CD79B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MYC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SOCS1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FAN1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CDK12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CHEK1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CUL2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DIS3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ERBB2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ESR2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TDO2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GFAP</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MED12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PPP2R2A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RAD54L</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SLC45A2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SPOP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val="0"/>
                <w:i w:val="0"/>
                <w:color w:val="000000"/>
                <w:sz w:val="19"/>
              </w:rPr>
              <w:t>TYR</w:t>
            </w:r>
          </w:p>
        </w:tc>
        <w:tc>
          <w:tcPr>
            <w:tcW w:type="dxa" w:w="1893"/>
            <w:tcMar>
              <w:top w:w="60" w:type="dxa"/>
              <w:bottom w:w="60" w:type="dxa"/>
              <w:start w:w="80" w:type="dxa"/>
              <w:end w:w="80" w:type="dxa"/>
            </w:tcMar>
          </w:tcPr>
          <w:p>
            <w:pPr>
              <w:jc w:val="left"/>
            </w:pPr>
            <w:r>
              <w:rPr>
                <w:rFonts w:ascii="Cambria" w:hAnsi="Cambria"/>
                <w:b w:val="0"/>
                <w:i w:val="0"/>
                <w:color w:val="000000"/>
                <w:sz w:val="19"/>
              </w:rPr>
              <w:t>100.00%</w:t>
            </w:r>
          </w:p>
        </w:tc>
        <w:tc>
          <w:tcPr>
            <w:tcW w:type="dxa" w:w="1511"/>
            <w:tcMar>
              <w:top w:w="60" w:type="dxa"/>
              <w:bottom w:w="60" w:type="dxa"/>
              <w:start w:w="80" w:type="dxa"/>
              <w:end w:w="80" w:type="dxa"/>
            </w:tcMar>
          </w:tcPr>
          <w:p>
            <w:pPr>
              <w:jc w:val="left"/>
            </w:pPr>
            <w:r>
              <w:rPr>
                <w:rFonts w:ascii="Cambria" w:hAnsi="Cambria"/>
                <w:b w:val="0"/>
                <w:i w:val="0"/>
                <w:color w:val="000000"/>
                <w:sz w:val="19"/>
              </w:rPr>
              <w:t>MBD4</w:t>
            </w:r>
          </w:p>
        </w:tc>
        <w:tc>
          <w:tcPr>
            <w:tcW w:type="dxa" w:w="1990"/>
            <w:tcMar>
              <w:top w:w="60" w:type="dxa"/>
              <w:bottom w:w="60" w:type="dxa"/>
              <w:start w:w="80" w:type="dxa"/>
              <w:end w:w="80" w:type="dxa"/>
            </w:tcMar>
          </w:tcPr>
          <w:p>
            <w:pPr>
              <w:jc w:val="left"/>
            </w:pPr>
            <w:r>
              <w:rPr>
                <w:rFonts w:ascii="Cambria" w:hAnsi="Cambria"/>
                <w:b w:val="0"/>
                <w:i w:val="0"/>
                <w:color w:val="000000"/>
                <w:sz w:val="19"/>
              </w:rPr>
              <w:t>100.00%</w:t>
            </w:r>
          </w:p>
        </w:tc>
        <w:tc>
          <w:tcPr>
            <w:tcW w:type="dxa" w:w="1571"/>
            <w:tcMar>
              <w:top w:w="60" w:type="dxa"/>
              <w:bottom w:w="60" w:type="dxa"/>
              <w:start w:w="80" w:type="dxa"/>
              <w:end w:w="80" w:type="dxa"/>
            </w:tcMar>
          </w:tcPr>
          <w:p>
            <w:pPr>
              <w:jc w:val="left"/>
            </w:pPr>
            <w:r>
              <w:rPr>
                <w:rFonts w:ascii="Cambria" w:hAnsi="Cambria"/>
                <w:b w:val="0"/>
                <w:i w:val="0"/>
                <w:color w:val="000000"/>
                <w:sz w:val="19"/>
              </w:rPr>
              <w:t>HBB</w:t>
            </w:r>
          </w:p>
        </w:tc>
        <w:tc>
          <w:tcPr>
            <w:tcW w:type="dxa" w:w="1990"/>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pStyle w:val="ListBullet"/>
        <w:spacing w:before="360" w:after="80" w:line="276" w:lineRule="auto"/>
        <w:jc w:val="center"/>
      </w:pPr>
      <w:r>
        <w:rPr>
          <w:rFonts w:ascii="Calibri" w:hAnsi="Calibri"/>
          <w:color w:val="000000"/>
          <w:sz w:val="20"/>
        </w:rPr>
        <w:t>End Of Report ------------------</w:t>
      </w:r>
    </w:p>
    <w:p>
      <w:pPr>
        <w:spacing w:before="360" w:after="120"/>
        <w:jc w:val="center"/>
      </w:pPr>
      <w:r>
        <w:drawing>
          <wp:inline xmlns:a="http://schemas.openxmlformats.org/drawingml/2006/main" xmlns:pic="http://schemas.openxmlformats.org/drawingml/2006/picture">
            <wp:extent cx="1536700" cy="6731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0" name="Picture 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1" name="Picture 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2" name="Picture 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pacing w:before="240" w:after="240"/>
        <w:jc w:val="center"/>
      </w:pPr>
      <w:r>
        <w:rPr>
          <w:rFonts w:ascii="Calibri" w:hAnsi="Calibri"/>
          <w:color w:val="000000"/>
          <w:sz w:val="20"/>
        </w:rPr>
        <w:t>------------------ End Of Report ------------------</w:t>
      </w:r>
    </w:p>
    <w:sectPr w:rsidR="00FC693F" w:rsidRPr="0006063C" w:rsidSect="00034616">
      <w:headerReference w:type="default" r:id="rId27"/>
      <w:footerReference w:type="default" r:id="rId28"/>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9.xml"/><Relationship Id="rId32" Type="http://schemas.openxmlformats.org/officeDocument/2006/relationships/footer" Target="footer10.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