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13"/>
        <w:gridCol w:w="3013"/>
        <w:gridCol w:w="3013"/>
      </w:tblGrid>
      <w:tr>
        <w:trPr>
          <w:trHeight w:hRule="exact" w:val="1300"/>
        </w:trPr>
        <w:tc>
          <w:tcPr>
            <w:tcW w:type="dxa" w:w="30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50" w:after="0"/>
              <w:ind w:left="0" w:right="1520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1F497D"/>
                <w:sz w:val="19"/>
              </w:rPr>
              <w:t>Case ID:</w:t>
            </w:r>
          </w:p>
        </w:tc>
        <w:tc>
          <w:tcPr>
            <w:tcW w:type="dxa" w:w="40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50" w:after="0"/>
              <w:ind w:left="16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0000000000</w:t>
            </w:r>
          </w:p>
        </w:tc>
        <w:tc>
          <w:tcPr>
            <w:tcW w:type="dxa" w:w="4830"/>
            <w:vMerge w:val="restart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0" w:after="0"/>
              <w:ind w:left="0" w:right="51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648460" cy="6477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8460" cy="647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320"/>
        </w:trPr>
        <w:tc>
          <w:tcPr>
            <w:tcW w:type="dxa" w:w="30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4" w:after="0"/>
              <w:ind w:left="0" w:right="101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1F497D"/>
                <w:sz w:val="19"/>
              </w:rPr>
              <w:t>Sample Type:</w:t>
            </w:r>
          </w:p>
        </w:tc>
        <w:tc>
          <w:tcPr>
            <w:tcW w:type="dxa" w:w="40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4" w:after="0"/>
              <w:ind w:left="16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BLOOD IN CCF DNA TUBE</w:t>
            </w:r>
          </w:p>
        </w:tc>
        <w:tc>
          <w:tcPr>
            <w:tcW w:type="dxa" w:w="3013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30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165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1F497D"/>
                <w:sz w:val="19"/>
              </w:rPr>
              <w:t>Name:</w:t>
            </w:r>
          </w:p>
        </w:tc>
        <w:tc>
          <w:tcPr>
            <w:tcW w:type="dxa" w:w="40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6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PATIENT NAME</w:t>
            </w:r>
          </w:p>
        </w:tc>
        <w:tc>
          <w:tcPr>
            <w:tcW w:type="dxa" w:w="3013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30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54" w:after="0"/>
              <w:ind w:left="0" w:right="192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1F497D"/>
                <w:sz w:val="19"/>
              </w:rPr>
              <w:t>Date &amp; Time Collected:</w:t>
            </w:r>
          </w:p>
        </w:tc>
        <w:tc>
          <w:tcPr>
            <w:tcW w:type="dxa" w:w="40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54" w:after="0"/>
              <w:ind w:left="16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07-Apr-2026 12:00 AM</w:t>
            </w:r>
          </w:p>
        </w:tc>
        <w:tc>
          <w:tcPr>
            <w:tcW w:type="dxa" w:w="3013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30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" w:after="0"/>
              <w:ind w:left="0" w:right="1432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1F497D"/>
                <w:sz w:val="19"/>
              </w:rPr>
              <w:t>Sex/Age:</w:t>
            </w:r>
          </w:p>
        </w:tc>
        <w:tc>
          <w:tcPr>
            <w:tcW w:type="dxa" w:w="40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" w:after="0"/>
              <w:ind w:left="16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Male/70 Years</w:t>
            </w:r>
          </w:p>
        </w:tc>
        <w:tc>
          <w:tcPr>
            <w:tcW w:type="dxa" w:w="3013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30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4" w:after="0"/>
              <w:ind w:left="0" w:right="202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1F497D"/>
                <w:sz w:val="19"/>
              </w:rPr>
              <w:t>Date &amp; Time Received:</w:t>
            </w:r>
          </w:p>
        </w:tc>
        <w:tc>
          <w:tcPr>
            <w:tcW w:type="dxa" w:w="40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4" w:after="0"/>
              <w:ind w:left="16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20-Apr-2026 12:16 PM</w:t>
            </w:r>
          </w:p>
        </w:tc>
        <w:tc>
          <w:tcPr>
            <w:tcW w:type="dxa" w:w="3013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30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16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1F497D"/>
                <w:sz w:val="19"/>
              </w:rPr>
              <w:t>Date &amp; Time Reported:</w:t>
            </w:r>
          </w:p>
        </w:tc>
        <w:tc>
          <w:tcPr>
            <w:tcW w:type="dxa" w:w="40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6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30-Apr-2026 05:55 PM</w:t>
            </w:r>
          </w:p>
        </w:tc>
        <w:tc>
          <w:tcPr>
            <w:tcW w:type="dxa" w:w="3013"/>
            <w:vMerge/>
            <w:tcBorders/>
          </w:tcPr>
          <w:p/>
        </w:tc>
      </w:tr>
      <w:tr>
        <w:trPr>
          <w:trHeight w:hRule="exact" w:val="338"/>
        </w:trPr>
        <w:tc>
          <w:tcPr>
            <w:tcW w:type="dxa" w:w="30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5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19"/>
              </w:rPr>
              <w:t>Report Version:</w:t>
            </w:r>
          </w:p>
        </w:tc>
        <w:tc>
          <w:tcPr>
            <w:tcW w:type="dxa" w:w="40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54" w:after="0"/>
              <w:ind w:left="16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301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38"/>
      </w:tblGrid>
      <w:tr>
        <w:trPr>
          <w:trHeight w:hRule="exact" w:val="550"/>
        </w:trPr>
        <w:tc>
          <w:tcPr>
            <w:tcW w:type="dxa" w:w="10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Clinical Indication: Metastatic Adenocarcinoma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38"/>
      </w:tblGrid>
      <w:tr>
        <w:trPr>
          <w:trHeight w:hRule="exact" w:val="434"/>
        </w:trPr>
        <w:tc>
          <w:tcPr>
            <w:tcW w:type="dxa" w:w="10484"/>
            <w:tcBorders/>
            <w:shd w:fill="bf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27"/>
              </w:rPr>
              <w:t>Positive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0.0" w:type="dxa"/>
      </w:tblPr>
      <w:tblGrid>
        <w:gridCol w:w="9038"/>
      </w:tblGrid>
      <w:tr>
        <w:trPr>
          <w:trHeight w:hRule="exact" w:val="314"/>
        </w:trPr>
        <w:tc>
          <w:tcPr>
            <w:tcW w:type="dxa" w:w="7580"/>
            <w:tcBorders/>
            <w:shd w:fill="bf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FFFFFF"/>
                <w:sz w:val="19"/>
              </w:rPr>
              <w:t>(Clinically significant Variant detected)</w:t>
            </w:r>
          </w:p>
        </w:tc>
      </w:tr>
    </w:tbl>
    <w:p>
      <w:pPr>
        <w:autoSpaceDN w:val="0"/>
        <w:autoSpaceDE w:val="0"/>
        <w:widowControl/>
        <w:spacing w:line="2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04"/>
        <w:gridCol w:w="1004"/>
        <w:gridCol w:w="1004"/>
        <w:gridCol w:w="1004"/>
        <w:gridCol w:w="1004"/>
        <w:gridCol w:w="1004"/>
        <w:gridCol w:w="1004"/>
        <w:gridCol w:w="1004"/>
        <w:gridCol w:w="1004"/>
      </w:tblGrid>
      <w:tr>
        <w:trPr>
          <w:trHeight w:hRule="exact" w:val="484"/>
        </w:trPr>
        <w:tc>
          <w:tcPr>
            <w:tcW w:type="dxa" w:w="324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71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8080"/>
                <w:sz w:val="24"/>
              </w:rPr>
              <w:t>Report Highlights:</w:t>
            </w:r>
          </w:p>
        </w:tc>
        <w:tc>
          <w:tcPr>
            <w:tcW w:type="dxa" w:w="52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06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6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8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216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258"/>
            <w:tcBorders/>
            <w:shd w:fill="f1f5f9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4"/>
        </w:trPr>
        <w:tc>
          <w:tcPr>
            <w:tcW w:type="dxa" w:w="184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1840"/>
            </w:tblGrid>
            <w:tr>
              <w:trPr>
                <w:trHeight w:hRule="exact" w:val="354"/>
              </w:trPr>
              <w:tc>
                <w:tcPr>
                  <w:tcW w:type="dxa" w:w="1000"/>
                  <w:tcBorders/>
                  <w:shd w:fill="00808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0" w:right="112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Tier 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238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Tier II</w:t>
            </w:r>
          </w:p>
        </w:tc>
        <w:tc>
          <w:tcPr>
            <w:tcW w:type="dxa" w:w="52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0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15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Tier III</w:t>
            </w:r>
          </w:p>
        </w:tc>
        <w:tc>
          <w:tcPr>
            <w:tcW w:type="dxa" w:w="12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26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MSI</w:t>
            </w:r>
          </w:p>
        </w:tc>
        <w:tc>
          <w:tcPr>
            <w:tcW w:type="dxa" w:w="6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8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21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Therapies</w:t>
            </w:r>
          </w:p>
        </w:tc>
        <w:tc>
          <w:tcPr>
            <w:tcW w:type="dxa" w:w="21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228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Clinical Trials</w:t>
            </w:r>
          </w:p>
        </w:tc>
        <w:tc>
          <w:tcPr>
            <w:tcW w:type="dxa" w:w="1258"/>
            <w:tcBorders/>
            <w:shd w:fill="f1f5f9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6"/>
        </w:trPr>
        <w:tc>
          <w:tcPr>
            <w:tcW w:type="dxa" w:w="184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1840"/>
            </w:tblGrid>
            <w:tr>
              <w:trPr>
                <w:trHeight w:hRule="exact" w:val="356"/>
              </w:trPr>
              <w:tc>
                <w:tcPr>
                  <w:tcW w:type="dxa" w:w="64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23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5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14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06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27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Stable</w:t>
            </w:r>
          </w:p>
        </w:tc>
        <w:tc>
          <w:tcPr>
            <w:tcW w:type="dxa" w:w="6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8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216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2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26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43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91"/>
        <w:gridCol w:w="1291"/>
        <w:gridCol w:w="1291"/>
        <w:gridCol w:w="1291"/>
        <w:gridCol w:w="1291"/>
        <w:gridCol w:w="1291"/>
        <w:gridCol w:w="1291"/>
      </w:tblGrid>
      <w:tr>
        <w:trPr>
          <w:trHeight w:hRule="exact" w:val="660"/>
        </w:trPr>
        <w:tc>
          <w:tcPr>
            <w:tcW w:type="dxa" w:w="488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36" w:after="0"/>
              <w:ind w:left="71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8080"/>
                <w:sz w:val="24"/>
              </w:rPr>
              <w:t>Key Findings:</w:t>
            </w:r>
          </w:p>
        </w:tc>
        <w:tc>
          <w:tcPr>
            <w:tcW w:type="dxa" w:w="20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54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12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458"/>
            <w:tcBorders/>
            <w:shd w:fill="f1f5f9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6"/>
        </w:trPr>
        <w:tc>
          <w:tcPr>
            <w:tcW w:type="dxa" w:w="16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192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Tier</w:t>
            </w:r>
          </w:p>
        </w:tc>
        <w:tc>
          <w:tcPr>
            <w:tcW w:type="dxa" w:w="326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0.0" w:type="dxa"/>
            </w:tblPr>
            <w:tblGrid>
              <w:gridCol w:w="3260"/>
            </w:tblGrid>
            <w:tr>
              <w:trPr>
                <w:trHeight w:hRule="exact" w:val="356"/>
              </w:trPr>
              <w:tc>
                <w:tcPr>
                  <w:tcW w:type="dxa" w:w="2460"/>
                  <w:tcBorders/>
                  <w:shd w:fill="00808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566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Gene &amp; Transcript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338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Variant</w:t>
            </w:r>
          </w:p>
        </w:tc>
        <w:tc>
          <w:tcPr>
            <w:tcW w:type="dxa" w:w="54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1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11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Exon</w:t>
            </w:r>
          </w:p>
        </w:tc>
        <w:tc>
          <w:tcPr>
            <w:tcW w:type="dxa" w:w="18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2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Coverage/VAF</w:t>
            </w:r>
          </w:p>
        </w:tc>
        <w:tc>
          <w:tcPr>
            <w:tcW w:type="dxa" w:w="1458"/>
            <w:tcBorders/>
            <w:shd w:fill="f1f5f9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4"/>
        </w:trPr>
        <w:tc>
          <w:tcPr>
            <w:tcW w:type="dxa" w:w="16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" w:after="0"/>
              <w:ind w:left="0" w:right="596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IIC</w:t>
            </w:r>
          </w:p>
        </w:tc>
        <w:tc>
          <w:tcPr>
            <w:tcW w:type="dxa" w:w="32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" w:after="0"/>
              <w:ind w:left="20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TP53</w:t>
            </w:r>
          </w:p>
        </w:tc>
        <w:tc>
          <w:tcPr>
            <w:tcW w:type="dxa" w:w="20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" w:after="0"/>
              <w:ind w:left="0" w:right="768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c.405C&gt;A</w:t>
            </w:r>
          </w:p>
        </w:tc>
        <w:tc>
          <w:tcPr>
            <w:tcW w:type="dxa" w:w="540"/>
            <w:vMerge w:val="restart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120"/>
            <w:vMerge w:val="restart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vMerge w:val="restart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4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" w:after="0"/>
              <w:ind w:left="13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691x /</w:t>
            </w:r>
          </w:p>
        </w:tc>
      </w:tr>
      <w:tr>
        <w:trPr>
          <w:trHeight w:hRule="exact" w:val="258"/>
        </w:trPr>
        <w:tc>
          <w:tcPr>
            <w:tcW w:type="dxa" w:w="488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928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NM 000546.6</w:t>
            </w:r>
          </w:p>
        </w:tc>
        <w:tc>
          <w:tcPr>
            <w:tcW w:type="dxa" w:w="20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74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  <w:tc>
          <w:tcPr>
            <w:tcW w:type="dxa" w:w="1291"/>
            <w:vMerge/>
            <w:tcBorders/>
          </w:tcPr>
          <w:p/>
        </w:tc>
        <w:tc>
          <w:tcPr>
            <w:tcW w:type="dxa" w:w="1291"/>
            <w:vMerge/>
            <w:tcBorders/>
          </w:tcPr>
          <w:p/>
        </w:tc>
        <w:tc>
          <w:tcPr>
            <w:tcW w:type="dxa" w:w="1291"/>
            <w:vMerge/>
            <w:tcBorders/>
          </w:tcPr>
          <w:p/>
        </w:tc>
        <w:tc>
          <w:tcPr>
            <w:tcW w:type="dxa" w:w="14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2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93.13%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4519"/>
        <w:gridCol w:w="4519"/>
      </w:tblGrid>
      <w:tr>
        <w:trPr>
          <w:trHeight w:hRule="exact" w:val="312"/>
        </w:trPr>
        <w:tc>
          <w:tcPr>
            <w:tcW w:type="dxa" w:w="200"/>
            <w:tcBorders/>
            <w:shd w:fill="f7f7f7"/>
            <w:tcMar>
              <w:start w:w="0" w:type="dxa"/>
              <w:end w:w="0" w:type="dxa"/>
            </w:tcMar>
          </w:tcPr>
          <w:p/>
        </w:tc>
        <w:tc>
          <w:tcPr>
            <w:tcW w:type="dxa" w:w="1028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90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_</w:t>
            </w:r>
          </w:p>
        </w:tc>
      </w:tr>
      <w:tr>
        <w:trPr>
          <w:trHeight w:hRule="exact" w:val="482"/>
        </w:trPr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3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2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6" w:after="0"/>
              <w:ind w:left="96" w:right="0" w:firstLine="0"/>
              <w:jc w:val="left"/>
            </w:pPr>
            <w:r>
              <w:rPr>
                <w:rFonts w:ascii="Cambria" w:hAnsi="Cambria" w:eastAsia="Cambria"/>
                <w:b/>
                <w:i/>
                <w:color w:val="000000"/>
                <w:sz w:val="20"/>
              </w:rPr>
              <w:t>Genetic test results are reported based on the recommendations of AMP-ASCO-CAP guidelines. **Public data</w:t>
            </w:r>
          </w:p>
        </w:tc>
      </w:tr>
    </w:tbl>
    <w:p>
      <w:pPr>
        <w:autoSpaceDN w:val="0"/>
        <w:autoSpaceDE w:val="0"/>
        <w:widowControl/>
        <w:spacing w:line="240" w:lineRule="auto" w:before="4" w:after="176"/>
        <w:ind w:left="1016" w:right="0" w:firstLine="0"/>
        <w:jc w:val="left"/>
      </w:pPr>
      <w:r>
        <w:rPr>
          <w:shd w:val="clear" w:color="auto" w:fill="000000"/>
          <w:rFonts w:ascii="Cambria" w:hAnsi="Cambria" w:eastAsia="Cambria"/>
          <w:b/>
          <w:i/>
          <w:color w:val="000000"/>
          <w:sz w:val="20"/>
        </w:rPr>
        <w:t>sources included in relevant targeted therapies, guidelines: EMA, FDA, ESMO, NCCN.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13"/>
        <w:gridCol w:w="3013"/>
        <w:gridCol w:w="3013"/>
      </w:tblGrid>
      <w:tr>
        <w:trPr>
          <w:trHeight w:hRule="exact" w:val="484"/>
        </w:trPr>
        <w:tc>
          <w:tcPr>
            <w:tcW w:type="dxa" w:w="48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008080"/>
                <w:sz w:val="24"/>
              </w:rPr>
              <w:t>Multi-Gene Biomarkers Results:</w:t>
            </w:r>
          </w:p>
        </w:tc>
        <w:tc>
          <w:tcPr>
            <w:tcW w:type="dxa" w:w="24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4598"/>
            <w:tcBorders/>
            <w:shd w:fill="f1f5f9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4"/>
        </w:trPr>
        <w:tc>
          <w:tcPr>
            <w:tcW w:type="dxa" w:w="484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4840"/>
            </w:tblGrid>
            <w:tr>
              <w:trPr>
                <w:trHeight w:hRule="exact" w:val="354"/>
              </w:trPr>
              <w:tc>
                <w:tcPr>
                  <w:tcW w:type="dxa" w:w="3620"/>
                  <w:tcBorders/>
                  <w:shd w:fill="00808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0" w:right="488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Assay Biomarker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4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59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8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Interpretation</w:t>
            </w:r>
          </w:p>
        </w:tc>
      </w:tr>
      <w:tr>
        <w:trPr>
          <w:trHeight w:hRule="exact" w:val="376"/>
        </w:trPr>
        <w:tc>
          <w:tcPr>
            <w:tcW w:type="dxa" w:w="484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4840"/>
            </w:tblGrid>
            <w:tr>
              <w:trPr>
                <w:trHeight w:hRule="exact" w:val="356"/>
              </w:trPr>
              <w:tc>
                <w:tcPr>
                  <w:tcW w:type="dxa" w:w="336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Microsatellite Instability (MSI)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4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1296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Stable</w:t>
            </w:r>
          </w:p>
        </w:tc>
        <w:tc>
          <w:tcPr>
            <w:tcW w:type="dxa" w:w="459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8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Stable Microsatellite detected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38"/>
      </w:tblGrid>
      <w:tr>
        <w:trPr>
          <w:trHeight w:hRule="exact" w:val="498"/>
        </w:trPr>
        <w:tc>
          <w:tcPr>
            <w:tcW w:type="dxa" w:w="10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6" w:after="0"/>
              <w:ind w:left="0" w:right="0" w:firstLine="0"/>
              <w:jc w:val="left"/>
            </w:pPr>
            <w:r>
              <w:rPr>
                <w:rFonts w:ascii="Cambria" w:hAnsi="Cambria" w:eastAsia="Cambria"/>
                <w:b/>
                <w:i/>
                <w:color w:val="000000"/>
                <w:sz w:val="20"/>
              </w:rPr>
              <w:t># Correlation of the genetic findings with the clinical condition of the patient is required to arrive at accurate</w:t>
            </w:r>
          </w:p>
        </w:tc>
      </w:tr>
    </w:tbl>
    <w:p>
      <w:pPr>
        <w:autoSpaceDN w:val="0"/>
        <w:autoSpaceDE w:val="0"/>
        <w:widowControl/>
        <w:spacing w:line="240" w:lineRule="auto" w:before="18" w:after="0"/>
        <w:ind w:left="716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diagnosis, prognosis or therapeutic decisions.</w:t>
      </w:r>
    </w:p>
    <w:p>
      <w:pPr>
        <w:autoSpaceDN w:val="0"/>
        <w:autoSpaceDE w:val="0"/>
        <w:widowControl/>
        <w:spacing w:line="240" w:lineRule="auto" w:before="21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32889" cy="675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2889" cy="675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56" w:after="194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7460" cy="5524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" cy="5524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38"/>
      </w:tblGrid>
      <w:tr>
        <w:trPr>
          <w:trHeight w:hRule="exact" w:val="3034"/>
        </w:trPr>
        <w:tc>
          <w:tcPr>
            <w:tcW w:type="dxa" w:w="1191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7460" cy="54355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460" cy="5435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38"/>
      </w:tblGrid>
      <w:tr>
        <w:trPr>
          <w:trHeight w:hRule="exact" w:val="3196"/>
        </w:trPr>
        <w:tc>
          <w:tcPr>
            <w:tcW w:type="dxa" w:w="1191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3710" cy="19913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710" cy="1991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08"/>
        <w:gridCol w:w="1808"/>
        <w:gridCol w:w="1808"/>
        <w:gridCol w:w="1808"/>
        <w:gridCol w:w="1808"/>
      </w:tblGrid>
      <w:tr>
        <w:trPr>
          <w:trHeight w:hRule="exact" w:val="484"/>
        </w:trPr>
        <w:tc>
          <w:tcPr>
            <w:tcW w:type="dxa" w:w="4156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71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8080"/>
                <w:sz w:val="24"/>
              </w:rPr>
              <w:t>Clinical Significance:</w:t>
            </w:r>
          </w:p>
        </w:tc>
        <w:tc>
          <w:tcPr>
            <w:tcW w:type="dxa" w:w="844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253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38"/>
            <w:tcBorders/>
            <w:shd w:fill="f1f5f9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4"/>
        </w:trPr>
        <w:tc>
          <w:tcPr>
            <w:tcW w:type="dxa" w:w="4156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4156"/>
            </w:tblGrid>
            <w:tr>
              <w:trPr>
                <w:trHeight w:hRule="exact" w:val="354"/>
              </w:trPr>
              <w:tc>
                <w:tcPr>
                  <w:tcW w:type="dxa" w:w="2960"/>
                  <w:tcBorders/>
                  <w:shd w:fill="00808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4" w:after="0"/>
                    <w:ind w:left="0" w:right="476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Assay Biomarker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44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253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55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95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38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3438"/>
            </w:tblGrid>
            <w:tr>
              <w:trPr>
                <w:trHeight w:hRule="exact" w:val="354"/>
              </w:trPr>
              <w:tc>
                <w:tcPr>
                  <w:tcW w:type="dxa" w:w="2624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74" w:after="0"/>
                    <w:ind w:left="126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Interpretation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74"/>
        </w:trPr>
        <w:tc>
          <w:tcPr>
            <w:tcW w:type="dxa" w:w="4156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4156"/>
            </w:tblGrid>
            <w:tr>
              <w:trPr>
                <w:trHeight w:hRule="exact" w:val="354"/>
              </w:trPr>
              <w:tc>
                <w:tcPr>
                  <w:tcW w:type="dxa" w:w="2040"/>
                  <w:tcBorders/>
                  <w:shd w:fill="a5a6a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0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19"/>
                    </w:rPr>
                    <w:t>Variant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44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253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464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Therapy</w:t>
            </w:r>
          </w:p>
        </w:tc>
        <w:tc>
          <w:tcPr>
            <w:tcW w:type="dxa" w:w="95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38"/>
            <w:tcBorders/>
            <w:shd w:fill="f1f5f9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4"/>
        </w:trPr>
        <w:tc>
          <w:tcPr>
            <w:tcW w:type="dxa" w:w="4156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480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IIC</w:t>
            </w:r>
          </w:p>
        </w:tc>
        <w:tc>
          <w:tcPr>
            <w:tcW w:type="dxa" w:w="844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48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▪None*</w:t>
            </w:r>
          </w:p>
        </w:tc>
        <w:tc>
          <w:tcPr>
            <w:tcW w:type="dxa" w:w="253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2530"/>
            </w:tblGrid>
            <w:tr>
              <w:trPr>
                <w:trHeight w:hRule="exact" w:val="400"/>
              </w:trPr>
              <w:tc>
                <w:tcPr>
                  <w:tcW w:type="dxa" w:w="200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58" w:after="0"/>
                    <w:ind w:left="6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6666"/>
                      <w:sz w:val="24"/>
                    </w:rPr>
                    <w:t>In This Cancer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5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480" w:after="0"/>
              <w:ind w:left="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▪None*</w:t>
            </w:r>
          </w:p>
        </w:tc>
        <w:tc>
          <w:tcPr>
            <w:tcW w:type="dxa" w:w="343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79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6666"/>
                <w:sz w:val="24"/>
              </w:rPr>
              <w:t>In Other Cancer</w:t>
            </w:r>
          </w:p>
        </w:tc>
      </w:tr>
    </w:tbl>
    <w:p>
      <w:pPr>
        <w:autoSpaceDN w:val="0"/>
        <w:autoSpaceDE w:val="0"/>
        <w:widowControl/>
        <w:spacing w:line="240" w:lineRule="auto" w:before="2" w:after="0"/>
        <w:ind w:left="792" w:right="0" w:firstLine="0"/>
        <w:jc w:val="left"/>
      </w:pP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>TP53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1808"/>
        <w:gridCol w:w="1808"/>
        <w:gridCol w:w="1808"/>
        <w:gridCol w:w="1808"/>
        <w:gridCol w:w="1808"/>
      </w:tblGrid>
      <w:tr>
        <w:trPr>
          <w:trHeight w:hRule="exact" w:val="558"/>
        </w:trPr>
        <w:tc>
          <w:tcPr>
            <w:tcW w:type="dxa" w:w="1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" w:after="0"/>
              <w:ind w:left="7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p.(C135*)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864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4"/>
        </w:trPr>
        <w:tc>
          <w:tcPr>
            <w:tcW w:type="dxa" w:w="1844"/>
            <w:tcBorders/>
            <w:shd w:fill="00808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Variant</w:t>
            </w:r>
          </w:p>
        </w:tc>
        <w:tc>
          <w:tcPr>
            <w:tcW w:type="dxa" w:w="856"/>
            <w:tcBorders/>
            <w:shd w:fill="008080"/>
            <w:tcMar>
              <w:start w:w="0" w:type="dxa"/>
              <w:end w:w="0" w:type="dxa"/>
            </w:tcMar>
          </w:tcPr>
          <w:p/>
        </w:tc>
        <w:tc>
          <w:tcPr>
            <w:tcW w:type="dxa" w:w="3440"/>
            <w:tcBorders/>
            <w:shd w:fill="00808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26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Diagnostic Significance</w:t>
            </w:r>
          </w:p>
        </w:tc>
        <w:tc>
          <w:tcPr>
            <w:tcW w:type="dxa" w:w="3480"/>
            <w:tcBorders/>
            <w:shd w:fill="00808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262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Prognostic Significance</w:t>
            </w:r>
          </w:p>
        </w:tc>
        <w:tc>
          <w:tcPr>
            <w:tcW w:type="dxa" w:w="864"/>
            <w:tcBorders/>
            <w:shd w:fill="008080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4"/>
        </w:trPr>
        <w:tc>
          <w:tcPr>
            <w:tcW w:type="dxa" w:w="1844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TP53</w:t>
            </w:r>
          </w:p>
        </w:tc>
        <w:tc>
          <w:tcPr>
            <w:tcW w:type="dxa" w:w="85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None*</w:t>
            </w:r>
          </w:p>
        </w:tc>
        <w:tc>
          <w:tcPr>
            <w:tcW w:type="dxa" w:w="3440"/>
            <w:tcBorders/>
            <w:shd w:fill="f7f7f7"/>
            <w:tcMar>
              <w:start w:w="0" w:type="dxa"/>
              <w:end w:w="0" w:type="dxa"/>
            </w:tcMar>
          </w:tcPr>
          <w:p/>
        </w:tc>
        <w:tc>
          <w:tcPr>
            <w:tcW w:type="dxa" w:w="3480"/>
            <w:tcBorders/>
            <w:shd w:fill="f7f7f7"/>
            <w:tcMar>
              <w:start w:w="0" w:type="dxa"/>
              <w:end w:w="0" w:type="dxa"/>
            </w:tcMar>
          </w:tcPr>
          <w:p/>
        </w:tc>
        <w:tc>
          <w:tcPr>
            <w:tcW w:type="dxa" w:w="8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6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None*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38"/>
      </w:tblGrid>
      <w:tr>
        <w:trPr>
          <w:trHeight w:hRule="exact" w:val="296"/>
        </w:trPr>
        <w:tc>
          <w:tcPr>
            <w:tcW w:type="dxa" w:w="6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41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</w:tr>
    </w:tbl>
    <w:p>
      <w:pPr>
        <w:autoSpaceDN w:val="0"/>
        <w:autoSpaceDE w:val="0"/>
        <w:widowControl/>
        <w:spacing w:line="1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9"/>
        <w:gridCol w:w="4519"/>
      </w:tblGrid>
      <w:tr>
        <w:trPr>
          <w:trHeight w:hRule="exact" w:val="484"/>
        </w:trPr>
        <w:tc>
          <w:tcPr>
            <w:tcW w:type="dxa" w:w="11918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71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8080"/>
                <w:sz w:val="24"/>
              </w:rPr>
              <w:t>Biomarker Description:</w:t>
            </w:r>
          </w:p>
        </w:tc>
      </w:tr>
      <w:tr>
        <w:trPr>
          <w:trHeight w:hRule="exact" w:val="376"/>
        </w:trPr>
        <w:tc>
          <w:tcPr>
            <w:tcW w:type="dxa" w:w="228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2280"/>
            </w:tblGrid>
            <w:tr>
              <w:trPr>
                <w:trHeight w:hRule="exact" w:val="356"/>
              </w:trPr>
              <w:tc>
                <w:tcPr>
                  <w:tcW w:type="dxa" w:w="1320"/>
                  <w:tcBorders/>
                  <w:shd w:fill="00808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0" w:right="208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Variant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63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414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Biomarker Description</w:t>
            </w:r>
          </w:p>
        </w:tc>
      </w:tr>
      <w:tr>
        <w:trPr>
          <w:trHeight w:hRule="exact" w:val="284"/>
        </w:trPr>
        <w:tc>
          <w:tcPr>
            <w:tcW w:type="dxa" w:w="22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" w:after="0"/>
              <w:ind w:left="0" w:right="1048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TP53</w:t>
            </w:r>
          </w:p>
        </w:tc>
        <w:tc>
          <w:tcPr>
            <w:tcW w:type="dxa" w:w="963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" w:after="0"/>
              <w:ind w:left="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The TP53 gene encodes the tumor suppressor protein p53, which binds to DNA and activates</w:t>
            </w:r>
          </w:p>
        </w:tc>
      </w:tr>
      <w:tr>
        <w:trPr>
          <w:trHeight w:hRule="exact" w:val="240"/>
        </w:trPr>
        <w:tc>
          <w:tcPr>
            <w:tcW w:type="dxa" w:w="22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0" w:right="358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NM 000546.6</w:t>
            </w:r>
          </w:p>
        </w:tc>
        <w:tc>
          <w:tcPr>
            <w:tcW w:type="dxa" w:w="963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transcription in response to diverse cellular stresses to induce cell cycle arrest, apoptosis, or</w:t>
            </w:r>
          </w:p>
        </w:tc>
      </w:tr>
      <w:tr>
        <w:trPr>
          <w:trHeight w:hRule="exact" w:val="240"/>
        </w:trPr>
        <w:tc>
          <w:tcPr>
            <w:tcW w:type="dxa" w:w="22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0" w:right="141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_</w:t>
            </w:r>
          </w:p>
        </w:tc>
        <w:tc>
          <w:tcPr>
            <w:tcW w:type="dxa" w:w="963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DNA repair[1]. In unstressed cells, TP53 is kept inactive by targeted degradation via MDM2, a</w:t>
            </w:r>
          </w:p>
        </w:tc>
      </w:tr>
      <w:tr>
        <w:trPr>
          <w:trHeight w:hRule="exact" w:val="240"/>
        </w:trPr>
        <w:tc>
          <w:tcPr>
            <w:tcW w:type="dxa" w:w="22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0" w:right="22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chr17:7578525</w:t>
            </w:r>
          </w:p>
        </w:tc>
        <w:tc>
          <w:tcPr>
            <w:tcW w:type="dxa" w:w="963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substrate recognition factor for ubiquitin-dependent proteolysis[2]. Alterations in TP53 are</w:t>
            </w:r>
          </w:p>
        </w:tc>
      </w:tr>
      <w:tr>
        <w:trPr>
          <w:trHeight w:hRule="exact" w:val="240"/>
        </w:trPr>
        <w:tc>
          <w:tcPr>
            <w:tcW w:type="dxa" w:w="22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0" w:right="70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c.405C&gt;A</w:t>
            </w:r>
          </w:p>
        </w:tc>
        <w:tc>
          <w:tcPr>
            <w:tcW w:type="dxa" w:w="963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required for oncogenesis as they result in loss of protein function and gain of transforming</w:t>
            </w:r>
          </w:p>
        </w:tc>
      </w:tr>
      <w:tr>
        <w:trPr>
          <w:trHeight w:hRule="exact" w:val="258"/>
        </w:trPr>
        <w:tc>
          <w:tcPr>
            <w:tcW w:type="dxa" w:w="22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78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  <w:tc>
          <w:tcPr>
            <w:tcW w:type="dxa" w:w="963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potential[3]. Germline mutations in TP53 are the underlying cause of Li-Fraumeni syndrome, a</w:t>
            </w:r>
          </w:p>
        </w:tc>
      </w:tr>
    </w:tbl>
    <w:p>
      <w:pPr>
        <w:autoSpaceDN w:val="0"/>
        <w:autoSpaceDE w:val="0"/>
        <w:widowControl/>
        <w:spacing w:line="245" w:lineRule="auto" w:before="2" w:after="256"/>
        <w:ind w:left="2350" w:right="158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complex hereditary cancer predisposition disorder associated with early-onset cancers[4,5].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TP53 is the most frequently mutated gene in the cancer genome with approximately half of all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cancers experiencing TP53 mutations. Ovarian, head and neck, esophageal, and lung squamous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cancers have particularly high TP53 mutation rates (60-90%)[6,7,8,9,10,11]. Approximately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two-thirds of TP53 mutations are missense mutations and several recurrent missense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mutations are common, including substitutions at codons R158, R175, Y220, R248, R273, and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R282[6,7]. Invariably, recurrent missense mutations in TP53 inactivate its ability to bind DNA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and activate transcription of target genes[12,13,14,15]. Alterations in TP53 are also observed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in pediatric cancers[6,7]. Somatic mutations are observed in 53% of non-Hodgkin lymphoma,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24% of soft tissue sarcoma, 19% of glioma, 13% of bone cancer, 9% of B-lymphoblastic </w:t>
      </w:r>
      <w:r>
        <w:rPr>
          <w:rFonts w:ascii="Cambria" w:hAnsi="Cambria" w:eastAsia="Cambria"/>
          <w:b w:val="0"/>
          <w:i w:val="0"/>
          <w:color w:val="000000"/>
          <w:sz w:val="20"/>
        </w:rPr>
        <w:t>leukemia/lymphoma, 4% of embryonal tumors, 3% of Wilms tumor and leukemia, 2% of T-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lymphoblastic leukemia/lymphoma, and less than 1% of peripheral nervous system cancers (5 </w:t>
      </w:r>
      <w:r>
        <w:rPr>
          <w:rFonts w:ascii="Cambria" w:hAnsi="Cambria" w:eastAsia="Cambria"/>
          <w:b w:val="0"/>
          <w:i w:val="0"/>
          <w:color w:val="000000"/>
          <w:sz w:val="20"/>
        </w:rPr>
        <w:t>in 1158 cases )[6,7]. Biallelic loss of TP53 is observed in 10% of bone cancer, 2% of Wilms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38"/>
      </w:tblGrid>
      <w:tr>
        <w:trPr>
          <w:trHeight w:hRule="exact" w:val="1186"/>
        </w:trPr>
        <w:tc>
          <w:tcPr>
            <w:tcW w:type="dxa" w:w="1191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32889" cy="67690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2889" cy="6769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0" w:lineRule="auto" w:before="19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7460" cy="5524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" cy="552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5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7460" cy="5422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" cy="542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9"/>
        <w:gridCol w:w="4519"/>
      </w:tblGrid>
      <w:tr>
        <w:trPr>
          <w:trHeight w:hRule="exact" w:val="3404"/>
        </w:trPr>
        <w:tc>
          <w:tcPr>
            <w:tcW w:type="dxa" w:w="16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023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457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43710" cy="19913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710" cy="1991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376"/>
        </w:trPr>
        <w:tc>
          <w:tcPr>
            <w:tcW w:type="dxa" w:w="168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1680"/>
            </w:tblGrid>
            <w:tr>
              <w:trPr>
                <w:trHeight w:hRule="exact" w:val="356"/>
              </w:trPr>
              <w:tc>
                <w:tcPr>
                  <w:tcW w:type="dxa" w:w="960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7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Variant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23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230"/>
            </w:tblGrid>
            <w:tr>
              <w:trPr>
                <w:trHeight w:hRule="exact" w:val="356"/>
              </w:trPr>
              <w:tc>
                <w:tcPr>
                  <w:tcW w:type="dxa" w:w="9524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2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Biomarker Description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38"/>
      </w:tblGrid>
      <w:tr>
        <w:trPr>
          <w:trHeight w:hRule="exact" w:val="298"/>
        </w:trPr>
        <w:tc>
          <w:tcPr>
            <w:tcW w:type="dxa" w:w="10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74" w:after="0"/>
              <w:ind w:left="102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tumor, and less than 1% of B-lymphoblastic leukemia/lymphoma (2 in 731 cases) and</w:t>
            </w:r>
          </w:p>
        </w:tc>
      </w:tr>
    </w:tbl>
    <w:p>
      <w:pPr>
        <w:autoSpaceDN w:val="0"/>
        <w:autoSpaceDE w:val="0"/>
        <w:widowControl/>
        <w:spacing w:line="240" w:lineRule="auto" w:before="2" w:after="0"/>
        <w:ind w:left="1748" w:right="0" w:firstLine="0"/>
        <w:jc w:val="left"/>
      </w:pP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>leukemia (1 in 250 cases)[6,7].</w:t>
      </w:r>
    </w:p>
    <w:p>
      <w:pPr>
        <w:autoSpaceDN w:val="0"/>
        <w:autoSpaceDE w:val="0"/>
        <w:widowControl/>
        <w:spacing w:line="245" w:lineRule="auto" w:before="2" w:after="0"/>
        <w:ind w:left="1748" w:right="230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The small molecule p53 reactivator, PC14586[16] (2020), received a fast track designation by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the FDA for advanced tumors harboring a TP53 Y220C mutation. The FDA has granted fast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track designation to the p53 reactivator, eprenetapopt[17], (2019) and breakthrough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designation[18] (2020) in combination with azacitidine or azacitidine and venetoclax for acute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myeloid leukemia patients (AML) and myelodysplastic syndrome (MDS) harboring a TP53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mutation, respectively. In addition to investigational therapies aimed at restoring wild-type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TP53 activity, compounds that induce synthetic lethality are also under clinical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evaluation[19,20]. TP53 mutation are a diagnostic marker of SHH-activated, TP53-mutant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medulloblastoma[21]. TP53 mutations confer poor prognosis and poor risk in multiple blood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cancers including AML, MDS, myeloproliferative neoplasms (MPN), and chronic lymphocytic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leukemia (CLL), and acute lymphoblastic leukemia (ALL)[22,23,24,25,26,27]. In mantle cell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lymphoma, TP53 mutations are associated with poor prognosis when treated with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conventional therapy including hematopoietic cell transplant[28]. Mono- and bi-allelic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mutations in TP53 confer unique characteristics in MDS, with multi-hit patients also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experiencing associations with complex karyotype, few co-occurring mutations, and high-risk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disease presentation as well as predicted death and leukemic transformation independent of </w:t>
      </w:r>
      <w:r>
        <w:rPr>
          <w:rFonts w:ascii="Cambria" w:hAnsi="Cambria" w:eastAsia="Cambria"/>
          <w:b w:val="0"/>
          <w:i w:val="0"/>
          <w:color w:val="000000"/>
          <w:sz w:val="19"/>
        </w:rPr>
        <w:t>the IPSS-R staging system[29].</w:t>
      </w:r>
    </w:p>
    <w:p>
      <w:pPr>
        <w:autoSpaceDN w:val="0"/>
        <w:autoSpaceDE w:val="0"/>
        <w:widowControl/>
        <w:spacing w:line="240" w:lineRule="auto" w:before="314" w:after="146"/>
        <w:ind w:left="716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Therapy &amp; Clinical Trials: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04"/>
        <w:gridCol w:w="1004"/>
        <w:gridCol w:w="1004"/>
        <w:gridCol w:w="1004"/>
        <w:gridCol w:w="1004"/>
        <w:gridCol w:w="1004"/>
        <w:gridCol w:w="1004"/>
        <w:gridCol w:w="1004"/>
        <w:gridCol w:w="1004"/>
      </w:tblGrid>
      <w:tr>
        <w:trPr>
          <w:trHeight w:hRule="exact" w:val="386"/>
        </w:trPr>
        <w:tc>
          <w:tcPr>
            <w:tcW w:type="dxa" w:w="42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71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8080"/>
                <w:sz w:val="20"/>
              </w:rPr>
              <w:t>TP53 p.(C135*) c.405C&gt;A</w:t>
            </w:r>
          </w:p>
        </w:tc>
        <w:tc>
          <w:tcPr>
            <w:tcW w:type="dxa" w:w="236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5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6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858"/>
            <w:tcBorders/>
            <w:shd w:fill="f1f5f9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4"/>
        </w:trPr>
        <w:tc>
          <w:tcPr>
            <w:tcW w:type="dxa" w:w="426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4260"/>
            </w:tblGrid>
            <w:tr>
              <w:trPr>
                <w:trHeight w:hRule="exact" w:val="354"/>
              </w:trPr>
              <w:tc>
                <w:tcPr>
                  <w:tcW w:type="dxa" w:w="3060"/>
                  <w:tcBorders/>
                  <w:shd w:fill="00808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4" w:after="0"/>
                    <w:ind w:left="0" w:right="460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Therapy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3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372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FDA</w:t>
            </w:r>
          </w:p>
        </w:tc>
        <w:tc>
          <w:tcPr>
            <w:tcW w:type="dxa" w:w="5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5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NCCN</w:t>
            </w:r>
          </w:p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6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3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EMA</w:t>
            </w:r>
          </w:p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6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ESMO</w:t>
            </w:r>
          </w:p>
        </w:tc>
        <w:tc>
          <w:tcPr>
            <w:tcW w:type="dxa" w:w="18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32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Trials</w:t>
            </w:r>
          </w:p>
        </w:tc>
      </w:tr>
      <w:tr>
        <w:trPr>
          <w:trHeight w:hRule="exact" w:val="420"/>
        </w:trPr>
        <w:tc>
          <w:tcPr>
            <w:tcW w:type="dxa" w:w="426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4260"/>
            </w:tblGrid>
            <w:tr>
              <w:trPr>
                <w:trHeight w:hRule="exact" w:val="400"/>
              </w:trPr>
              <w:tc>
                <w:tcPr>
                  <w:tcW w:type="dxa" w:w="218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niraparib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3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1256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5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3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2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6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3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8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8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8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0"/>
        </w:trPr>
        <w:tc>
          <w:tcPr>
            <w:tcW w:type="dxa" w:w="42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atezolizumab</w:t>
            </w:r>
          </w:p>
        </w:tc>
        <w:tc>
          <w:tcPr>
            <w:tcW w:type="dxa" w:w="23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1256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5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3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2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6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3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8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8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8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0"/>
        </w:trPr>
        <w:tc>
          <w:tcPr>
            <w:tcW w:type="dxa" w:w="426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4260"/>
            </w:tblGrid>
            <w:tr>
              <w:trPr>
                <w:trHeight w:hRule="exact" w:val="400"/>
              </w:trPr>
              <w:tc>
                <w:tcPr>
                  <w:tcW w:type="dxa" w:w="228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azenosertib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3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1256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5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3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2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6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3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8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8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8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0"/>
        </w:trPr>
        <w:tc>
          <w:tcPr>
            <w:tcW w:type="dxa" w:w="42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ART-6043, olaparib, niraparib</w:t>
            </w:r>
          </w:p>
        </w:tc>
        <w:tc>
          <w:tcPr>
            <w:tcW w:type="dxa" w:w="23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1256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5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3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2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6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3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8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8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20"/>
        </w:trPr>
        <w:tc>
          <w:tcPr>
            <w:tcW w:type="dxa" w:w="426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4260"/>
            </w:tblGrid>
            <w:tr>
              <w:trPr>
                <w:trHeight w:hRule="exact" w:val="400"/>
              </w:trPr>
              <w:tc>
                <w:tcPr>
                  <w:tcW w:type="dxa" w:w="222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ATRN-119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3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1256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5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3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2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6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3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8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8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20"/>
        </w:trPr>
        <w:tc>
          <w:tcPr>
            <w:tcW w:type="dxa" w:w="42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GSK-101</w:t>
            </w:r>
          </w:p>
        </w:tc>
        <w:tc>
          <w:tcPr>
            <w:tcW w:type="dxa" w:w="23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1256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5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3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2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6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3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8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8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20"/>
        </w:trPr>
        <w:tc>
          <w:tcPr>
            <w:tcW w:type="dxa" w:w="426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4260"/>
            </w:tblGrid>
            <w:tr>
              <w:trPr>
                <w:trHeight w:hRule="exact" w:val="400"/>
              </w:trPr>
              <w:tc>
                <w:tcPr>
                  <w:tcW w:type="dxa" w:w="222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VB-15010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3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1256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5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3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2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6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3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8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8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325"/>
        </w:trPr>
        <w:tc>
          <w:tcPr>
            <w:tcW w:type="dxa" w:w="42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GenSci-122</w:t>
            </w:r>
          </w:p>
        </w:tc>
        <w:tc>
          <w:tcPr>
            <w:tcW w:type="dxa" w:w="23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4" w:after="0"/>
              <w:ind w:left="0" w:right="1256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580"/>
            <w:vMerge w:val="restart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3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00"/>
            <w:vMerge w:val="restart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vMerge w:val="restart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2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600"/>
            <w:vMerge w:val="restart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vMerge w:val="restart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3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880"/>
            <w:vMerge w:val="restart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58"/>
            <w:vMerge w:val="restart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8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359"/>
        </w:trPr>
        <w:tc>
          <w:tcPr>
            <w:tcW w:type="dxa" w:w="42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Pag</w:t>
            </w:r>
          </w:p>
        </w:tc>
        <w:tc>
          <w:tcPr>
            <w:tcW w:type="dxa" w:w="23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48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e 3 of 10</w:t>
            </w:r>
          </w:p>
        </w:tc>
        <w:tc>
          <w:tcPr>
            <w:tcW w:type="dxa" w:w="1004"/>
            <w:vMerge/>
            <w:tcBorders/>
          </w:tcPr>
          <w:p/>
        </w:tc>
        <w:tc>
          <w:tcPr>
            <w:tcW w:type="dxa" w:w="1004"/>
            <w:vMerge/>
            <w:tcBorders/>
          </w:tcPr>
          <w:p/>
        </w:tc>
        <w:tc>
          <w:tcPr>
            <w:tcW w:type="dxa" w:w="1004"/>
            <w:vMerge/>
            <w:tcBorders/>
          </w:tcPr>
          <w:p/>
        </w:tc>
        <w:tc>
          <w:tcPr>
            <w:tcW w:type="dxa" w:w="1004"/>
            <w:vMerge/>
            <w:tcBorders/>
          </w:tcPr>
          <w:p/>
        </w:tc>
        <w:tc>
          <w:tcPr>
            <w:tcW w:type="dxa" w:w="1004"/>
            <w:vMerge/>
            <w:tcBorders/>
          </w:tcPr>
          <w:p/>
        </w:tc>
        <w:tc>
          <w:tcPr>
            <w:tcW w:type="dxa" w:w="1004"/>
            <w:vMerge/>
            <w:tcBorders/>
          </w:tcPr>
          <w:p/>
        </w:tc>
        <w:tc>
          <w:tcPr>
            <w:tcW w:type="dxa" w:w="1004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38"/>
      </w:tblGrid>
      <w:tr>
        <w:trPr>
          <w:trHeight w:hRule="exact" w:val="1184"/>
        </w:trPr>
        <w:tc>
          <w:tcPr>
            <w:tcW w:type="dxa" w:w="1191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32889" cy="6756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2889" cy="675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38"/>
      </w:tblGrid>
      <w:tr>
        <w:trPr>
          <w:trHeight w:hRule="exact" w:val="2042"/>
        </w:trPr>
        <w:tc>
          <w:tcPr>
            <w:tcW w:type="dxa" w:w="1191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7460" cy="55118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460" cy="5511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208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7460" cy="5435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" cy="5435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3466"/>
        </w:trPr>
        <w:tc>
          <w:tcPr>
            <w:tcW w:type="dxa" w:w="770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36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43710" cy="19913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710" cy="1991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6380"/>
            </w:tblGrid>
            <w:tr>
              <w:trPr>
                <w:trHeight w:hRule="exact" w:val="400"/>
              </w:trPr>
              <w:tc>
                <w:tcPr>
                  <w:tcW w:type="dxa" w:w="458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0" w:right="1048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Therapy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9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808080"/>
                <w:sz w:val="24"/>
              </w:rPr>
              <w:t>FDA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9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808080"/>
                <w:sz w:val="24"/>
              </w:rPr>
              <w:t>NCCN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94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808080"/>
                <w:sz w:val="24"/>
              </w:rPr>
              <w:t>EMA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21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808080"/>
                <w:sz w:val="24"/>
              </w:rPr>
              <w:t>ESMO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6" w:after="0"/>
              <w:ind w:left="194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Trials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GH-2616</w:t>
            </w: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6380"/>
            </w:tblGrid>
            <w:tr>
              <w:trPr>
                <w:trHeight w:hRule="exact" w:val="400"/>
              </w:trPr>
              <w:tc>
                <w:tcPr>
                  <w:tcW w:type="dxa" w:w="328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HRS-1167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HS-10502</w:t>
            </w: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6380"/>
            </w:tblGrid>
            <w:tr>
              <w:trPr>
                <w:trHeight w:hRule="exact" w:val="400"/>
              </w:trPr>
              <w:tc>
                <w:tcPr>
                  <w:tcW w:type="dxa" w:w="326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SIM-0501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talazoparib, palbociclib, axitinib, crizotinib</w:t>
            </w: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6380"/>
            </w:tblGrid>
            <w:tr>
              <w:trPr>
                <w:trHeight w:hRule="exact" w:val="400"/>
              </w:trPr>
              <w:tc>
                <w:tcPr>
                  <w:tcW w:type="dxa" w:w="354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XL-309, olaparib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pembrolizumab, chemotherapy</w:t>
            </w: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6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IV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6380"/>
            </w:tblGrid>
            <w:tr>
              <w:trPr>
                <w:trHeight w:hRule="exact" w:val="400"/>
              </w:trPr>
              <w:tc>
                <w:tcPr>
                  <w:tcW w:type="dxa" w:w="418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hormone therapy, chemotherapy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olaparib, chemotherapy, radiation therapy</w:t>
            </w: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6380"/>
            </w:tblGrid>
            <w:tr>
              <w:trPr>
                <w:trHeight w:hRule="exact" w:val="400"/>
              </w:trPr>
              <w:tc>
                <w:tcPr>
                  <w:tcW w:type="dxa" w:w="400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saruparib, hormone therapy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radiation therapy</w:t>
            </w: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II/III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6380"/>
            </w:tblGrid>
            <w:tr>
              <w:trPr>
                <w:trHeight w:hRule="exact" w:val="400"/>
              </w:trPr>
              <w:tc>
                <w:tcPr>
                  <w:tcW w:type="dxa" w:w="388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olaparib + chemotherapy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II/III</w:t>
            </w:r>
          </w:p>
        </w:tc>
      </w:tr>
      <w:tr>
        <w:trPr>
          <w:trHeight w:hRule="exact" w:val="614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6" w:after="0"/>
              <w:ind w:left="792" w:right="576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abiraterone + niraparib, hormone therapy, radiation therapy,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steroid</w:t>
            </w: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6380"/>
            </w:tblGrid>
            <w:tr>
              <w:trPr>
                <w:trHeight w:hRule="exact" w:val="400"/>
              </w:trPr>
              <w:tc>
                <w:tcPr>
                  <w:tcW w:type="dxa" w:w="456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camrelizumab, fluzoparib, chemotherapy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eflornithine</w:t>
            </w: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6380"/>
            </w:tblGrid>
            <w:tr>
              <w:trPr>
                <w:trHeight w:hRule="exact" w:val="400"/>
              </w:trPr>
              <w:tc>
                <w:tcPr>
                  <w:tcW w:type="dxa" w:w="500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hormone therapy, hormone therapy + chemotherapy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lunresertib, trastuzumab, chemotherapy, camonsertib</w:t>
            </w: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6380"/>
            </w:tblGrid>
            <w:tr>
              <w:trPr>
                <w:trHeight w:hRule="exact" w:val="400"/>
              </w:trPr>
              <w:tc>
                <w:tcPr>
                  <w:tcW w:type="dxa" w:w="378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niraparib, dostarlimab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</w:t>
            </w: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0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6380"/>
            </w:tblGrid>
            <w:tr>
              <w:trPr>
                <w:trHeight w:hRule="exact" w:val="400"/>
              </w:trPr>
              <w:tc>
                <w:tcPr>
                  <w:tcW w:type="dxa" w:w="400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olaparib + hormone therapy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4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344"/>
        </w:trPr>
        <w:tc>
          <w:tcPr>
            <w:tcW w:type="dxa" w:w="63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olaparib, chemotherapy</w:t>
            </w:r>
          </w:p>
        </w:tc>
        <w:tc>
          <w:tcPr>
            <w:tcW w:type="dxa" w:w="13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0" w:right="50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X</w:t>
            </w:r>
          </w:p>
        </w:tc>
        <w:tc>
          <w:tcPr>
            <w:tcW w:type="dxa" w:w="9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X</w:t>
            </w:r>
          </w:p>
        </w:tc>
        <w:tc>
          <w:tcPr>
            <w:tcW w:type="dxa" w:w="7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1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X</w:t>
            </w:r>
          </w:p>
        </w:tc>
        <w:tc>
          <w:tcPr>
            <w:tcW w:type="dxa" w:w="96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X</w:t>
            </w:r>
          </w:p>
        </w:tc>
        <w:tc>
          <w:tcPr>
            <w:tcW w:type="dxa" w:w="157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11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38"/>
      </w:tblGrid>
      <w:tr>
        <w:trPr>
          <w:trHeight w:hRule="exact" w:val="1186"/>
        </w:trPr>
        <w:tc>
          <w:tcPr>
            <w:tcW w:type="dxa" w:w="1191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32889" cy="67690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2889" cy="6769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38"/>
      </w:tblGrid>
      <w:tr>
        <w:trPr>
          <w:trHeight w:hRule="exact" w:val="1414"/>
        </w:trPr>
        <w:tc>
          <w:tcPr>
            <w:tcW w:type="dxa" w:w="1191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7460" cy="55371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460" cy="5537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208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7460" cy="5435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" cy="5435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91"/>
        <w:gridCol w:w="1291"/>
        <w:gridCol w:w="1291"/>
        <w:gridCol w:w="1291"/>
        <w:gridCol w:w="1291"/>
        <w:gridCol w:w="1291"/>
        <w:gridCol w:w="1291"/>
      </w:tblGrid>
      <w:tr>
        <w:trPr>
          <w:trHeight w:hRule="exact" w:val="3356"/>
        </w:trPr>
        <w:tc>
          <w:tcPr>
            <w:tcW w:type="dxa" w:w="11910"/>
            <w:gridSpan w:val="7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3710" cy="199136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710" cy="1991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530"/>
        </w:trPr>
        <w:tc>
          <w:tcPr>
            <w:tcW w:type="dxa" w:w="516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6" w:after="0"/>
              <w:ind w:left="0" w:right="1370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Therapy</w:t>
            </w:r>
          </w:p>
        </w:tc>
        <w:tc>
          <w:tcPr>
            <w:tcW w:type="dxa" w:w="17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6" w:after="0"/>
              <w:ind w:left="0" w:right="140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808080"/>
                <w:sz w:val="24"/>
              </w:rPr>
              <w:t>FDA</w:t>
            </w:r>
          </w:p>
        </w:tc>
        <w:tc>
          <w:tcPr>
            <w:tcW w:type="dxa" w:w="10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6" w:after="0"/>
              <w:ind w:left="0" w:right="15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808080"/>
                <w:sz w:val="24"/>
              </w:rPr>
              <w:t>NCCN</w:t>
            </w:r>
          </w:p>
        </w:tc>
        <w:tc>
          <w:tcPr>
            <w:tcW w:type="dxa" w:w="9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6" w:after="0"/>
              <w:ind w:left="0" w:right="142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808080"/>
                <w:sz w:val="24"/>
              </w:rPr>
              <w:t>EMA</w:t>
            </w:r>
          </w:p>
        </w:tc>
        <w:tc>
          <w:tcPr>
            <w:tcW w:type="dxa" w:w="11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6" w:after="0"/>
              <w:ind w:left="0" w:right="158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808080"/>
                <w:sz w:val="24"/>
              </w:rPr>
              <w:t>ESMO</w:t>
            </w:r>
          </w:p>
        </w:tc>
        <w:tc>
          <w:tcPr>
            <w:tcW w:type="dxa" w:w="181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6" w:after="0"/>
              <w:ind w:left="344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Trials</w:t>
            </w:r>
          </w:p>
        </w:tc>
      </w:tr>
      <w:tr>
        <w:trPr>
          <w:trHeight w:hRule="exact" w:val="420"/>
        </w:trPr>
        <w:tc>
          <w:tcPr>
            <w:tcW w:type="dxa" w:w="516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5160"/>
            </w:tblGrid>
            <w:tr>
              <w:trPr>
                <w:trHeight w:hRule="exact" w:val="400"/>
              </w:trPr>
              <w:tc>
                <w:tcPr>
                  <w:tcW w:type="dxa" w:w="314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olaparib, durvalumab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7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60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4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7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1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5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81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0"/>
        </w:trPr>
        <w:tc>
          <w:tcPr>
            <w:tcW w:type="dxa" w:w="516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olaparib, pembrolizumab</w:t>
            </w:r>
          </w:p>
        </w:tc>
        <w:tc>
          <w:tcPr>
            <w:tcW w:type="dxa" w:w="17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60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4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7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1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5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81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0"/>
        </w:trPr>
        <w:tc>
          <w:tcPr>
            <w:tcW w:type="dxa" w:w="516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5160"/>
            </w:tblGrid>
            <w:tr>
              <w:trPr>
                <w:trHeight w:hRule="exact" w:val="400"/>
              </w:trPr>
              <w:tc>
                <w:tcPr>
                  <w:tcW w:type="dxa" w:w="330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sintilimab, chemotherapy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7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60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4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7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1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5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81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0"/>
        </w:trPr>
        <w:tc>
          <w:tcPr>
            <w:tcW w:type="dxa" w:w="516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fluzoparib, camrelizumab, chemotherapy</w:t>
            </w:r>
          </w:p>
        </w:tc>
        <w:tc>
          <w:tcPr>
            <w:tcW w:type="dxa" w:w="17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60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4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7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1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5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81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20"/>
        </w:trPr>
        <w:tc>
          <w:tcPr>
            <w:tcW w:type="dxa" w:w="516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5160"/>
            </w:tblGrid>
            <w:tr>
              <w:trPr>
                <w:trHeight w:hRule="exact" w:val="400"/>
              </w:trPr>
              <w:tc>
                <w:tcPr>
                  <w:tcW w:type="dxa" w:w="266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IMP-1734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7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60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4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7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1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5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81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20"/>
        </w:trPr>
        <w:tc>
          <w:tcPr>
            <w:tcW w:type="dxa" w:w="516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tislelizumab, radiation therapy</w:t>
            </w:r>
          </w:p>
        </w:tc>
        <w:tc>
          <w:tcPr>
            <w:tcW w:type="dxa" w:w="17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60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4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7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1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5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81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20"/>
        </w:trPr>
        <w:tc>
          <w:tcPr>
            <w:tcW w:type="dxa" w:w="516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5160"/>
            </w:tblGrid>
            <w:tr>
              <w:trPr>
                <w:trHeight w:hRule="exact" w:val="400"/>
              </w:trPr>
              <w:tc>
                <w:tcPr>
                  <w:tcW w:type="dxa" w:w="260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A2A-252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7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60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4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7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1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5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81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20"/>
        </w:trPr>
        <w:tc>
          <w:tcPr>
            <w:tcW w:type="dxa" w:w="516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GB-3010</w:t>
            </w:r>
          </w:p>
        </w:tc>
        <w:tc>
          <w:tcPr>
            <w:tcW w:type="dxa" w:w="17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60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4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7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1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5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81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20"/>
        </w:trPr>
        <w:tc>
          <w:tcPr>
            <w:tcW w:type="dxa" w:w="516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5160"/>
            </w:tblGrid>
            <w:tr>
              <w:trPr>
                <w:trHeight w:hRule="exact" w:val="400"/>
              </w:trPr>
              <w:tc>
                <w:tcPr>
                  <w:tcW w:type="dxa" w:w="380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lunresertib, camonsertib, Debio-0123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7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60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4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9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7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1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15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81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77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360"/>
        </w:trPr>
        <w:tc>
          <w:tcPr>
            <w:tcW w:type="dxa" w:w="516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5160"/>
            </w:tblGrid>
            <w:tr>
              <w:trPr>
                <w:trHeight w:hRule="exact" w:val="340"/>
              </w:trPr>
              <w:tc>
                <w:tcPr>
                  <w:tcW w:type="dxa" w:w="2560"/>
                  <w:tcBorders/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0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19"/>
                    </w:rPr>
                    <w:t>SC0245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7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628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X</w:t>
            </w:r>
          </w:p>
        </w:tc>
        <w:tc>
          <w:tcPr>
            <w:tcW w:type="dxa" w:w="10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4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X</w:t>
            </w:r>
          </w:p>
        </w:tc>
        <w:tc>
          <w:tcPr>
            <w:tcW w:type="dxa" w:w="9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7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X</w:t>
            </w:r>
          </w:p>
        </w:tc>
        <w:tc>
          <w:tcPr>
            <w:tcW w:type="dxa" w:w="11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5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X</w:t>
            </w:r>
          </w:p>
        </w:tc>
        <w:tc>
          <w:tcPr>
            <w:tcW w:type="dxa" w:w="181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7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I</w:t>
            </w:r>
          </w:p>
        </w:tc>
      </w:tr>
      <w:tr>
        <w:trPr>
          <w:trHeight w:hRule="exact" w:val="852"/>
        </w:trPr>
        <w:tc>
          <w:tcPr>
            <w:tcW w:type="dxa" w:w="134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434" w:after="0"/>
              <w:ind w:left="0" w:right="62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1F497D"/>
                <w:sz w:val="19"/>
              </w:rPr>
              <w:t>Note:</w:t>
            </w:r>
          </w:p>
        </w:tc>
        <w:tc>
          <w:tcPr>
            <w:tcW w:type="dxa" w:w="10570"/>
            <w:gridSpan w:val="6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292" w:after="0"/>
              <w:ind w:left="1866" w:right="1008" w:firstLine="0"/>
              <w:jc w:val="left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19"/>
              </w:rPr>
              <w:t>✓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 xml:space="preserve"> : In this Cancer Type, 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19"/>
              </w:rPr>
              <w:t>✓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 xml:space="preserve"> : In Other Cancer Type, 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19"/>
              </w:rPr>
              <w:t>✓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19"/>
              </w:rPr>
              <w:t>✓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 xml:space="preserve"> : both In this and Other Cancer Type, X :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 xml:space="preserve">No Evidence. </w:t>
            </w:r>
            <w:r>
              <w:rPr>
                <w:rFonts w:ascii="Type3 (38 0 R)" w:hAnsi="Type3 (38 0 R)" w:eastAsia="Type3 (38 0 R)"/>
                <w:b w:val="0"/>
                <w:i w:val="0"/>
                <w:color w:val="000000"/>
                <w:sz w:val="19"/>
              </w:rPr>
              <w:t>⚠️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 xml:space="preserve"> :</w:t>
            </w:r>
          </w:p>
        </w:tc>
      </w:tr>
    </w:tbl>
    <w:p>
      <w:pPr>
        <w:autoSpaceDN w:val="0"/>
        <w:autoSpaceDE w:val="0"/>
        <w:widowControl/>
        <w:spacing w:line="240" w:lineRule="auto" w:before="204" w:after="0"/>
        <w:ind w:left="716" w:right="0" w:firstLine="0"/>
        <w:jc w:val="left"/>
      </w:pPr>
      <w:r>
        <w:rPr>
          <w:shd w:val="clear" w:color="auto" w:fill="000000"/>
          <w:rFonts w:ascii="Cambria" w:hAnsi="Cambria" w:eastAsia="Cambria"/>
          <w:b/>
          <w:i w:val="0"/>
          <w:color w:val="1F497D"/>
          <w:sz w:val="20"/>
        </w:rPr>
        <w:t>Test Description</w:t>
      </w:r>
    </w:p>
    <w:p>
      <w:pPr>
        <w:autoSpaceDN w:val="0"/>
        <w:autoSpaceDE w:val="0"/>
        <w:widowControl/>
        <w:spacing w:line="252" w:lineRule="auto" w:before="200" w:after="0"/>
        <w:ind w:left="716" w:right="1152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Liquidseq Actionable Genomic Profiling Panel is advancing precision oncology research through the analysis of </w:t>
      </w:r>
      <w:r>
        <w:rPr>
          <w:rFonts w:ascii="Cambria" w:hAnsi="Cambria" w:eastAsia="Cambria"/>
          <w:b/>
          <w:i w:val="0"/>
          <w:color w:val="000000"/>
          <w:sz w:val="20"/>
        </w:rPr>
        <w:t>multiple relevant biomarkers in a single next-generation sequencing (NGS) test.</w:t>
      </w:r>
    </w:p>
    <w:p>
      <w:pPr>
        <w:autoSpaceDN w:val="0"/>
        <w:autoSpaceDE w:val="0"/>
        <w:widowControl/>
        <w:spacing w:line="259" w:lineRule="auto" w:before="230" w:after="0"/>
        <w:ind w:left="716" w:right="864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The Liquidseq Actionable Genomic Profiling assay analyses 34 unique genes ( 28 DNA + 6 Fusions driver genes) for </w:t>
      </w:r>
      <w:r>
        <w:rPr>
          <w:rFonts w:ascii="Cambria" w:hAnsi="Cambria" w:eastAsia="Cambria"/>
          <w:b/>
          <w:i w:val="0"/>
          <w:color w:val="000000"/>
          <w:sz w:val="20"/>
        </w:rPr>
        <w:t xml:space="preserve">single gene and multiple gene biomarker insights, detects single gene biomarkers from all variant types including </w:t>
      </w:r>
      <w:r>
        <w:rPr>
          <w:rFonts w:ascii="Cambria" w:hAnsi="Cambria" w:eastAsia="Cambria"/>
          <w:b/>
          <w:i w:val="0"/>
          <w:color w:val="000000"/>
          <w:sz w:val="20"/>
        </w:rPr>
        <w:t xml:space="preserve">SNVs, indels, CNVs, known and novel fusions, and splice variants. Analyze complex multi-gene biomarkers for </w:t>
      </w:r>
      <w:r>
        <w:rPr>
          <w:rFonts w:ascii="Cambria" w:hAnsi="Cambria" w:eastAsia="Cambria"/>
          <w:b/>
          <w:i w:val="0"/>
          <w:color w:val="000000"/>
          <w:sz w:val="20"/>
        </w:rPr>
        <w:t>mutational signatures, including microsatellite instability ( MSI ) for immunotherapy research.</w:t>
      </w:r>
    </w:p>
    <w:p>
      <w:pPr>
        <w:autoSpaceDN w:val="0"/>
        <w:autoSpaceDE w:val="0"/>
        <w:widowControl/>
        <w:spacing w:line="259" w:lineRule="auto" w:before="216" w:after="0"/>
        <w:ind w:left="716" w:right="187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The performance of the panel was verified using both commercially sourced reference controls and cell-free DNA </w:t>
      </w:r>
      <w:r>
        <w:rPr>
          <w:rFonts w:ascii="Cambria" w:hAnsi="Cambria" w:eastAsia="Cambria"/>
          <w:b w:val="0"/>
          <w:i w:val="0"/>
          <w:color w:val="000000"/>
          <w:sz w:val="20"/>
        </w:rPr>
        <w:t>(cfTNA)samples.</w:t>
      </w:r>
    </w:p>
    <w:p>
      <w:pPr>
        <w:autoSpaceDN w:val="0"/>
        <w:autoSpaceDE w:val="0"/>
        <w:widowControl/>
        <w:spacing w:line="259" w:lineRule="auto" w:before="216" w:after="0"/>
        <w:ind w:left="716" w:right="864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Test Methodology Extraction &amp; Library Preparation: Cell free Total Nucleic acid (cfTNA) extracted from the liquid </w:t>
      </w:r>
      <w:r>
        <w:rPr>
          <w:rFonts w:ascii="Cambria" w:hAnsi="Cambria" w:eastAsia="Cambria"/>
          <w:b/>
          <w:i w:val="0"/>
          <w:color w:val="000000"/>
          <w:sz w:val="20"/>
        </w:rPr>
        <w:t xml:space="preserve">biopsy sample is used for targeted gene capture using a custom designed hybrid capture panel. In process quality </w:t>
      </w:r>
      <w:r>
        <w:rPr>
          <w:rFonts w:ascii="Cambria" w:hAnsi="Cambria" w:eastAsia="Cambria"/>
          <w:b/>
          <w:i w:val="0"/>
          <w:color w:val="000000"/>
          <w:sz w:val="20"/>
        </w:rPr>
        <w:t>controls were determined for prepared library.</w:t>
      </w:r>
    </w:p>
    <w:p>
      <w:pPr>
        <w:autoSpaceDN w:val="0"/>
        <w:autoSpaceDE w:val="0"/>
        <w:widowControl/>
        <w:spacing w:line="240" w:lineRule="auto" w:before="22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32889" cy="6654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2889" cy="665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7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7460" cy="54229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" cy="542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208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7460" cy="54356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" cy="5435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9"/>
        <w:gridCol w:w="4519"/>
      </w:tblGrid>
      <w:tr>
        <w:trPr>
          <w:trHeight w:hRule="exact" w:val="4544"/>
        </w:trPr>
        <w:tc>
          <w:tcPr>
            <w:tcW w:type="dxa" w:w="26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auto" w:before="3616" w:after="0"/>
              <w:ind w:left="806" w:right="432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1F497D"/>
                <w:sz w:val="19"/>
              </w:rPr>
              <w:t xml:space="preserve">Sequencing: </w:t>
            </w:r>
            <w:r>
              <w:br/>
            </w:r>
            <w:r>
              <w:rPr>
                <w:rFonts w:ascii="Cambria" w:hAnsi="Cambria" w:eastAsia="Cambria"/>
                <w:b/>
                <w:i w:val="0"/>
                <w:color w:val="1F497D"/>
                <w:sz w:val="19"/>
              </w:rPr>
              <w:t>Data Analysis:</w:t>
            </w:r>
          </w:p>
        </w:tc>
        <w:tc>
          <w:tcPr>
            <w:tcW w:type="dxa" w:w="929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97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43710" cy="199136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710" cy="1991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5" w:lineRule="auto" w:before="300" w:after="0"/>
              <w:ind w:left="586" w:right="1008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 xml:space="preserve">The libraries were sequenced at mean depth: &gt;25,000x on Illumina Novaseq- next generation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sequ</w:t>
            </w:r>
          </w:p>
          <w:p>
            <w:pPr>
              <w:autoSpaceDN w:val="0"/>
              <w:autoSpaceDE w:val="0"/>
              <w:widowControl/>
              <w:spacing w:line="245" w:lineRule="auto" w:before="92" w:after="0"/>
              <w:ind w:left="586" w:right="864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 xml:space="preserve">Sequencing data analyzed using a customized and validated bioinformatics pipeline capable of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det</w:t>
            </w:r>
          </w:p>
        </w:tc>
      </w:tr>
    </w:tbl>
    <w:p>
      <w:pPr>
        <w:autoSpaceDN w:val="0"/>
        <w:autoSpaceDE w:val="0"/>
        <w:widowControl/>
        <w:spacing w:line="252" w:lineRule="auto" w:before="202" w:after="0"/>
        <w:ind w:left="716" w:right="1008" w:firstLine="0"/>
        <w:jc w:val="left"/>
      </w:pP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20"/>
        </w:rPr>
        <w:t xml:space="preserve">Limit of Detection (LOD): The LOD for SNVs and Short InDels is 0.1% Variant allele Frequency (VAF) and for Fusions is 05 </w:t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20"/>
        </w:rPr>
        <w:t>supporting reads.</w:t>
      </w:r>
    </w:p>
    <w:p>
      <w:pPr>
        <w:autoSpaceDN w:val="0"/>
        <w:autoSpaceDE w:val="0"/>
        <w:widowControl/>
        <w:spacing w:line="240" w:lineRule="auto" w:before="230" w:after="0"/>
        <w:ind w:left="716" w:right="0" w:firstLine="0"/>
        <w:jc w:val="left"/>
      </w:pPr>
      <w:r>
        <w:rPr>
          <w:rFonts w:ascii="Cambria" w:hAnsi="Cambria" w:eastAsia="Cambria"/>
          <w:b/>
          <w:i w:val="0"/>
          <w:color w:val="1F497D"/>
          <w:sz w:val="20"/>
        </w:rPr>
        <w:t>Notes</w:t>
      </w:r>
    </w:p>
    <w:p>
      <w:pPr>
        <w:autoSpaceDN w:val="0"/>
        <w:autoSpaceDE w:val="0"/>
        <w:widowControl/>
        <w:spacing w:line="259" w:lineRule="auto" w:before="202" w:after="0"/>
        <w:ind w:left="716" w:right="57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Treatment decisions should not be based solely on the results of this test. Findings must be interpreted in the context of the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patient’s complete clinical profile—including pathological, radiological, and family history—to guide diagnosis, prognosis, and </w:t>
      </w:r>
      <w:r>
        <w:rPr>
          <w:rFonts w:ascii="Cambria" w:hAnsi="Cambria" w:eastAsia="Cambria"/>
          <w:b w:val="0"/>
          <w:i w:val="0"/>
          <w:color w:val="000000"/>
          <w:sz w:val="20"/>
        </w:rPr>
        <w:t>therapeutic decisions.</w:t>
      </w:r>
    </w:p>
    <w:p>
      <w:pPr>
        <w:autoSpaceDN w:val="0"/>
        <w:autoSpaceDE w:val="0"/>
        <w:widowControl/>
        <w:spacing w:line="259" w:lineRule="auto" w:before="216" w:after="0"/>
        <w:ind w:left="716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Therapy-related information in this report is derived from multiple sources including FDA-approved drug data, NCCN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guidelines, peer-reviewed literature, standard clinical databases, and biomarker evidence strength. However, therapy options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listed may not be suitable or beneficial for all patients. This report aims to provide a summary of potentially effective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treatments, therapies that may pose increased risks, and those that may have limited benefit, based on genomic alterations </w:t>
      </w:r>
      <w:r>
        <w:rPr>
          <w:rFonts w:ascii="Cambria" w:hAnsi="Cambria" w:eastAsia="Cambria"/>
          <w:b w:val="0"/>
          <w:i w:val="0"/>
          <w:color w:val="000000"/>
          <w:sz w:val="20"/>
        </w:rPr>
        <w:t>identified. Prognostic and diagnostic biomarkers relevant to the disease context may also be reported.</w:t>
      </w:r>
    </w:p>
    <w:p>
      <w:pPr>
        <w:autoSpaceDN w:val="0"/>
        <w:autoSpaceDE w:val="0"/>
        <w:widowControl/>
        <w:spacing w:line="252" w:lineRule="auto" w:before="230" w:after="0"/>
        <w:ind w:left="716" w:right="100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Laboratory does not guarantee completeness, accuracy, or eligibility for trial enrollment. Physicians must verify eligibility </w:t>
      </w:r>
      <w:r>
        <w:rPr>
          <w:rFonts w:ascii="Cambria" w:hAnsi="Cambria" w:eastAsia="Cambria"/>
          <w:b w:val="0"/>
          <w:i w:val="0"/>
          <w:color w:val="000000"/>
          <w:sz w:val="20"/>
        </w:rPr>
        <w:t>criteria for specific trials independently.</w:t>
      </w:r>
    </w:p>
    <w:p>
      <w:pPr>
        <w:autoSpaceDN w:val="0"/>
        <w:autoSpaceDE w:val="0"/>
        <w:widowControl/>
        <w:spacing w:line="259" w:lineRule="auto" w:before="230" w:after="0"/>
        <w:ind w:left="716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Identification of a genomic alteration does not guarantee therapeutic efficacy or predict ineffectiveness. Final decisions on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treatment should rest with the treating physician. The absence of reported therapeutic options does not imply ineffectiveness </w:t>
      </w:r>
      <w:r>
        <w:rPr>
          <w:rFonts w:ascii="Cambria" w:hAnsi="Cambria" w:eastAsia="Cambria"/>
          <w:b w:val="0"/>
          <w:i w:val="0"/>
          <w:color w:val="000000"/>
          <w:sz w:val="20"/>
        </w:rPr>
        <w:t>or lack of safety of any medication selected independently.</w:t>
      </w:r>
    </w:p>
    <w:p>
      <w:pPr>
        <w:autoSpaceDN w:val="0"/>
        <w:autoSpaceDE w:val="0"/>
        <w:widowControl/>
        <w:spacing w:line="259" w:lineRule="auto" w:before="216" w:after="0"/>
        <w:ind w:left="716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All variant classifications and related clinical information are based on the latest evidence from peer-reviewed publications,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public clinical databases, and medical guidelines (e.g., NCCN, ASCO, AMP) available at the time of report generation. However, </w:t>
      </w:r>
      <w:r>
        <w:rPr>
          <w:rFonts w:ascii="Cambria" w:hAnsi="Cambria" w:eastAsia="Cambria"/>
          <w:b w:val="0"/>
          <w:i w:val="0"/>
          <w:color w:val="000000"/>
          <w:sz w:val="20"/>
        </w:rPr>
        <w:t>literature is continuously evolving, and classification may change with emerging evidence.</w:t>
      </w:r>
    </w:p>
    <w:p>
      <w:pPr>
        <w:autoSpaceDN w:val="0"/>
        <w:autoSpaceDE w:val="0"/>
        <w:widowControl/>
        <w:spacing w:line="250" w:lineRule="auto" w:before="232" w:after="0"/>
        <w:ind w:left="716" w:right="115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The assay is designed and validated for somatic variant detection, it does not differentiate between somatic and germline </w:t>
      </w:r>
      <w:r>
        <w:rPr>
          <w:rFonts w:ascii="Cambria" w:hAnsi="Cambria" w:eastAsia="Cambria"/>
          <w:b w:val="0"/>
          <w:i w:val="0"/>
          <w:color w:val="000000"/>
          <w:sz w:val="20"/>
        </w:rPr>
        <w:t>variants. If indicated, germline testing and genetic counselling are recommended.</w:t>
      </w:r>
    </w:p>
    <w:p>
      <w:pPr>
        <w:autoSpaceDN w:val="0"/>
        <w:autoSpaceDE w:val="0"/>
        <w:widowControl/>
        <w:spacing w:line="240" w:lineRule="auto" w:before="22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32889" cy="6667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2889" cy="66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54" w:after="194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7460" cy="55371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" cy="55371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38"/>
      </w:tblGrid>
      <w:tr>
        <w:trPr>
          <w:trHeight w:hRule="exact" w:val="1608"/>
        </w:trPr>
        <w:tc>
          <w:tcPr>
            <w:tcW w:type="dxa" w:w="1191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7460" cy="54229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460" cy="542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38"/>
      </w:tblGrid>
      <w:tr>
        <w:trPr>
          <w:trHeight w:hRule="exact" w:val="3196"/>
        </w:trPr>
        <w:tc>
          <w:tcPr>
            <w:tcW w:type="dxa" w:w="1191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3710" cy="199136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710" cy="1991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54" w:lineRule="auto" w:before="214" w:after="0"/>
        <w:ind w:left="716" w:right="864" w:firstLine="0"/>
        <w:jc w:val="left"/>
      </w:pP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20"/>
        </w:rPr>
        <w:t xml:space="preserve">Poor-quality cfDNA/ Previous or Ongoing therapy may fail QC thresholds at various stages such as cfDNA extraction, library </w:t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20"/>
        </w:rPr>
        <w:t xml:space="preserve">preparation, or bioinformatics, and may result in assay failure or compromised results, such as low gene coverage or shallow </w:t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20"/>
        </w:rPr>
        <w:t>variant depth.</w:t>
      </w:r>
    </w:p>
    <w:p>
      <w:pPr>
        <w:autoSpaceDN w:val="0"/>
        <w:autoSpaceDE w:val="0"/>
        <w:widowControl/>
        <w:spacing w:line="250" w:lineRule="auto" w:before="232" w:after="0"/>
        <w:ind w:left="716" w:right="115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Variants with lower allele frequencies may be reported if they are of strong or potential clinical relevance, or if previously </w:t>
      </w:r>
      <w:r>
        <w:rPr>
          <w:rFonts w:ascii="Cambria" w:hAnsi="Cambria" w:eastAsia="Cambria"/>
          <w:b w:val="0"/>
          <w:i w:val="0"/>
          <w:color w:val="000000"/>
          <w:sz w:val="20"/>
        </w:rPr>
        <w:t>detected in the same patient. False positives or negatives below assay sensitivity cannot be ruled out.</w:t>
      </w:r>
    </w:p>
    <w:p>
      <w:pPr>
        <w:autoSpaceDN w:val="0"/>
        <w:autoSpaceDE w:val="0"/>
        <w:widowControl/>
        <w:spacing w:line="250" w:lineRule="auto" w:before="232" w:after="0"/>
        <w:ind w:left="716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CNVs/gene amplifications reported, Confirmation using orthogonal methods such as DDPCR is recommended when clinically </w:t>
      </w:r>
      <w:r>
        <w:rPr>
          <w:rFonts w:ascii="Cambria" w:hAnsi="Cambria" w:eastAsia="Cambria"/>
          <w:b w:val="0"/>
          <w:i w:val="0"/>
          <w:color w:val="000000"/>
          <w:sz w:val="20"/>
        </w:rPr>
        <w:t>indicated.</w:t>
      </w:r>
    </w:p>
    <w:p>
      <w:pPr>
        <w:autoSpaceDN w:val="0"/>
        <w:autoSpaceDE w:val="0"/>
        <w:widowControl/>
        <w:spacing w:line="240" w:lineRule="auto" w:before="232" w:after="156"/>
        <w:ind w:left="716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>Variants in non-coding regions or deep intronic sequences are not assessed in this assay.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08"/>
        <w:gridCol w:w="1808"/>
        <w:gridCol w:w="1808"/>
        <w:gridCol w:w="1808"/>
        <w:gridCol w:w="1808"/>
      </w:tblGrid>
      <w:tr>
        <w:trPr>
          <w:trHeight w:hRule="exact" w:val="444"/>
        </w:trPr>
        <w:tc>
          <w:tcPr>
            <w:tcW w:type="dxa" w:w="7080"/>
            <w:gridSpan w:val="3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716" w:right="0" w:firstLine="0"/>
              <w:jc w:val="left"/>
            </w:pPr>
            <w:r>
              <w:rPr>
                <w:rFonts w:ascii="Cambria" w:hAnsi="Cambria" w:eastAsia="Cambria"/>
                <w:b/>
                <w:i/>
                <w:color w:val="000000"/>
                <w:sz w:val="20"/>
              </w:rPr>
              <w:t>This assay is under the scope of NABL as Liquidseq Actionable Panel.</w:t>
            </w:r>
          </w:p>
        </w:tc>
        <w:tc>
          <w:tcPr>
            <w:tcW w:type="dxa" w:w="21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2658"/>
            <w:tcBorders/>
            <w:shd w:fill="f1f5f9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6"/>
        </w:trPr>
        <w:tc>
          <w:tcPr>
            <w:tcW w:type="dxa" w:w="345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3450"/>
            </w:tblGrid>
            <w:tr>
              <w:trPr>
                <w:trHeight w:hRule="exact" w:val="356"/>
              </w:trPr>
              <w:tc>
                <w:tcPr>
                  <w:tcW w:type="dxa" w:w="2730"/>
                  <w:tcBorders/>
                  <w:shd w:fill="00808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DNA Gene List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3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930"/>
            </w:tblGrid>
            <w:tr>
              <w:trPr>
                <w:trHeight w:hRule="exact" w:val="356"/>
              </w:trPr>
              <w:tc>
                <w:tcPr>
                  <w:tcW w:type="dxa" w:w="1650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74" w:after="0"/>
                    <w:ind w:left="0" w:right="262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Column 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7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74" w:after="0"/>
              <w:ind w:left="0" w:right="30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Column 3</w:t>
            </w:r>
          </w:p>
        </w:tc>
        <w:tc>
          <w:tcPr>
            <w:tcW w:type="dxa" w:w="21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74" w:after="0"/>
              <w:ind w:left="0" w:right="54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Column 4</w:t>
            </w:r>
          </w:p>
        </w:tc>
        <w:tc>
          <w:tcPr>
            <w:tcW w:type="dxa" w:w="26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74" w:after="0"/>
              <w:ind w:left="54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Column 5</w:t>
            </w:r>
          </w:p>
        </w:tc>
      </w:tr>
      <w:tr>
        <w:trPr>
          <w:trHeight w:hRule="exact" w:val="374"/>
        </w:trPr>
        <w:tc>
          <w:tcPr>
            <w:tcW w:type="dxa" w:w="345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AKT1</w:t>
            </w:r>
          </w:p>
        </w:tc>
        <w:tc>
          <w:tcPr>
            <w:tcW w:type="dxa" w:w="193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6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ALK</w:t>
            </w:r>
          </w:p>
        </w:tc>
        <w:tc>
          <w:tcPr>
            <w:tcW w:type="dxa" w:w="17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55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APC</w:t>
            </w:r>
          </w:p>
        </w:tc>
        <w:tc>
          <w:tcPr>
            <w:tcW w:type="dxa" w:w="21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31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ATM</w:t>
            </w:r>
          </w:p>
        </w:tc>
        <w:tc>
          <w:tcPr>
            <w:tcW w:type="dxa" w:w="26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78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BRAF</w:t>
            </w:r>
          </w:p>
        </w:tc>
      </w:tr>
      <w:tr>
        <w:trPr>
          <w:trHeight w:hRule="exact" w:val="374"/>
        </w:trPr>
        <w:tc>
          <w:tcPr>
            <w:tcW w:type="dxa" w:w="345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3450"/>
            </w:tblGrid>
            <w:tr>
              <w:trPr>
                <w:trHeight w:hRule="exact" w:val="354"/>
              </w:trPr>
              <w:tc>
                <w:tcPr>
                  <w:tcW w:type="dxa" w:w="1680"/>
                  <w:tcBorders/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0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BRCA1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3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6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BRCA2</w:t>
            </w:r>
          </w:p>
        </w:tc>
        <w:tc>
          <w:tcPr>
            <w:tcW w:type="dxa" w:w="17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358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CTNNB1</w:t>
            </w:r>
          </w:p>
        </w:tc>
        <w:tc>
          <w:tcPr>
            <w:tcW w:type="dxa" w:w="21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31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EGFR</w:t>
            </w:r>
          </w:p>
        </w:tc>
        <w:tc>
          <w:tcPr>
            <w:tcW w:type="dxa" w:w="26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778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ERBB2</w:t>
            </w:r>
          </w:p>
        </w:tc>
      </w:tr>
      <w:tr>
        <w:trPr>
          <w:trHeight w:hRule="exact" w:val="376"/>
        </w:trPr>
        <w:tc>
          <w:tcPr>
            <w:tcW w:type="dxa" w:w="345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ERBB3</w:t>
            </w:r>
          </w:p>
        </w:tc>
        <w:tc>
          <w:tcPr>
            <w:tcW w:type="dxa" w:w="193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6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ESR1</w:t>
            </w:r>
          </w:p>
        </w:tc>
        <w:tc>
          <w:tcPr>
            <w:tcW w:type="dxa" w:w="17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0" w:right="44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FOXL2</w:t>
            </w:r>
          </w:p>
        </w:tc>
        <w:tc>
          <w:tcPr>
            <w:tcW w:type="dxa" w:w="21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31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GNA11</w:t>
            </w:r>
          </w:p>
        </w:tc>
        <w:tc>
          <w:tcPr>
            <w:tcW w:type="dxa" w:w="26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0" w:right="79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GNAQ</w:t>
            </w:r>
          </w:p>
        </w:tc>
      </w:tr>
      <w:tr>
        <w:trPr>
          <w:trHeight w:hRule="exact" w:val="376"/>
        </w:trPr>
        <w:tc>
          <w:tcPr>
            <w:tcW w:type="dxa" w:w="345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3450"/>
            </w:tblGrid>
            <w:tr>
              <w:trPr>
                <w:trHeight w:hRule="exact" w:val="356"/>
              </w:trPr>
              <w:tc>
                <w:tcPr>
                  <w:tcW w:type="dxa" w:w="1620"/>
                  <w:tcBorders/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0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HRAS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3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6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IDH1</w:t>
            </w:r>
          </w:p>
        </w:tc>
        <w:tc>
          <w:tcPr>
            <w:tcW w:type="dxa" w:w="17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50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IDH2</w:t>
            </w:r>
          </w:p>
        </w:tc>
        <w:tc>
          <w:tcPr>
            <w:tcW w:type="dxa" w:w="21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31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KIT</w:t>
            </w:r>
          </w:p>
        </w:tc>
        <w:tc>
          <w:tcPr>
            <w:tcW w:type="dxa" w:w="26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776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KRAS</w:t>
            </w:r>
          </w:p>
        </w:tc>
      </w:tr>
      <w:tr>
        <w:trPr>
          <w:trHeight w:hRule="exact" w:val="374"/>
        </w:trPr>
        <w:tc>
          <w:tcPr>
            <w:tcW w:type="dxa" w:w="345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MET</w:t>
            </w:r>
          </w:p>
        </w:tc>
        <w:tc>
          <w:tcPr>
            <w:tcW w:type="dxa" w:w="193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6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NRAS</w:t>
            </w:r>
          </w:p>
        </w:tc>
        <w:tc>
          <w:tcPr>
            <w:tcW w:type="dxa" w:w="17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366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PDGFRA</w:t>
            </w:r>
          </w:p>
        </w:tc>
        <w:tc>
          <w:tcPr>
            <w:tcW w:type="dxa" w:w="21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31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PIK3CA</w:t>
            </w:r>
          </w:p>
        </w:tc>
        <w:tc>
          <w:tcPr>
            <w:tcW w:type="dxa" w:w="26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7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POLE</w:t>
            </w:r>
          </w:p>
        </w:tc>
      </w:tr>
      <w:tr>
        <w:trPr>
          <w:trHeight w:hRule="exact" w:val="374"/>
        </w:trPr>
        <w:tc>
          <w:tcPr>
            <w:tcW w:type="dxa" w:w="345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3450"/>
            </w:tblGrid>
            <w:tr>
              <w:trPr>
                <w:trHeight w:hRule="exact" w:val="354"/>
              </w:trPr>
              <w:tc>
                <w:tcPr>
                  <w:tcW w:type="dxa" w:w="1620"/>
                  <w:tcBorders/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0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RAF1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3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6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RET</w:t>
            </w:r>
          </w:p>
        </w:tc>
        <w:tc>
          <w:tcPr>
            <w:tcW w:type="dxa" w:w="17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50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TP53</w:t>
            </w:r>
          </w:p>
        </w:tc>
        <w:tc>
          <w:tcPr>
            <w:tcW w:type="dxa" w:w="21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2658"/>
            <w:tcBorders/>
            <w:shd w:fill="f1f5f9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32"/>
        </w:trPr>
        <w:tc>
          <w:tcPr>
            <w:tcW w:type="dxa" w:w="345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3450"/>
            </w:tblGrid>
            <w:tr>
              <w:trPr>
                <w:trHeight w:hRule="exact" w:val="356"/>
              </w:trPr>
              <w:tc>
                <w:tcPr>
                  <w:tcW w:type="dxa" w:w="2730"/>
                  <w:tcBorders/>
                  <w:shd w:fill="00808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RNA Gene List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3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930"/>
            </w:tblGrid>
            <w:tr>
              <w:trPr>
                <w:trHeight w:hRule="exact" w:val="356"/>
              </w:trPr>
              <w:tc>
                <w:tcPr>
                  <w:tcW w:type="dxa" w:w="1650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74" w:after="0"/>
                    <w:ind w:left="0" w:right="262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Column 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7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30" w:after="0"/>
              <w:ind w:left="0" w:right="30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Column 3</w:t>
            </w:r>
          </w:p>
        </w:tc>
        <w:tc>
          <w:tcPr>
            <w:tcW w:type="dxa" w:w="21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30" w:after="0"/>
              <w:ind w:left="0" w:right="54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Column 4</w:t>
            </w:r>
          </w:p>
        </w:tc>
        <w:tc>
          <w:tcPr>
            <w:tcW w:type="dxa" w:w="26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30" w:after="0"/>
              <w:ind w:left="54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Column 5</w:t>
            </w:r>
          </w:p>
        </w:tc>
      </w:tr>
      <w:tr>
        <w:trPr>
          <w:trHeight w:hRule="exact" w:val="374"/>
        </w:trPr>
        <w:tc>
          <w:tcPr>
            <w:tcW w:type="dxa" w:w="345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7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ALK</w:t>
            </w:r>
          </w:p>
        </w:tc>
        <w:tc>
          <w:tcPr>
            <w:tcW w:type="dxa" w:w="193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6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MET</w:t>
            </w:r>
          </w:p>
        </w:tc>
        <w:tc>
          <w:tcPr>
            <w:tcW w:type="dxa" w:w="17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418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NTRK1</w:t>
            </w:r>
          </w:p>
        </w:tc>
        <w:tc>
          <w:tcPr>
            <w:tcW w:type="dxa" w:w="218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31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NTRK2</w:t>
            </w:r>
          </w:p>
        </w:tc>
        <w:tc>
          <w:tcPr>
            <w:tcW w:type="dxa" w:w="26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778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NTRK3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9"/>
        <w:gridCol w:w="2259"/>
        <w:gridCol w:w="2259"/>
        <w:gridCol w:w="2259"/>
      </w:tblGrid>
      <w:tr>
        <w:trPr>
          <w:trHeight w:hRule="exact" w:val="374"/>
        </w:trPr>
        <w:tc>
          <w:tcPr>
            <w:tcW w:type="dxa" w:w="10060"/>
            <w:gridSpan w:val="3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10060"/>
            </w:tblGrid>
            <w:tr>
              <w:trPr>
                <w:trHeight w:hRule="exact" w:val="354"/>
              </w:trPr>
              <w:tc>
                <w:tcPr>
                  <w:tcW w:type="dxa" w:w="4920"/>
                  <w:tcBorders/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0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ROS1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858"/>
            <w:tcBorders/>
            <w:shd w:fill="f1f5f9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32"/>
        </w:trPr>
        <w:tc>
          <w:tcPr>
            <w:tcW w:type="dxa" w:w="684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6840"/>
            </w:tblGrid>
            <w:tr>
              <w:trPr>
                <w:trHeight w:hRule="exact" w:val="356"/>
              </w:trPr>
              <w:tc>
                <w:tcPr>
                  <w:tcW w:type="dxa" w:w="4580"/>
                  <w:tcBorders/>
                  <w:shd w:fill="00808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0" w:after="0"/>
                    <w:ind w:left="0" w:right="1536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MSI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22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36" w:after="0"/>
              <w:ind w:left="0" w:right="390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% of Unstable Loci</w:t>
            </w:r>
          </w:p>
        </w:tc>
        <w:tc>
          <w:tcPr>
            <w:tcW w:type="dxa" w:w="1858"/>
            <w:tcBorders/>
            <w:shd w:fill="f1f5f9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4"/>
        </w:trPr>
        <w:tc>
          <w:tcPr>
            <w:tcW w:type="dxa" w:w="10060"/>
            <w:gridSpan w:val="3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10060"/>
            </w:tblGrid>
            <w:tr>
              <w:trPr>
                <w:trHeight w:hRule="exact" w:val="354"/>
              </w:trPr>
              <w:tc>
                <w:tcPr>
                  <w:tcW w:type="dxa" w:w="5180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0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MSI - Stable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8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786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0-19%</w:t>
            </w:r>
          </w:p>
        </w:tc>
      </w:tr>
      <w:tr>
        <w:trPr>
          <w:trHeight w:hRule="exact" w:val="374"/>
        </w:trPr>
        <w:tc>
          <w:tcPr>
            <w:tcW w:type="dxa" w:w="10060"/>
            <w:gridSpan w:val="3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10060"/>
            </w:tblGrid>
            <w:tr>
              <w:trPr>
                <w:trHeight w:hRule="exact" w:val="354"/>
              </w:trPr>
              <w:tc>
                <w:tcPr>
                  <w:tcW w:type="dxa" w:w="5720"/>
                  <w:tcBorders/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0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MSI - Low / Intermediate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8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41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20-30%</w:t>
            </w:r>
          </w:p>
        </w:tc>
      </w:tr>
      <w:tr>
        <w:trPr>
          <w:trHeight w:hRule="exact" w:val="376"/>
        </w:trPr>
        <w:tc>
          <w:tcPr>
            <w:tcW w:type="dxa" w:w="10060"/>
            <w:gridSpan w:val="3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10060"/>
            </w:tblGrid>
            <w:tr>
              <w:trPr>
                <w:trHeight w:hRule="exact" w:val="356"/>
              </w:trPr>
              <w:tc>
                <w:tcPr>
                  <w:tcW w:type="dxa" w:w="5120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2" w:after="0"/>
                    <w:ind w:left="7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MSI - High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85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0" w:right="786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&gt;30%</w:t>
            </w:r>
          </w:p>
        </w:tc>
      </w:tr>
      <w:tr>
        <w:trPr>
          <w:trHeight w:hRule="exact" w:val="630"/>
        </w:trPr>
        <w:tc>
          <w:tcPr>
            <w:tcW w:type="dxa" w:w="15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36" w:after="0"/>
              <w:ind w:left="0" w:right="180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Tier</w:t>
            </w:r>
          </w:p>
        </w:tc>
        <w:tc>
          <w:tcPr>
            <w:tcW w:type="dxa" w:w="856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100.0" w:type="dxa"/>
            </w:tblPr>
            <w:tblGrid>
              <w:gridCol w:w="8560"/>
            </w:tblGrid>
            <w:tr>
              <w:trPr>
                <w:trHeight w:hRule="exact" w:val="354"/>
              </w:trPr>
              <w:tc>
                <w:tcPr>
                  <w:tcW w:type="dxa" w:w="4940"/>
                  <w:tcBorders/>
                  <w:shd w:fill="00808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0" w:after="0"/>
                    <w:ind w:left="0" w:right="1512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Interpretation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858"/>
            <w:tcBorders/>
            <w:shd w:fill="f1f5f9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8"/>
        </w:trPr>
        <w:tc>
          <w:tcPr>
            <w:tcW w:type="dxa" w:w="150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8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Tier IA</w:t>
            </w:r>
          </w:p>
        </w:tc>
        <w:tc>
          <w:tcPr>
            <w:tcW w:type="dxa" w:w="8560"/>
            <w:gridSpan w:val="2"/>
            <w:tcBorders/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10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 of Strong Clinical Significance: Biomarkers that predict response or resistance to US FDA-</w:t>
            </w:r>
          </w:p>
        </w:tc>
        <w:tc>
          <w:tcPr>
            <w:tcW w:type="dxa" w:w="1858"/>
            <w:tcBorders/>
            <w:shd w:fill="f1f5f9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38"/>
      </w:tblGrid>
      <w:tr>
        <w:trPr>
          <w:trHeight w:hRule="exact" w:val="240"/>
        </w:trPr>
        <w:tc>
          <w:tcPr>
            <w:tcW w:type="dxa" w:w="10484"/>
            <w:tcBorders/>
            <w:shd w:fill="ecec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88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approved therapies for a specific type of tumor or have been included in professional guidelines as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4519"/>
        <w:gridCol w:w="4519"/>
      </w:tblGrid>
      <w:tr>
        <w:trPr>
          <w:trHeight w:hRule="exact" w:val="296"/>
        </w:trPr>
        <w:tc>
          <w:tcPr>
            <w:tcW w:type="dxa" w:w="780"/>
            <w:tcBorders/>
            <w:shd w:fill="ececec"/>
            <w:tcMar>
              <w:start w:w="0" w:type="dxa"/>
              <w:end w:w="0" w:type="dxa"/>
            </w:tcMar>
          </w:tcPr>
          <w:p/>
        </w:tc>
        <w:tc>
          <w:tcPr>
            <w:tcW w:type="dxa" w:w="9704"/>
            <w:tcBorders/>
            <w:shd w:fill="ecec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0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therapeutic, diagnostic, and/or prognostic biomarkers for specific types of tumors.</w:t>
            </w:r>
          </w:p>
        </w:tc>
      </w:tr>
      <w:tr>
        <w:trPr>
          <w:trHeight w:hRule="exact" w:val="586"/>
        </w:trPr>
        <w:tc>
          <w:tcPr>
            <w:tcW w:type="dxa" w:w="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Tier IB</w:t>
            </w:r>
          </w:p>
        </w:tc>
        <w:tc>
          <w:tcPr>
            <w:tcW w:type="dxa" w:w="9704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4" w:after="0"/>
              <w:ind w:left="104" w:right="72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Variants of Strong Clinical Significance: Biomarkers that predict response or resistance to a therapy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based on well-powered studies with consensus from experts in the field, or have diagnostic and/or</w:t>
            </w:r>
          </w:p>
        </w:tc>
      </w:tr>
    </w:tbl>
    <w:p>
      <w:pPr>
        <w:autoSpaceDN w:val="0"/>
        <w:autoSpaceDE w:val="0"/>
        <w:widowControl/>
        <w:spacing w:line="1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38"/>
      </w:tblGrid>
      <w:tr>
        <w:trPr>
          <w:trHeight w:hRule="exact" w:val="2134"/>
        </w:trPr>
        <w:tc>
          <w:tcPr>
            <w:tcW w:type="dxa" w:w="1191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32889" cy="668019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2889" cy="6680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7460" cy="5435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" cy="543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68" w:after="196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7460" cy="54356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" cy="5435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9"/>
        <w:gridCol w:w="4519"/>
      </w:tblGrid>
      <w:tr>
        <w:trPr>
          <w:trHeight w:hRule="exact" w:val="3464"/>
        </w:trPr>
        <w:tc>
          <w:tcPr>
            <w:tcW w:type="dxa" w:w="2980"/>
            <w:tcBorders/>
            <w:shd w:fill="f1f5f9"/>
            <w:tcMar>
              <w:start w:w="0" w:type="dxa"/>
              <w:end w:w="0" w:type="dxa"/>
            </w:tcMar>
          </w:tcPr>
          <w:p/>
        </w:tc>
        <w:tc>
          <w:tcPr>
            <w:tcW w:type="dxa" w:w="893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61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43710" cy="1998979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710" cy="19989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376"/>
        </w:trPr>
        <w:tc>
          <w:tcPr>
            <w:tcW w:type="dxa" w:w="2980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0.0" w:type="dxa"/>
            </w:tblPr>
            <w:tblGrid>
              <w:gridCol w:w="2980"/>
            </w:tblGrid>
            <w:tr>
              <w:trPr>
                <w:trHeight w:hRule="exact" w:val="356"/>
              </w:trPr>
              <w:tc>
                <w:tcPr>
                  <w:tcW w:type="dxa" w:w="1460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74" w:after="0"/>
                    <w:ind w:left="292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Tier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93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481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Interpretation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4519"/>
        <w:gridCol w:w="4519"/>
      </w:tblGrid>
      <w:tr>
        <w:trPr>
          <w:trHeight w:hRule="exact" w:val="374"/>
        </w:trPr>
        <w:tc>
          <w:tcPr>
            <w:tcW w:type="dxa" w:w="880"/>
            <w:tcBorders/>
            <w:shd w:fill="ececec"/>
            <w:tcMar>
              <w:start w:w="0" w:type="dxa"/>
              <w:end w:w="0" w:type="dxa"/>
            </w:tcMar>
          </w:tcPr>
          <w:p/>
        </w:tc>
        <w:tc>
          <w:tcPr>
            <w:tcW w:type="dxa" w:w="9604"/>
            <w:tcBorders/>
            <w:shd w:fill="ecec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14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prognostic significance of certain diseases based on well-powered studies with expert consensus.</w:t>
            </w:r>
          </w:p>
        </w:tc>
      </w:tr>
      <w:tr>
        <w:trPr>
          <w:trHeight w:hRule="exact" w:val="318"/>
        </w:trPr>
        <w:tc>
          <w:tcPr>
            <w:tcW w:type="dxa" w:w="8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Tier IIC</w:t>
            </w:r>
          </w:p>
        </w:tc>
        <w:tc>
          <w:tcPr>
            <w:tcW w:type="dxa" w:w="9604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14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 of Potential Clinical Significance: biomarkers that predict response or resistance to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60.0" w:type="dxa"/>
      </w:tblPr>
      <w:tblGrid>
        <w:gridCol w:w="9038"/>
      </w:tblGrid>
      <w:tr>
        <w:trPr>
          <w:trHeight w:hRule="exact" w:val="240"/>
        </w:trPr>
        <w:tc>
          <w:tcPr>
            <w:tcW w:type="dxa" w:w="10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therapies approved by FDA or professional societies for a different tumor type (i.e., off-label use of 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60.0" w:type="dxa"/>
      </w:tblPr>
      <w:tblGrid>
        <w:gridCol w:w="9038"/>
      </w:tblGrid>
      <w:tr>
        <w:trPr>
          <w:trHeight w:hRule="exact" w:val="240"/>
        </w:trPr>
        <w:tc>
          <w:tcPr>
            <w:tcW w:type="dxa" w:w="10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drug), serve as inclusion criteria for clinical trials, or have diagnostic and/or prognostic significance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4519"/>
        <w:gridCol w:w="4519"/>
      </w:tblGrid>
      <w:tr>
        <w:trPr>
          <w:trHeight w:hRule="exact" w:val="296"/>
        </w:trPr>
        <w:tc>
          <w:tcPr>
            <w:tcW w:type="dxa" w:w="900"/>
            <w:tcBorders/>
            <w:shd w:fill="f7fafb"/>
            <w:tcMar>
              <w:start w:w="0" w:type="dxa"/>
              <w:end w:w="0" w:type="dxa"/>
            </w:tcMar>
          </w:tcPr>
          <w:p/>
        </w:tc>
        <w:tc>
          <w:tcPr>
            <w:tcW w:type="dxa" w:w="9584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based on the results of multiple small studies.</w:t>
            </w:r>
          </w:p>
        </w:tc>
      </w:tr>
      <w:tr>
        <w:trPr>
          <w:trHeight w:hRule="exact" w:val="318"/>
        </w:trPr>
        <w:tc>
          <w:tcPr>
            <w:tcW w:type="dxa" w:w="900"/>
            <w:tcBorders/>
            <w:shd w:fill="ecec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Tier IID</w:t>
            </w:r>
          </w:p>
        </w:tc>
        <w:tc>
          <w:tcPr>
            <w:tcW w:type="dxa" w:w="9584"/>
            <w:tcBorders/>
            <w:shd w:fill="ecec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12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 of Potential Clinical Significance: Biomarkers that show plausible therapeutic significance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60.0" w:type="dxa"/>
      </w:tblPr>
      <w:tblGrid>
        <w:gridCol w:w="9038"/>
      </w:tblGrid>
      <w:tr>
        <w:trPr>
          <w:trHeight w:hRule="exact" w:val="240"/>
        </w:trPr>
        <w:tc>
          <w:tcPr>
            <w:tcW w:type="dxa" w:w="10040"/>
            <w:tcBorders/>
            <w:shd w:fill="ecec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88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based on preclinical studies or may assist disease diagnosis and/or prognosis themselves or along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4519"/>
        <w:gridCol w:w="4519"/>
      </w:tblGrid>
      <w:tr>
        <w:trPr>
          <w:trHeight w:hRule="exact" w:val="298"/>
        </w:trPr>
        <w:tc>
          <w:tcPr>
            <w:tcW w:type="dxa" w:w="820"/>
            <w:tcBorders/>
            <w:shd w:fill="ececec"/>
            <w:tcMar>
              <w:start w:w="0" w:type="dxa"/>
              <w:end w:w="0" w:type="dxa"/>
            </w:tcMar>
          </w:tcPr>
          <w:p/>
        </w:tc>
        <w:tc>
          <w:tcPr>
            <w:tcW w:type="dxa" w:w="9664"/>
            <w:tcBorders/>
            <w:shd w:fill="ecec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20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with other biomarkers based on small studies or multiple case reports with no consensus.</w:t>
            </w:r>
          </w:p>
        </w:tc>
      </w:tr>
      <w:tr>
        <w:trPr>
          <w:trHeight w:hRule="exact" w:val="298"/>
        </w:trPr>
        <w:tc>
          <w:tcPr>
            <w:tcW w:type="dxa" w:w="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74" w:after="0"/>
              <w:ind w:left="7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Tier III</w:t>
            </w:r>
          </w:p>
        </w:tc>
        <w:tc>
          <w:tcPr>
            <w:tcW w:type="dxa" w:w="9664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74" w:after="0"/>
              <w:ind w:left="20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Variants of Unknown clinical significance (VUS): Not observed at a significant allele frequency in the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60.0" w:type="dxa"/>
      </w:tblPr>
      <w:tblGrid>
        <w:gridCol w:w="9038"/>
      </w:tblGrid>
      <w:tr>
        <w:trPr>
          <w:trHeight w:hRule="exact" w:val="224"/>
        </w:trPr>
        <w:tc>
          <w:tcPr>
            <w:tcW w:type="dxa" w:w="10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88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general or specific subpopulation or pancancer or tumor specific variant databases. No convincing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60.0" w:type="dxa"/>
      </w:tblPr>
      <w:tblGrid>
        <w:gridCol w:w="9038"/>
      </w:tblGrid>
      <w:tr>
        <w:trPr>
          <w:trHeight w:hRule="exact" w:val="286"/>
        </w:trPr>
        <w:tc>
          <w:tcPr>
            <w:tcW w:type="dxa" w:w="7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" w:after="0"/>
              <w:ind w:left="88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published evidence of cancer Association</w:t>
            </w:r>
          </w:p>
        </w:tc>
      </w:tr>
    </w:tbl>
    <w:p>
      <w:pPr>
        <w:autoSpaceDN w:val="0"/>
        <w:autoSpaceDE w:val="0"/>
        <w:widowControl/>
        <w:spacing w:line="240" w:lineRule="auto" w:before="262" w:after="0"/>
        <w:ind w:left="716" w:right="0" w:firstLine="0"/>
        <w:jc w:val="left"/>
      </w:pPr>
      <w:r>
        <w:rPr>
          <w:shd w:val="clear" w:color="auto" w:fill="000000"/>
          <w:rFonts w:ascii="Cambria" w:hAnsi="Cambria" w:eastAsia="Cambria"/>
          <w:b/>
          <w:i w:val="0"/>
          <w:color w:val="008080"/>
          <w:sz w:val="20"/>
        </w:rPr>
        <w:t>References:</w:t>
      </w:r>
    </w:p>
    <w:p>
      <w:pPr>
        <w:autoSpaceDN w:val="0"/>
        <w:autoSpaceDE w:val="0"/>
        <w:widowControl/>
        <w:spacing w:line="240" w:lineRule="auto" w:before="202" w:after="0"/>
        <w:ind w:left="716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1. O'Leary et al. Reference sequence (RefSeq) database at NCBI: current status, taxonomic expansion, and functional</w:t>
      </w:r>
    </w:p>
    <w:p>
      <w:pPr>
        <w:autoSpaceDN w:val="0"/>
        <w:autoSpaceDE w:val="0"/>
        <w:widowControl/>
        <w:spacing w:line="240" w:lineRule="auto" w:before="36" w:after="0"/>
        <w:ind w:left="716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annotation. Nucleic Acids Res. 2016 Jan 4;44(D1):D733-45. PMID: 26553804</w:t>
      </w:r>
    </w:p>
    <w:p>
      <w:pPr>
        <w:autoSpaceDN w:val="0"/>
        <w:autoSpaceDE w:val="0"/>
        <w:widowControl/>
        <w:spacing w:line="240" w:lineRule="auto" w:before="216" w:after="0"/>
        <w:ind w:left="716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Nag et al. The MDM2-p53 pathway revisited. J Biomed Res. 2013 Jul;27(4):254-71. PMID: 23885265</w:t>
      </w:r>
    </w:p>
    <w:p>
      <w:pPr>
        <w:autoSpaceDN w:val="0"/>
        <w:autoSpaceDE w:val="0"/>
        <w:widowControl/>
        <w:spacing w:line="240" w:lineRule="auto" w:before="230" w:after="0"/>
        <w:ind w:left="0" w:right="0" w:firstLine="0"/>
        <w:jc w:val="center"/>
      </w:pPr>
      <w:r>
        <w:rPr>
          <w:rFonts w:ascii="Cambria" w:hAnsi="Cambria" w:eastAsia="Cambria"/>
          <w:b/>
          <w:i/>
          <w:color w:val="000000"/>
          <w:sz w:val="20"/>
        </w:rPr>
        <w:t>Muller et al. Mutant p53 in cancer: new functions and therapeutic opportunities. Cancer Cell. 2014 Mar 17;25(3):304-</w:t>
      </w:r>
    </w:p>
    <w:p>
      <w:pPr>
        <w:autoSpaceDN w:val="0"/>
        <w:autoSpaceDE w:val="0"/>
        <w:widowControl/>
        <w:spacing w:line="240" w:lineRule="auto" w:before="22" w:after="0"/>
        <w:ind w:left="716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17.</w:t>
      </w:r>
    </w:p>
    <w:p>
      <w:pPr>
        <w:autoSpaceDN w:val="0"/>
        <w:autoSpaceDE w:val="0"/>
        <w:widowControl/>
        <w:spacing w:line="240" w:lineRule="auto" w:before="230" w:after="0"/>
        <w:ind w:left="716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PMID: 24651012</w:t>
      </w:r>
    </w:p>
    <w:p>
      <w:pPr>
        <w:autoSpaceDN w:val="0"/>
        <w:autoSpaceDE w:val="0"/>
        <w:widowControl/>
        <w:spacing w:line="240" w:lineRule="auto" w:before="216" w:after="0"/>
        <w:ind w:left="716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Olivier et al. TP53 mutations in human cancers: origins, consequences, and clinical use. Cold Spring Harb Perspect</w:t>
      </w:r>
    </w:p>
    <w:p>
      <w:pPr>
        <w:autoSpaceDN w:val="0"/>
        <w:autoSpaceDE w:val="0"/>
        <w:widowControl/>
        <w:spacing w:line="240" w:lineRule="auto" w:before="36" w:after="0"/>
        <w:ind w:left="716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Biol. 2010</w:t>
      </w:r>
    </w:p>
    <w:p>
      <w:pPr>
        <w:autoSpaceDN w:val="0"/>
        <w:autoSpaceDE w:val="0"/>
        <w:widowControl/>
        <w:spacing w:line="240" w:lineRule="auto" w:before="216" w:after="0"/>
        <w:ind w:left="716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Jan;2(1):a001008. PMID: 20182602</w:t>
      </w:r>
    </w:p>
    <w:p>
      <w:pPr>
        <w:autoSpaceDN w:val="0"/>
        <w:autoSpaceDE w:val="0"/>
        <w:widowControl/>
        <w:spacing w:line="250" w:lineRule="auto" w:before="232" w:after="0"/>
        <w:ind w:left="716" w:right="1296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Guha et al. Inherited TP53 Mutations and the Li-Fraumeni Syndrome. Cold Spring Harb Perspect Med. 2017 Apr </w:t>
      </w:r>
      <w:r>
        <w:rPr>
          <w:rFonts w:ascii="Cambria" w:hAnsi="Cambria" w:eastAsia="Cambria"/>
          <w:b/>
          <w:i/>
          <w:color w:val="000000"/>
          <w:sz w:val="20"/>
        </w:rPr>
        <w:t>3;7(4). PMID:</w:t>
      </w:r>
    </w:p>
    <w:p>
      <w:pPr>
        <w:autoSpaceDN w:val="0"/>
        <w:autoSpaceDE w:val="0"/>
        <w:widowControl/>
        <w:spacing w:line="240" w:lineRule="auto" w:before="232" w:after="0"/>
        <w:ind w:left="716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28270529</w:t>
      </w:r>
    </w:p>
    <w:p>
      <w:pPr>
        <w:autoSpaceDN w:val="0"/>
        <w:autoSpaceDE w:val="0"/>
        <w:widowControl/>
        <w:spacing w:line="240" w:lineRule="auto" w:before="200" w:after="0"/>
        <w:ind w:left="716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Cerami et al. The cBio cancer genomics portal: an open platform for exploring multidimensional cancer genomics</w:t>
      </w:r>
    </w:p>
    <w:p>
      <w:pPr>
        <w:autoSpaceDN w:val="0"/>
        <w:autoSpaceDE w:val="0"/>
        <w:widowControl/>
        <w:spacing w:line="240" w:lineRule="auto" w:before="36" w:after="0"/>
        <w:ind w:left="716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data. Cancer</w:t>
      </w:r>
    </w:p>
    <w:p>
      <w:pPr>
        <w:autoSpaceDN w:val="0"/>
        <w:autoSpaceDE w:val="0"/>
        <w:widowControl/>
        <w:spacing w:line="240" w:lineRule="auto" w:before="216" w:after="0"/>
        <w:ind w:left="716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Discov. 2012 May;2(5):401-4. PMID: 22588877</w:t>
      </w:r>
    </w:p>
    <w:p>
      <w:pPr>
        <w:autoSpaceDN w:val="0"/>
        <w:autoSpaceDE w:val="0"/>
        <w:widowControl/>
        <w:spacing w:line="250" w:lineRule="auto" w:before="232" w:after="0"/>
        <w:ind w:left="716" w:right="864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Weinstein et al. The Cancer Genome Atlas Pan-Cancer analysis project. Nat. Genet. 2013 Oct;45(10):1113-20. PMID: </w:t>
      </w:r>
      <w:r>
        <w:rPr>
          <w:rFonts w:ascii="Cambria" w:hAnsi="Cambria" w:eastAsia="Cambria"/>
          <w:b/>
          <w:i/>
          <w:color w:val="000000"/>
          <w:sz w:val="20"/>
        </w:rPr>
        <w:t>24071849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0" w:lineRule="auto" w:before="6" w:after="0"/>
        <w:ind w:left="716" w:right="2016" w:firstLine="0"/>
        <w:jc w:val="left"/>
      </w:pPr>
      <w:r>
        <w:rPr>
          <w:shd w:val="clear" w:color="auto" w:fill="000000"/>
          <w:rFonts w:ascii="Cambria" w:hAnsi="Cambria" w:eastAsia="Cambria"/>
          <w:b/>
          <w:i/>
          <w:color w:val="000000"/>
          <w:sz w:val="20"/>
        </w:rPr>
        <w:t xml:space="preserve">Peter et al. Comprehensive genomic characterization of squamous cell lung cancers. Nature. 2012 Sep </w:t>
      </w:r>
      <w:r>
        <w:rPr>
          <w:shd w:val="clear" w:color="auto" w:fill="000000"/>
          <w:rFonts w:ascii="Cambria" w:hAnsi="Cambria" w:eastAsia="Cambria"/>
          <w:b/>
          <w:i/>
          <w:color w:val="000000"/>
          <w:sz w:val="20"/>
        </w:rPr>
        <w:t>27;489(7417):519-25.</w:t>
      </w:r>
    </w:p>
    <w:p>
      <w:pPr>
        <w:autoSpaceDN w:val="0"/>
        <w:autoSpaceDE w:val="0"/>
        <w:widowControl/>
        <w:spacing w:line="326" w:lineRule="auto" w:before="232" w:after="0"/>
        <w:ind w:left="716" w:right="1728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PMID: 22960745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 xml:space="preserve">Cancer Genome Atlas Network. Comprehensive genomic characterization of head and neck squamous cell </w:t>
      </w:r>
      <w:r>
        <w:rPr>
          <w:rFonts w:ascii="Cambria" w:hAnsi="Cambria" w:eastAsia="Cambria"/>
          <w:b/>
          <w:i/>
          <w:color w:val="000000"/>
          <w:sz w:val="20"/>
        </w:rPr>
        <w:t>carcinomas. Nature.</w:t>
      </w:r>
    </w:p>
    <w:p>
      <w:pPr>
        <w:autoSpaceDN w:val="0"/>
        <w:autoSpaceDE w:val="0"/>
        <w:widowControl/>
        <w:spacing w:line="326" w:lineRule="auto" w:before="230" w:after="0"/>
        <w:ind w:left="716" w:right="144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2015 Jan 29;517(7536):576-82. PMID: 25631445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 xml:space="preserve">Campbell et al. Distinct patterns of somatic genome alterations in lung adenocarcinomas and squamous cell </w:t>
      </w:r>
      <w:r>
        <w:rPr>
          <w:rFonts w:ascii="Cambria" w:hAnsi="Cambria" w:eastAsia="Cambria"/>
          <w:b/>
          <w:i/>
          <w:color w:val="000000"/>
          <w:sz w:val="20"/>
        </w:rPr>
        <w:t>carcinomas. Nat.</w:t>
      </w:r>
    </w:p>
    <w:p>
      <w:pPr>
        <w:autoSpaceDN w:val="0"/>
        <w:autoSpaceDE w:val="0"/>
        <w:widowControl/>
        <w:spacing w:line="240" w:lineRule="auto" w:before="216" w:after="0"/>
        <w:ind w:left="716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Genet. 2016 Jun;48(6):607-16. PMID: 27158780</w:t>
      </w:r>
    </w:p>
    <w:p>
      <w:pPr>
        <w:autoSpaceDN w:val="0"/>
        <w:autoSpaceDE w:val="0"/>
        <w:widowControl/>
        <w:spacing w:line="240" w:lineRule="auto" w:before="22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32889" cy="66675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2889" cy="66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7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7460" cy="54356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" cy="543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54" w:after="196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7460" cy="5524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" cy="5524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38"/>
      </w:tblGrid>
      <w:tr>
        <w:trPr>
          <w:trHeight w:hRule="exact" w:val="3254"/>
        </w:trPr>
        <w:tc>
          <w:tcPr>
            <w:tcW w:type="dxa" w:w="1191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3710" cy="1990089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710" cy="19900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0" w:lineRule="auto" w:before="216" w:after="0"/>
        <w:ind w:left="716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Cancer Genome Atlas Research Network. Integrated genomic characterization of oesophageal carcinoma. Nature.</w:t>
      </w:r>
    </w:p>
    <w:p>
      <w:pPr>
        <w:autoSpaceDN w:val="0"/>
        <w:autoSpaceDE w:val="0"/>
        <w:widowControl/>
        <w:spacing w:line="394" w:lineRule="auto" w:before="20" w:after="0"/>
        <w:ind w:left="716" w:right="1008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2017 Jan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 xml:space="preserve">12;541(7636):169-175. doi: 10.1038/nature20805. Epub 2017 Jan 4. PMID: 28052061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>Olivier et al. The IARC TP53 database: new online mutation analysis and recommendations to users. Hum. Mutat.</w:t>
      </w:r>
    </w:p>
    <w:p>
      <w:pPr>
        <w:autoSpaceDN w:val="0"/>
        <w:autoSpaceDE w:val="0"/>
        <w:widowControl/>
        <w:spacing w:line="379" w:lineRule="auto" w:before="36" w:after="0"/>
        <w:ind w:left="716" w:right="1584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2002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 xml:space="preserve">Jun;19(6):607-14. PMID: 12007217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 xml:space="preserve">Rivlin et al. Mutations in the p53 Tumor Suppressor Gene: Important Milestones at the Various Steps of </w:t>
      </w:r>
      <w:r>
        <w:rPr>
          <w:rFonts w:ascii="Cambria" w:hAnsi="Cambria" w:eastAsia="Cambria"/>
          <w:b/>
          <w:i/>
          <w:color w:val="000000"/>
          <w:sz w:val="20"/>
        </w:rPr>
        <w:t xml:space="preserve">Tumorigenesis. Genes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 xml:space="preserve">Cancer. 2011 Apr;2(4):466-74. PMID: 21779514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 xml:space="preserve">Petitjean et al. TP53 mutations in human cancers: functional selection and impact on cancer prognosis and </w:t>
      </w:r>
      <w:r>
        <w:rPr>
          <w:rFonts w:ascii="Cambria" w:hAnsi="Cambria" w:eastAsia="Cambria"/>
          <w:b/>
          <w:i/>
          <w:color w:val="000000"/>
          <w:sz w:val="20"/>
        </w:rPr>
        <w:t>outcomes.</w:t>
      </w:r>
    </w:p>
    <w:p>
      <w:pPr>
        <w:autoSpaceDN w:val="0"/>
        <w:autoSpaceDE w:val="0"/>
        <w:widowControl/>
        <w:spacing w:line="326" w:lineRule="auto" w:before="216" w:after="0"/>
        <w:ind w:left="716" w:right="864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Oncogene. 2007 Apr 2;26(15):2157-65. PMID: 17401424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 xml:space="preserve">Soussi et al. Recommendations for analyzing and reporting TP53 gene variants in the high-throughput sequencing </w:t>
      </w:r>
      <w:r>
        <w:rPr>
          <w:rFonts w:ascii="Cambria" w:hAnsi="Cambria" w:eastAsia="Cambria"/>
          <w:b/>
          <w:i/>
          <w:color w:val="000000"/>
          <w:sz w:val="20"/>
        </w:rPr>
        <w:t>era. Hum.</w:t>
      </w:r>
    </w:p>
    <w:p>
      <w:pPr>
        <w:autoSpaceDN w:val="0"/>
        <w:autoSpaceDE w:val="0"/>
        <w:widowControl/>
        <w:spacing w:line="358" w:lineRule="auto" w:before="232" w:after="0"/>
        <w:ind w:left="716" w:right="72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Mutat. 2014 Jun;35(6):766-78. PMID: 24729566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>https://www.globenewswire.com/news-release/2020/10/13/2107498/0/en/PMV-Pharma-Granted-FDA-Fast-Track-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74" w:lineRule="auto" w:before="6" w:after="0"/>
        <w:ind w:left="716" w:right="864" w:firstLine="0"/>
        <w:jc w:val="left"/>
      </w:pPr>
      <w:r>
        <w:rPr>
          <w:shd w:val="clear" w:color="auto" w:fill="000000"/>
          <w:rFonts w:ascii="Cambria" w:hAnsi="Cambria" w:eastAsia="Cambria"/>
          <w:b/>
          <w:i/>
          <w:color w:val="000000"/>
          <w:sz w:val="20"/>
        </w:rPr>
        <w:t>Designation-of-PC14586-for-the-Treatment-of-Advanced-Cancer-Patients-that-have-Tumors-with-a-p53-Y220C-</w:t>
      </w:r>
      <w:r>
        <w:rPr>
          <w:shd w:val="clear" w:color="auto" w:fill="000000"/>
          <w:rFonts w:ascii="Cambria" w:hAnsi="Cambria" w:eastAsia="Cambria"/>
          <w:b/>
          <w:i/>
          <w:color w:val="000000"/>
          <w:sz w:val="20"/>
        </w:rPr>
        <w:t xml:space="preserve">Mutation.html </w:t>
      </w:r>
      <w:r>
        <w:br/>
      </w:r>
      <w:r>
        <w:rPr>
          <w:shd w:val="clear" w:color="auto" w:fill="000000"/>
          <w:rFonts w:ascii="Cambria" w:hAnsi="Cambria" w:eastAsia="Cambria"/>
          <w:b/>
          <w:i/>
          <w:color w:val="000000"/>
          <w:sz w:val="20"/>
        </w:rPr>
        <w:t xml:space="preserve">https://ir.aprea.com//news-releases/news-release-details/aprea-therapeutics-receives-fda-fast-track-designation </w:t>
      </w:r>
      <w:r>
        <w:rPr>
          <w:shd w:val="clear" w:color="auto" w:fill="000000"/>
          <w:rFonts w:ascii="Cambria" w:hAnsi="Cambria" w:eastAsia="Cambria"/>
          <w:b/>
          <w:i/>
          <w:color w:val="000000"/>
          <w:sz w:val="20"/>
        </w:rPr>
        <w:t>http://vp280.alertir.com/en/pressreleases/karolinska-development%27s-portfolio-company-aprea-therapeutics-</w:t>
      </w:r>
      <w:r>
        <w:rPr>
          <w:shd w:val="clear" w:color="auto" w:fill="000000"/>
          <w:rFonts w:ascii="Cambria" w:hAnsi="Cambria" w:eastAsia="Cambria"/>
          <w:b/>
          <w:i/>
          <w:color w:val="000000"/>
          <w:sz w:val="20"/>
        </w:rPr>
        <w:t>receives-</w:t>
      </w:r>
      <w:r>
        <w:br/>
      </w:r>
      <w:r>
        <w:rPr>
          <w:shd w:val="clear" w:color="auto" w:fill="000000"/>
          <w:rFonts w:ascii="Cambria" w:hAnsi="Cambria" w:eastAsia="Cambria"/>
          <w:b/>
          <w:i/>
          <w:color w:val="000000"/>
          <w:sz w:val="20"/>
        </w:rPr>
        <w:t xml:space="preserve">fda-breakthrough-therapy-designation-1769167 </w:t>
      </w:r>
      <w:r>
        <w:br/>
      </w:r>
      <w:r>
        <w:rPr>
          <w:shd w:val="clear" w:color="auto" w:fill="000000"/>
          <w:rFonts w:ascii="Cambria" w:hAnsi="Cambria" w:eastAsia="Cambria"/>
          <w:b/>
          <w:i/>
          <w:color w:val="000000"/>
          <w:sz w:val="20"/>
        </w:rPr>
        <w:t xml:space="preserve">Parrales et al. Targeting Oncogenic Mutant p53 for Cancer Therapy. Front Oncol. 2015 Dec 21;5:288. doi: </w:t>
      </w:r>
      <w:r>
        <w:rPr>
          <w:shd w:val="clear" w:color="auto" w:fill="000000"/>
          <w:rFonts w:ascii="Cambria" w:hAnsi="Cambria" w:eastAsia="Cambria"/>
          <w:b/>
          <w:i/>
          <w:color w:val="000000"/>
          <w:sz w:val="20"/>
        </w:rPr>
        <w:t xml:space="preserve">10.3389/fonc.2015.00288. eCollection 2015. PMID: 26732534 </w:t>
      </w:r>
      <w:r>
        <w:br/>
      </w:r>
      <w:r>
        <w:rPr>
          <w:shd w:val="clear" w:color="auto" w:fill="000000"/>
          <w:rFonts w:ascii="Cambria" w:hAnsi="Cambria" w:eastAsia="Cambria"/>
          <w:b/>
          <w:i/>
          <w:color w:val="000000"/>
          <w:sz w:val="20"/>
        </w:rPr>
        <w:t>Zhao et al. Molecularly targeted therapies for p53-mutant cancers. Cell. Mol. Life Sci. 2017 Nov;74(22):4171-4187.</w:t>
      </w:r>
    </w:p>
    <w:p>
      <w:pPr>
        <w:autoSpaceDN w:val="0"/>
        <w:autoSpaceDE w:val="0"/>
        <w:widowControl/>
        <w:spacing w:line="430" w:lineRule="auto" w:before="20" w:after="0"/>
        <w:ind w:left="716" w:right="576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PMID: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 xml:space="preserve">28643165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 xml:space="preserve">Louis et al. The 2021 WHO Classification of Tumors of the Central Nervous System: a summary. Neuro Oncol. 2021 Aug </w:t>
      </w:r>
      <w:r>
        <w:rPr>
          <w:rFonts w:ascii="Cambria" w:hAnsi="Cambria" w:eastAsia="Cambria"/>
          <w:b/>
          <w:i/>
          <w:color w:val="000000"/>
          <w:sz w:val="20"/>
        </w:rPr>
        <w:t xml:space="preserve">2;23(8):1231-1251. PMID: 34185076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 xml:space="preserve">NCCN Guidelines&amp;reg; - NCCN-Acute Myeloid Leukemia [Version 2.2025]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 xml:space="preserve">Döhner et al. Diagnosis and management of AML in adults: 2022 recommendations from an international expert </w:t>
      </w:r>
      <w:r>
        <w:rPr>
          <w:rFonts w:ascii="Cambria" w:hAnsi="Cambria" w:eastAsia="Cambria"/>
          <w:b/>
          <w:i/>
          <w:color w:val="000000"/>
          <w:sz w:val="20"/>
        </w:rPr>
        <w:t xml:space="preserve">panel on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 xml:space="preserve">behalf of the ELN. Blood. 2022 Sep 22;140(12):1345-1377. PMID: 35797463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 xml:space="preserve">NCCN Guidelines&amp;reg; - NCCN-Myelodysplastic Syndromes [Version 2.2025]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 xml:space="preserve">NCCN Guidelines&amp;reg; - NCCN-Myeloproliferative Neoplasms [Version 1.2025]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 xml:space="preserve">NCCN Guidelines&amp;reg; - NCCN-Chronic Lymphocytic Leukemia/Small Lymphocytic Lymphoma [Version 3.2025] </w:t>
      </w:r>
      <w:r>
        <w:rPr>
          <w:rFonts w:ascii="Cambria" w:hAnsi="Cambria" w:eastAsia="Cambria"/>
          <w:b/>
          <w:i/>
          <w:color w:val="000000"/>
          <w:sz w:val="20"/>
        </w:rPr>
        <w:t xml:space="preserve">NCCN Guidelines&amp;reg; - NCCN-Acute Lymphoblastic Leukemia [Version 3.2024] </w:t>
      </w:r>
      <w:r>
        <w:br/>
      </w:r>
      <w:r>
        <w:rPr>
          <w:rFonts w:ascii="Cambria" w:hAnsi="Cambria" w:eastAsia="Cambria"/>
          <w:b/>
          <w:i/>
          <w:color w:val="000000"/>
          <w:sz w:val="20"/>
        </w:rPr>
        <w:t>NCCN Guidelines&amp;reg; - NCCN-B-Cell Lymphomas [Version 2.2025]</w:t>
      </w:r>
    </w:p>
    <w:p>
      <w:pPr>
        <w:autoSpaceDN w:val="0"/>
        <w:autoSpaceDE w:val="0"/>
        <w:widowControl/>
        <w:spacing w:line="240" w:lineRule="auto" w:before="19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32889" cy="67691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2889" cy="676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5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7460" cy="5524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" cy="552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56" w:after="21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7460" cy="54229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" cy="54229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38"/>
      </w:tblGrid>
      <w:tr>
        <w:trPr>
          <w:trHeight w:hRule="exact" w:val="3256"/>
        </w:trPr>
        <w:tc>
          <w:tcPr>
            <w:tcW w:type="dxa" w:w="11910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3710" cy="1991359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710" cy="1991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59" w:lineRule="auto" w:before="200" w:after="0"/>
        <w:ind w:left="716" w:right="1584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Bernard et al. Implications of TP53 allelic state for genome stability, clinical presentation and outcomes in </w:t>
      </w:r>
      <w:r>
        <w:rPr>
          <w:rFonts w:ascii="Cambria" w:hAnsi="Cambria" w:eastAsia="Cambria"/>
          <w:b/>
          <w:i/>
          <w:color w:val="000000"/>
          <w:sz w:val="20"/>
        </w:rPr>
        <w:t>myelodysplastic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syndromes. Nat. Med. 2020 Aug 3. PMID: 32747829</w:t>
      </w:r>
    </w:p>
    <w:p>
      <w:pPr>
        <w:autoSpaceDN w:val="0"/>
        <w:tabs>
          <w:tab w:pos="4252" w:val="left"/>
        </w:tabs>
        <w:autoSpaceDE w:val="0"/>
        <w:widowControl/>
        <w:spacing w:line="240" w:lineRule="auto" w:before="140" w:after="0"/>
        <w:ind w:left="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Calibri" w:hAnsi="Calibri" w:eastAsia="Calibri"/>
          <w:b w:val="0"/>
          <w:i w:val="0"/>
          <w:color w:val="000000"/>
          <w:sz w:val="20"/>
        </w:rPr>
        <w:t>End Of Report ------------------</w:t>
      </w:r>
    </w:p>
    <w:p>
      <w:pPr>
        <w:autoSpaceDN w:val="0"/>
        <w:autoSpaceDE w:val="0"/>
        <w:widowControl/>
        <w:spacing w:line="240" w:lineRule="auto" w:before="216" w:after="0"/>
        <w:ind w:left="0" w:right="330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532889" cy="666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2889" cy="66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70" w:after="0"/>
        <w:ind w:left="0" w:right="3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267460" cy="54356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" cy="543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54" w:after="0"/>
        <w:ind w:left="0" w:right="3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267460" cy="5524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" cy="552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56" w:after="0"/>
        <w:ind w:left="0" w:right="314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743710" cy="199008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43710" cy="199008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18" w:h="16838"/>
      <w:pgMar w:top="2" w:right="1440" w:bottom="1440" w:left="71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