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2844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4509"/>
        <w:gridCol w:w="4509"/>
      </w:tblGrid>
      <w:tr>
        <w:trPr>
          <w:trHeight w:hRule="exact" w:val="340"/>
        </w:trPr>
        <w:tc>
          <w:tcPr>
            <w:tcW w:type="dxa" w:w="1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8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>Name:</w:t>
            </w:r>
          </w:p>
        </w:tc>
        <w:tc>
          <w:tcPr>
            <w:tcW w:type="dxa" w:w="66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</w:tc>
      </w:tr>
    </w:tbl>
    <w:p>
      <w:pPr>
        <w:autoSpaceDN w:val="0"/>
        <w:tabs>
          <w:tab w:pos="762" w:val="left"/>
          <w:tab w:pos="3162" w:val="left"/>
        </w:tabs>
        <w:autoSpaceDE w:val="0"/>
        <w:widowControl/>
        <w:spacing w:line="336" w:lineRule="auto" w:before="124" w:after="0"/>
        <w:ind w:left="712" w:right="6912" w:firstLine="0"/>
        <w:jc w:val="left"/>
      </w:pPr>
      <w:r>
        <w:rPr>
          <w:rFonts w:ascii="Calibri" w:hAnsi="Calibri" w:eastAsia="Calibri"/>
          <w:b/>
          <w:i w:val="0"/>
          <w:color w:val="1F497D"/>
          <w:sz w:val="18"/>
        </w:rPr>
        <w:t xml:space="preserve">Sex/Age: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 xml:space="preserve">Male/70 Years </w:t>
      </w:r>
      <w:r>
        <w:br/>
      </w:r>
      <w:r>
        <w:rPr>
          <w:rFonts w:ascii="Cambria" w:hAnsi="Cambria" w:eastAsia="Cambria"/>
          <w:b/>
          <w:i w:val="0"/>
          <w:color w:val="000000"/>
          <w:sz w:val="20"/>
        </w:rPr>
        <w:t>Clinical Indication: Metastatic Adenocarcinoma</w:t>
      </w:r>
    </w:p>
    <w:p>
      <w:pPr>
        <w:autoSpaceDN w:val="0"/>
        <w:autoSpaceDE w:val="0"/>
        <w:widowControl/>
        <w:spacing w:line="240" w:lineRule="auto" w:before="560" w:after="0"/>
        <w:ind w:left="0" w:right="1530" w:firstLine="0"/>
        <w:jc w:val="right"/>
      </w:pPr>
      <w:r>
        <w:rPr>
          <w:rFonts w:ascii="Cambria" w:hAnsi="Cambria" w:eastAsia="Cambria"/>
          <w:b/>
          <w:i w:val="0"/>
          <w:color w:val="000000"/>
          <w:sz w:val="28"/>
        </w:rPr>
        <w:t>Positive (Clinically significant Variant detected)</w:t>
      </w:r>
    </w:p>
    <w:p>
      <w:pPr>
        <w:autoSpaceDN w:val="0"/>
        <w:autoSpaceDE w:val="0"/>
        <w:widowControl/>
        <w:spacing w:line="240" w:lineRule="auto" w:before="534" w:after="216"/>
        <w:ind w:left="926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346"/>
        </w:trPr>
        <w:tc>
          <w:tcPr>
            <w:tcW w:type="dxa" w:w="1304"/>
            <w:tcBorders>
              <w:start w:sz="6.400000000000006" w:val="single" w:color="#1F497D"/>
              <w:top w:sz="6.400000000000091" w:val="single" w:color="#1F497D"/>
              <w:end w:sz="6.399999999999977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Tier I</w:t>
            </w:r>
          </w:p>
        </w:tc>
        <w:tc>
          <w:tcPr>
            <w:tcW w:type="dxa" w:w="1412"/>
            <w:tcBorders>
              <w:start w:sz="6.399999999999977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Tier II</w:t>
            </w:r>
          </w:p>
        </w:tc>
        <w:tc>
          <w:tcPr>
            <w:tcW w:type="dxa" w:w="1528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Tier III</w:t>
            </w:r>
          </w:p>
        </w:tc>
        <w:tc>
          <w:tcPr>
            <w:tcW w:type="dxa" w:w="1516"/>
            <w:tcBorders>
              <w:start w:sz="6.400000000000091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MSI</w:t>
            </w:r>
          </w:p>
        </w:tc>
        <w:tc>
          <w:tcPr>
            <w:tcW w:type="dxa" w:w="2174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Therapies</w:t>
            </w:r>
          </w:p>
        </w:tc>
        <w:tc>
          <w:tcPr>
            <w:tcW w:type="dxa" w:w="2760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Clinical Trials</w:t>
            </w:r>
          </w:p>
        </w:tc>
      </w:tr>
      <w:tr>
        <w:trPr>
          <w:trHeight w:hRule="exact" w:val="494"/>
        </w:trPr>
        <w:tc>
          <w:tcPr>
            <w:tcW w:type="dxa" w:w="1304"/>
            <w:tcBorders>
              <w:start w:sz="6.400000000000006" w:val="single" w:color="#1F497D"/>
              <w:top w:sz="5.599999999999909" w:val="single" w:color="#1F497D"/>
              <w:end w:sz="6.399999999999977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412"/>
            <w:tcBorders>
              <w:start w:sz="6.399999999999977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528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1516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8000"/>
                <w:sz w:val="17"/>
              </w:rPr>
              <w:t>Stable</w:t>
            </w:r>
          </w:p>
        </w:tc>
        <w:tc>
          <w:tcPr>
            <w:tcW w:type="dxa" w:w="2174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2760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0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240" w:lineRule="auto" w:before="236" w:after="232"/>
        <w:ind w:left="926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344"/>
        </w:trPr>
        <w:tc>
          <w:tcPr>
            <w:tcW w:type="dxa" w:w="856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Tier</w:t>
            </w:r>
          </w:p>
        </w:tc>
        <w:tc>
          <w:tcPr>
            <w:tcW w:type="dxa" w:w="3328"/>
            <w:tcBorders>
              <w:start w:sz="5.600000000000023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Gene &amp; Transcript</w:t>
            </w:r>
          </w:p>
        </w:tc>
        <w:tc>
          <w:tcPr>
            <w:tcW w:type="dxa" w:w="3136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Variant</w:t>
            </w:r>
          </w:p>
        </w:tc>
        <w:tc>
          <w:tcPr>
            <w:tcW w:type="dxa" w:w="9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Exon</w:t>
            </w:r>
          </w:p>
        </w:tc>
        <w:tc>
          <w:tcPr>
            <w:tcW w:type="dxa" w:w="23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Coverage/VAF</w:t>
            </w:r>
          </w:p>
        </w:tc>
      </w:tr>
      <w:tr>
        <w:trPr>
          <w:trHeight w:hRule="exact" w:val="720"/>
        </w:trPr>
        <w:tc>
          <w:tcPr>
            <w:tcW w:type="dxa" w:w="856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IIC</w:t>
            </w:r>
          </w:p>
        </w:tc>
        <w:tc>
          <w:tcPr>
            <w:tcW w:type="dxa" w:w="3328"/>
            <w:tcBorders>
              <w:start w:sz="5.600000000000023" w:val="single" w:color="#1F497D"/>
              <w:top w:sz="5.599999999999909" w:val="single" w:color="#1F497D"/>
              <w:end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TP53 NM 000546.6 _</w:t>
            </w:r>
          </w:p>
        </w:tc>
        <w:tc>
          <w:tcPr>
            <w:tcW w:type="dxa" w:w="3136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c.405C&gt;A p.(C135*)</w:t>
            </w:r>
          </w:p>
        </w:tc>
        <w:tc>
          <w:tcPr>
            <w:tcW w:type="dxa" w:w="9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23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691x / 93.13%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712" w:right="72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*Genetic</w:t>
      </w:r>
      <w:r>
        <w:rPr>
          <w:rFonts w:ascii="Cambria" w:hAnsi="Cambria" w:eastAsia="Cambria"/>
          <w:b/>
          <w:i/>
          <w:color w:val="000000"/>
          <w:sz w:val="20"/>
        </w:rPr>
        <w:t xml:space="preserve"> test results are reported based on the</w:t>
      </w:r>
      <w:r>
        <w:rPr>
          <w:rFonts w:ascii="Cambria" w:hAnsi="Cambria" w:eastAsia="Cambria"/>
          <w:b/>
          <w:i/>
          <w:color w:val="000000"/>
          <w:sz w:val="20"/>
        </w:rPr>
        <w:t xml:space="preserve"> recommendations of AMP-ASCO-C</w:t>
      </w:r>
      <w:r>
        <w:rPr>
          <w:rFonts w:ascii="Cambria" w:hAnsi="Cambria" w:eastAsia="Cambria"/>
          <w:b/>
          <w:i/>
          <w:color w:val="000000"/>
          <w:sz w:val="20"/>
        </w:rPr>
        <w:t>AP guidelin</w:t>
      </w:r>
      <w:r>
        <w:rPr>
          <w:rFonts w:ascii="Cambria" w:hAnsi="Cambria" w:eastAsia="Cambria"/>
          <w:b/>
          <w:i/>
          <w:color w:val="000000"/>
          <w:sz w:val="20"/>
        </w:rPr>
        <w:t xml:space="preserve">es. **Public data sources </w:t>
      </w:r>
      <w:r>
        <w:rPr>
          <w:rFonts w:ascii="Cambria" w:hAnsi="Cambria" w:eastAsia="Cambria"/>
          <w:b/>
          <w:i/>
          <w:color w:val="000000"/>
          <w:sz w:val="20"/>
        </w:rPr>
        <w:t>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82" w:after="232"/>
        <w:ind w:left="926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06"/>
        <w:gridCol w:w="3006"/>
        <w:gridCol w:w="3006"/>
      </w:tblGrid>
      <w:tr>
        <w:trPr>
          <w:trHeight w:hRule="exact" w:val="344"/>
        </w:trPr>
        <w:tc>
          <w:tcPr>
            <w:tcW w:type="dxa" w:w="4680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Assay Biomarker</w:t>
            </w:r>
          </w:p>
        </w:tc>
        <w:tc>
          <w:tcPr>
            <w:tcW w:type="dxa" w:w="123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478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Interpretation</w:t>
            </w:r>
          </w:p>
        </w:tc>
      </w:tr>
      <w:tr>
        <w:trPr>
          <w:trHeight w:hRule="exact" w:val="570"/>
        </w:trPr>
        <w:tc>
          <w:tcPr>
            <w:tcW w:type="dxa" w:w="4680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Microsatellite Instability (MSI)</w:t>
            </w:r>
          </w:p>
        </w:tc>
        <w:tc>
          <w:tcPr>
            <w:tcW w:type="dxa" w:w="123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8000"/>
                <w:sz w:val="17"/>
              </w:rPr>
              <w:t>Stable</w:t>
            </w:r>
          </w:p>
        </w:tc>
        <w:tc>
          <w:tcPr>
            <w:tcW w:type="dxa" w:w="478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8000"/>
                <w:sz w:val="17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712" w:right="43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# Correlation of the genetic findings with the clinica</w:t>
      </w:r>
      <w:r>
        <w:rPr>
          <w:rFonts w:ascii="Cambria" w:hAnsi="Cambria" w:eastAsia="Cambria"/>
          <w:b/>
          <w:i/>
          <w:color w:val="000000"/>
          <w:sz w:val="20"/>
        </w:rPr>
        <w:t>l condition of</w:t>
      </w:r>
      <w:r>
        <w:rPr>
          <w:rFonts w:ascii="Cambria" w:hAnsi="Cambria" w:eastAsia="Cambria"/>
          <w:b/>
          <w:i/>
          <w:color w:val="000000"/>
          <w:sz w:val="20"/>
        </w:rPr>
        <w:t xml:space="preserve"> the patient is required to arrive at accurate diagnosis</w:t>
      </w:r>
      <w:r>
        <w:rPr>
          <w:rFonts w:ascii="Cambria" w:hAnsi="Cambria" w:eastAsia="Cambria"/>
          <w:b/>
          <w:i/>
          <w:color w:val="000000"/>
          <w:sz w:val="20"/>
        </w:rPr>
        <w:t xml:space="preserve">, </w:t>
      </w:r>
      <w:r>
        <w:rPr>
          <w:rFonts w:ascii="Cambria" w:hAnsi="Cambria" w:eastAsia="Cambria"/>
          <w:b/>
          <w:i/>
          <w:color w:val="000000"/>
          <w:sz w:val="20"/>
        </w:rPr>
        <w:t>prognosis or therapeutic decisions.</w:t>
      </w:r>
    </w:p>
    <w:p>
      <w:pPr>
        <w:sectPr>
          <w:footerReference w:type="default" r:id="rId10"/>
          <w:footerReference w:type="first" r:id="rId11"/>
          <w:footerReference w:type="even" r:id="rId12"/>
          <w:headerReference w:type="default" r:id="rId13"/>
          <w:headerReference w:type="first" r:id="rId14"/>
          <w:headerReference w:type="even" r:id="rId15"/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696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92"/>
        </w:trPr>
        <w:tc>
          <w:tcPr>
            <w:tcW w:type="dxa" w:w="8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60" w:after="0"/>
              <w:ind w:left="38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rPr>
                <w:rFonts w:ascii="Cambria" w:hAnsi="Cambria" w:eastAsia="Cambria"/>
                <w:b/>
                <w:i w:val="0"/>
                <w:color w:val="000000"/>
                <w:sz w:val="24"/>
              </w:rPr>
              <w:t xml:space="preserve">Clinical Significance: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19"/>
      </w:tblGrid>
      <w:tr>
        <w:trPr>
          <w:trHeight w:hRule="exact" w:val="2252"/>
        </w:trPr>
        <w:tc>
          <w:tcPr>
            <w:tcW w:type="dxa" w:w="11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862" w:val="left"/>
              </w:tabs>
              <w:autoSpaceDE w:val="0"/>
              <w:widowControl/>
              <w:spacing w:line="240" w:lineRule="auto" w:before="26" w:after="0"/>
              <w:ind w:left="46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Sex/Age: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8.0" w:type="dxa"/>
            </w:tblPr>
            <w:tblGrid>
              <w:gridCol w:w="3767"/>
              <w:gridCol w:w="3767"/>
              <w:gridCol w:w="3767"/>
            </w:tblGrid>
            <w:tr>
              <w:trPr>
                <w:trHeight w:hRule="exact" w:val="348"/>
              </w:trPr>
              <w:tc>
                <w:tcPr>
                  <w:tcW w:type="dxa" w:w="4020"/>
                  <w:tcBorders>
                    <w:start w:sz="6.400000000000006" w:val="single" w:color="#1F497D"/>
                    <w:top w:sz="5.599999999999909" w:val="single" w:color="#1F497D"/>
                    <w:end w:sz="6.400000000000091" w:val="single" w:color="#1F497D"/>
                    <w:bottom w:sz="5.599999999999909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3.999999999999986" w:type="dxa"/>
                  </w:tblPr>
                  <w:tblGrid>
                    <w:gridCol w:w="1340"/>
                    <w:gridCol w:w="1340"/>
                    <w:gridCol w:w="1340"/>
                  </w:tblGrid>
                  <w:tr>
                    <w:trPr>
                      <w:trHeight w:hRule="exact" w:val="282"/>
                    </w:trPr>
                    <w:tc>
                      <w:tcPr>
                        <w:tcW w:type="dxa" w:w="1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72" w:after="0"/>
                          <w:ind w:left="82" w:right="0" w:firstLine="0"/>
                          <w:jc w:val="left"/>
                        </w:pPr>
                        <w:r>
                          <w:rPr>
                            <w:rFonts w:ascii="Calibri" w:hAnsi="Calibri" w:eastAsia="Calibri"/>
                            <w:b/>
                            <w:i w:val="0"/>
                            <w:color w:val="1F497D"/>
                            <w:sz w:val="18"/>
                          </w:rPr>
                          <w:t>chr17:</w:t>
                        </w:r>
                      </w:p>
                    </w:tc>
                    <w:tc>
                      <w:tcPr>
                        <w:tcW w:type="dxa" w:w="12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124" w:firstLine="0"/>
                          <w:jc w:val="right"/>
                        </w:pPr>
                        <w:r>
                          <w:rPr>
                            <w:rFonts w:ascii="Calibri" w:hAnsi="Calibri" w:eastAsia="Calibri"/>
                            <w:b/>
                            <w:i w:val="0"/>
                            <w:color w:val="FFFFFF"/>
                            <w:sz w:val="17"/>
                          </w:rPr>
                          <w:t>Variant</w:t>
                        </w:r>
                      </w:p>
                    </w:tc>
                    <w:tc>
                      <w:tcPr>
                        <w:tcW w:type="dxa" w:w="1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72" w:after="0"/>
                          <w:ind w:left="162" w:right="0" w:firstLine="0"/>
                          <w:jc w:val="left"/>
                        </w:pPr>
                        <w:r>
                          <w:rPr>
                            <w:rFonts w:ascii="Calibri" w:hAnsi="Calibri" w:eastAsia="Calibri"/>
                            <w:b w:val="0"/>
                            <w:i w:val="0"/>
                            <w:color w:val="000000"/>
                            <w:sz w:val="18"/>
                          </w:rPr>
                          <w:t>7578525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164"/>
                  <w:tcBorders>
                    <w:start w:sz="6.400000000000091" w:val="single" w:color="#1F497D"/>
                    <w:top w:sz="5.599999999999909" w:val="single" w:color="#1F497D"/>
                    <w:end w:sz="6.400000000000091" w:val="single" w:color="#1F497D"/>
                    <w:bottom w:sz="5.599999999999909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FFFFFF"/>
                      <w:sz w:val="17"/>
                    </w:rPr>
                    <w:t>Therapy</w:t>
                  </w:r>
                </w:p>
              </w:tc>
              <w:tc>
                <w:tcPr>
                  <w:tcW w:type="dxa" w:w="3510"/>
                  <w:tcBorders>
                    <w:start w:sz="6.400000000000091" w:val="single" w:color="#1F497D"/>
                    <w:top w:sz="5.599999999999909" w:val="single" w:color="#1F497D"/>
                    <w:end w:sz="5.600000000000364" w:val="single" w:color="#1F497D"/>
                    <w:bottom w:sz="5.599999999999909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824"/>
              </w:trPr>
              <w:tc>
                <w:tcPr>
                  <w:tcW w:type="dxa" w:w="4020"/>
                  <w:tcBorders>
                    <w:start w:sz="6.400000000000006" w:val="single" w:color="#1F497D"/>
                    <w:top w:sz="5.599999999999909" w:val="single" w:color="#1F497D"/>
                    <w:end w:sz="6.400000000000091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164"/>
                  <w:tcBorders>
                    <w:start w:sz="6.400000000000091" w:val="single" w:color="#1F497D"/>
                    <w:top w:sz="5.599999999999909" w:val="single" w:color="#1F497D"/>
                    <w:end w:sz="6.400000000000091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04" w:after="0"/>
                    <w:ind w:left="6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In This Cancer</w:t>
                  </w:r>
                </w:p>
              </w:tc>
              <w:tc>
                <w:tcPr>
                  <w:tcW w:type="dxa" w:w="3510"/>
                  <w:tcBorders>
                    <w:start w:sz="6.400000000000091" w:val="single" w:color="#1F497D"/>
                    <w:top w:sz="5.599999999999909" w:val="single" w:color="#1F497D"/>
                    <w:end w:sz="5.600000000000364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04" w:after="0"/>
                    <w:ind w:left="54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In Other Cancer</w:t>
                  </w:r>
                </w:p>
              </w:tc>
            </w:tr>
            <w:tr>
              <w:trPr>
                <w:trHeight w:hRule="exact" w:val="804"/>
              </w:trPr>
              <w:tc>
                <w:tcPr>
                  <w:tcW w:type="dxa" w:w="4020"/>
                  <w:tcBorders>
                    <w:start w:sz="6.400000000000006" w:val="single" w:color="#1F497D"/>
                    <w:top w:sz="6.400000000000091" w:val="single" w:color="#1F497D"/>
                    <w:end w:sz="6.400000000000091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2" w:after="0"/>
                    <w:ind w:left="64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IIC TP53 p.(C135*)</w:t>
                  </w:r>
                </w:p>
              </w:tc>
              <w:tc>
                <w:tcPr>
                  <w:tcW w:type="dxa" w:w="3164"/>
                  <w:tcBorders>
                    <w:start w:sz="6.400000000000091" w:val="single" w:color="#1F497D"/>
                    <w:top w:sz="6.400000000000091" w:val="single" w:color="#1F497D"/>
                    <w:end w:sz="6.400000000000091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2" w:after="0"/>
                    <w:ind w:left="6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▪None*</w:t>
                  </w:r>
                </w:p>
              </w:tc>
              <w:tc>
                <w:tcPr>
                  <w:tcW w:type="dxa" w:w="3510"/>
                  <w:tcBorders>
                    <w:start w:sz="6.400000000000091" w:val="single" w:color="#1F497D"/>
                    <w:top w:sz="6.400000000000091" w:val="single" w:color="#1F497D"/>
                    <w:end w:sz="5.600000000000364" w:val="single" w:color="#1F497D"/>
                    <w:bottom w:sz="6.400000000000091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2" w:after="0"/>
                    <w:ind w:left="54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▪None*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06"/>
        <w:gridCol w:w="3006"/>
        <w:gridCol w:w="3006"/>
      </w:tblGrid>
      <w:tr>
        <w:trPr>
          <w:trHeight w:hRule="exact" w:val="346"/>
        </w:trPr>
        <w:tc>
          <w:tcPr>
            <w:tcW w:type="dxa" w:w="2716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Variant</w:t>
            </w:r>
          </w:p>
        </w:tc>
        <w:tc>
          <w:tcPr>
            <w:tcW w:type="dxa" w:w="3974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Diagnostic Significance</w:t>
            </w:r>
          </w:p>
        </w:tc>
        <w:tc>
          <w:tcPr>
            <w:tcW w:type="dxa" w:w="40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Prognostic Significance</w:t>
            </w:r>
          </w:p>
        </w:tc>
      </w:tr>
      <w:tr>
        <w:trPr>
          <w:trHeight w:hRule="exact" w:val="704"/>
        </w:trPr>
        <w:tc>
          <w:tcPr>
            <w:tcW w:type="dxa" w:w="2716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TP53 p.(C135*)</w:t>
            </w:r>
          </w:p>
        </w:tc>
        <w:tc>
          <w:tcPr>
            <w:tcW w:type="dxa" w:w="397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None*</w:t>
            </w:r>
          </w:p>
        </w:tc>
        <w:tc>
          <w:tcPr>
            <w:tcW w:type="dxa" w:w="40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2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None*</w:t>
            </w:r>
          </w:p>
        </w:tc>
      </w:tr>
    </w:tbl>
    <w:p>
      <w:pPr>
        <w:autoSpaceDN w:val="0"/>
        <w:autoSpaceDE w:val="0"/>
        <w:widowControl/>
        <w:spacing w:line="240" w:lineRule="auto" w:before="252" w:after="230"/>
        <w:ind w:left="926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Biomarker Description: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09"/>
        <w:gridCol w:w="4509"/>
      </w:tblGrid>
      <w:tr>
        <w:trPr>
          <w:trHeight w:hRule="exact" w:val="346"/>
        </w:trPr>
        <w:tc>
          <w:tcPr>
            <w:tcW w:type="dxa" w:w="1364"/>
            <w:tcBorders>
              <w:start w:sz="6.400000000000006" w:val="single" w:color="#1F497D"/>
              <w:top w:sz="6.400000000000091" w:val="single" w:color="#1F497D"/>
              <w:end w:sz="6.399999999999977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Variant</w:t>
            </w:r>
          </w:p>
        </w:tc>
        <w:tc>
          <w:tcPr>
            <w:tcW w:type="dxa" w:w="9330"/>
            <w:tcBorders>
              <w:start w:sz="6.399999999999977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Biomarker Description</w:t>
            </w:r>
          </w:p>
        </w:tc>
      </w:tr>
      <w:tr>
        <w:trPr>
          <w:trHeight w:hRule="exact" w:val="4600"/>
        </w:trPr>
        <w:tc>
          <w:tcPr>
            <w:tcW w:type="dxa" w:w="1364"/>
            <w:tcBorders>
              <w:start w:sz="6.400000000000006" w:val="single" w:color="#1F497D"/>
              <w:top w:sz="5.599999999999909" w:val="single" w:color="#1F497D"/>
              <w:end w:sz="6.399999999999977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74" w:after="0"/>
              <w:ind w:left="64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TP53 NM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000546.6 _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chr17:7578525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c.405C&gt;A p.</w:t>
            </w:r>
          </w:p>
          <w:p>
            <w:pPr>
              <w:autoSpaceDN w:val="0"/>
              <w:autoSpaceDE w:val="0"/>
              <w:widowControl/>
              <w:spacing w:line="240" w:lineRule="auto" w:before="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(C135*)</w:t>
            </w:r>
          </w:p>
        </w:tc>
        <w:tc>
          <w:tcPr>
            <w:tcW w:type="dxa" w:w="9330"/>
            <w:tcBorders>
              <w:start w:sz="6.399999999999977" w:val="single" w:color="#1F497D"/>
              <w:top w:sz="5.599999999999909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30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The TP53 gene encodes the tumor suppressor protein p53, which binds to DNA and activates transcription in response to diverse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cellular stresses to induce cell cycle arrest, apoptosis, or DNA repair[1]. In unstressed cells, TP53 is kept inactive by targeted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degradation via MDM2, a substrate recognition factor for ubiquitin-dependent proteolysis[2]. Alterations in TP53 are required for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oncogenesis as they result in loss of protein function and gain of transforming potential[3]. Germline mutations in TP53 are the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underlying cause of Li-Fraumeni syndrome, a complex hereditary cancer predisposition disorder associated with early-onset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cancers[4,5]. TP53 is the most frequently mutated gene in the cancer genome with approximately half of all cancers experiencing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>TP53 mutations. Ovarian, head and neck, esophageal, and lung squamous cancers have particularly high TP53 mutation rates (60-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90%)[6,7,8,9,10,11]. Approximately two-thirds of TP53 mutations are missense mutations and several recurrent missense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mutations are common, including substitutions at codons R158, R175, Y220, R248, R273, and R282[6,7]. Invariably, recurrent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missense mutations in TP53 inactivate its ability to bind DNA and activate transcription of target genes[12,13,14,15]. Alterations in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TP53 are also observed in pediatric cancers[6,7]. Somatic mutations are observed in 53% of non-Hodgkin lymphoma, 24% of soft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tissue sarcoma, 19% of glioma, 13% of bone cancer, 9% of B-lymphoblastic leukemia/lymphoma, 4% of embryonal tumors, 3% of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 xml:space="preserve">Wilms tumor and leukemia, 2% of T- lymphoblastic leukemia/lymphoma, and less than 1% of peripheral nervous system cancers (5 </w:t>
            </w: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19"/>
      </w:tblGrid>
      <w:tr>
        <w:trPr>
          <w:trHeight w:hRule="exact" w:val="498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 xml:space="preserve">reactivator, PC14586[16] (2020), received a fast track designation by the FDA for advanced tumors harboring a TP53 Y220C mutation. The FDA has </w:t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 xml:space="preserve">tumor, and less than 1% of B-lymphoblastic leukemia/lymphoma (2 in 731 cases) and leukemia (1 in 250 cases)[6,7]. The small molecule p53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19"/>
      </w:tblGrid>
      <w:tr>
        <w:trPr>
          <w:trHeight w:hRule="exact" w:val="420"/>
        </w:trPr>
        <w:tc>
          <w:tcPr>
            <w:tcW w:type="dxa" w:w="1071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0" w:after="0"/>
              <w:ind w:left="16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Sex/Age: </w:t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 xml:space="preserve">granted fast track designation to the p53 reactivator, eprenetapopt[17], (2019) and breakthrough designation[18] (2020) in combination with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52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azacitidine or azacitidine and venetoclax for acute myeloid leukemia patients (AML) and myelodysplastic syndrome (MDS) harboring a TP53</w:t>
            </w:r>
          </w:p>
        </w:tc>
      </w:tr>
    </w:tbl>
    <w:p>
      <w:pPr>
        <w:autoSpaceDN w:val="0"/>
        <w:autoSpaceDE w:val="0"/>
        <w:widowControl/>
        <w:spacing w:line="245" w:lineRule="auto" w:before="0" w:after="2"/>
        <w:ind w:left="720" w:right="576" w:firstLine="0"/>
        <w:jc w:val="center"/>
      </w:pPr>
      <w:r>
        <w:rPr>
          <w:rFonts w:ascii="Calibri" w:hAnsi="Calibri" w:eastAsia="Calibri"/>
          <w:b/>
          <w:i w:val="0"/>
          <w:color w:val="FFFFFF"/>
          <w:sz w:val="17"/>
        </w:rPr>
        <w:t xml:space="preserve">mutation, respectively. In addition to investigational therapies aimed at restoring wild-type TP53 activity, compounds that induce synthetic lethality </w:t>
      </w:r>
      <w:r>
        <w:rPr>
          <w:rFonts w:ascii="Calibri" w:hAnsi="Calibri" w:eastAsia="Calibri"/>
          <w:b/>
          <w:i w:val="0"/>
          <w:color w:val="FFFFFF"/>
          <w:sz w:val="17"/>
        </w:rPr>
        <w:t xml:space="preserve">are also under clinical evaluation[19,20]. TP53 mutation are a diagnostic marker of SHH-activated, TP53-mutant medulloblastoma[21]. TP53 </w:t>
      </w:r>
      <w:r>
        <w:rPr>
          <w:rFonts w:ascii="Calibri" w:hAnsi="Calibri" w:eastAsia="Calibri"/>
          <w:b/>
          <w:i w:val="0"/>
          <w:color w:val="FFFFFF"/>
          <w:sz w:val="17"/>
        </w:rPr>
        <w:t xml:space="preserve">mutations confer poor prognosis and poor risk in multiple blood cancers including AML, MDS, myeloproliferative neoplasms (MPN), and chronic </w:t>
      </w:r>
      <w:r>
        <w:rPr>
          <w:rFonts w:ascii="Calibri" w:hAnsi="Calibri" w:eastAsia="Calibri"/>
          <w:b/>
          <w:i w:val="0"/>
          <w:color w:val="FFFFFF"/>
          <w:sz w:val="17"/>
        </w:rPr>
        <w:t xml:space="preserve">lymphocytic leukemia (CLL), and acute lymphoblastic leukemia (ALL)[22,23,24,25,26,27]. In mantle cell lymphoma, TP53 mutations are associated </w:t>
      </w:r>
      <w:r>
        <w:rPr>
          <w:rFonts w:ascii="Calibri" w:hAnsi="Calibri" w:eastAsia="Calibri"/>
          <w:b/>
          <w:i w:val="0"/>
          <w:color w:val="FFFFFF"/>
          <w:sz w:val="17"/>
        </w:rPr>
        <w:t xml:space="preserve">with poor prognosis when treated with conventional therapy including hematopoietic cell transplant[28]. Mono- and bi-allelic mutations in TP53 </w:t>
      </w:r>
      <w:r>
        <w:rPr>
          <w:rFonts w:ascii="Calibri" w:hAnsi="Calibri" w:eastAsia="Calibri"/>
          <w:b/>
          <w:i w:val="0"/>
          <w:color w:val="FFFFFF"/>
          <w:sz w:val="17"/>
        </w:rPr>
        <w:t>confer unique characteristics in MDS, with multi-hit patients also experiencing associations with complex karyotype, few co-occurring mutations,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19"/>
      </w:tblGrid>
      <w:tr>
        <w:trPr>
          <w:trHeight w:hRule="exact" w:val="268"/>
        </w:trPr>
        <w:tc>
          <w:tcPr>
            <w:tcW w:type="dxa" w:w="107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and high-risk disease presentation as well as predicted death and leukemic transformation independent of 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366" w:after="0"/>
        <w:ind w:left="926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386" w:after="92"/>
        <w:ind w:left="712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346"/>
        </w:trPr>
        <w:tc>
          <w:tcPr>
            <w:tcW w:type="dxa" w:w="4514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Therapy</w:t>
            </w:r>
          </w:p>
        </w:tc>
        <w:tc>
          <w:tcPr>
            <w:tcW w:type="dxa" w:w="1816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FDA</w:t>
            </w:r>
          </w:p>
        </w:tc>
        <w:tc>
          <w:tcPr>
            <w:tcW w:type="dxa" w:w="1124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NCCN</w:t>
            </w:r>
          </w:p>
        </w:tc>
        <w:tc>
          <w:tcPr>
            <w:tcW w:type="dxa" w:w="990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EMA</w:t>
            </w:r>
          </w:p>
        </w:tc>
        <w:tc>
          <w:tcPr>
            <w:tcW w:type="dxa" w:w="1186"/>
            <w:tcBorders>
              <w:start w:sz="6.400000000000091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ESMO</w:t>
            </w:r>
          </w:p>
        </w:tc>
        <w:tc>
          <w:tcPr>
            <w:tcW w:type="dxa" w:w="1064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Trials</w:t>
            </w:r>
          </w:p>
        </w:tc>
      </w:tr>
      <w:tr>
        <w:trPr>
          <w:trHeight w:hRule="exact" w:val="464"/>
        </w:trPr>
        <w:tc>
          <w:tcPr>
            <w:tcW w:type="dxa" w:w="4514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niraparib</w:t>
            </w:r>
          </w:p>
        </w:tc>
        <w:tc>
          <w:tcPr>
            <w:tcW w:type="dxa" w:w="1816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6.400000000000091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4514"/>
            <w:tcBorders>
              <w:start w:sz="6.400000000000006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atezolizumab</w:t>
            </w:r>
          </w:p>
        </w:tc>
        <w:tc>
          <w:tcPr>
            <w:tcW w:type="dxa" w:w="1816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4514"/>
            <w:tcBorders>
              <w:start w:sz="6.400000000000006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azenosertib</w:t>
            </w:r>
          </w:p>
        </w:tc>
        <w:tc>
          <w:tcPr>
            <w:tcW w:type="dxa" w:w="1816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4514"/>
            <w:tcBorders>
              <w:start w:sz="6.400000000000006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ART-6043, olaparib, niraparib</w:t>
            </w:r>
          </w:p>
        </w:tc>
        <w:tc>
          <w:tcPr>
            <w:tcW w:type="dxa" w:w="1816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66"/>
        </w:trPr>
        <w:tc>
          <w:tcPr>
            <w:tcW w:type="dxa" w:w="4514"/>
            <w:tcBorders>
              <w:start w:sz="6.400000000000006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ATRN-119</w:t>
            </w:r>
          </w:p>
        </w:tc>
        <w:tc>
          <w:tcPr>
            <w:tcW w:type="dxa" w:w="1816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64"/>
        </w:trPr>
        <w:tc>
          <w:tcPr>
            <w:tcW w:type="dxa" w:w="4514"/>
            <w:tcBorders>
              <w:start w:sz="6.400000000000006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niraparib, GSK-101</w:t>
            </w:r>
          </w:p>
        </w:tc>
        <w:tc>
          <w:tcPr>
            <w:tcW w:type="dxa" w:w="1816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66"/>
        </w:trPr>
        <w:tc>
          <w:tcPr>
            <w:tcW w:type="dxa" w:w="4514"/>
            <w:tcBorders>
              <w:start w:sz="6.400000000000006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VB-15010</w:t>
            </w:r>
          </w:p>
        </w:tc>
        <w:tc>
          <w:tcPr>
            <w:tcW w:type="dxa" w:w="1816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24"/>
            <w:tcBorders>
              <w:start w:sz="5.599999999999909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44"/>
        </w:trPr>
        <w:tc>
          <w:tcPr>
            <w:tcW w:type="dxa" w:w="4514"/>
            <w:tcBorders>
              <w:start w:sz="6.400000000000006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GenSci-122 Pag</w:t>
            </w:r>
          </w:p>
        </w:tc>
        <w:tc>
          <w:tcPr>
            <w:tcW w:type="dxa" w:w="1816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 e 3 of 10</w:t>
            </w:r>
          </w:p>
        </w:tc>
        <w:tc>
          <w:tcPr>
            <w:tcW w:type="dxa" w:w="1124"/>
            <w:tcBorders>
              <w:start w:sz="5.599999999999909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990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186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1064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44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344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6" w:val="left"/>
                <w:tab w:pos="3878" w:val="left"/>
              </w:tabs>
              <w:autoSpaceDE w:val="0"/>
              <w:widowControl/>
              <w:spacing w:line="329" w:lineRule="auto" w:before="30" w:after="0"/>
              <w:ind w:left="14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MR. DULAL NAHA (KOL2604070057) </w:t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GH-2616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</w:t>
            </w:r>
          </w:p>
        </w:tc>
      </w:tr>
      <w:tr>
        <w:trPr>
          <w:trHeight w:hRule="exact" w:val="468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6" w:val="left"/>
                <w:tab w:pos="2546" w:val="left"/>
              </w:tabs>
              <w:autoSpaceDE w:val="0"/>
              <w:widowControl/>
              <w:spacing w:line="329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HRS-1167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Sex/Age: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HS-10502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SIM-0501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talazoparib, palbociclib, axitinib, crizotinib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XL-309, olaparib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pembrolizumab,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IV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hormone therapy,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olaparib, chemotherapy, radiation 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saruparib, hormone 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III</w:t>
            </w:r>
          </w:p>
        </w:tc>
      </w:tr>
      <w:tr>
        <w:trPr>
          <w:trHeight w:hRule="exact" w:val="480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niraparib, radiation 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II/III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olaparib +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II/III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abiraterone + niraparib, hormone therapy, radiation therapy, steroid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camrelizumab, fluzoparib,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eflornithine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hormone therapy, hormone therapy +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lunresertib, trastuzumab, chemotherapy, camonsertib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niraparib, dostarlimab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8384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olaparib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8384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olaparib + hormone 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44"/>
        </w:trPr>
        <w:tc>
          <w:tcPr>
            <w:tcW w:type="dxa" w:w="8384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olaparib, chemotherapy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6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390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404"/>
            <w:tcBorders>
              <w:start w:sz="5.599999999999909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720"/>
            <w:tcBorders>
              <w:start w:sz="5.600000000000364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44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344"/>
        </w:trPr>
        <w:tc>
          <w:tcPr>
            <w:tcW w:type="dxa" w:w="7530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6" w:val="left"/>
              </w:tabs>
              <w:autoSpaceDE w:val="0"/>
              <w:widowControl/>
              <w:spacing w:line="240" w:lineRule="auto" w:before="84" w:after="0"/>
              <w:ind w:left="14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II</w:t>
            </w:r>
          </w:p>
        </w:tc>
      </w:tr>
      <w:tr>
        <w:trPr>
          <w:trHeight w:hRule="exact" w:val="468"/>
        </w:trPr>
        <w:tc>
          <w:tcPr>
            <w:tcW w:type="dxa" w:w="7530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.999999999999986" w:type="dxa"/>
            </w:tblPr>
            <w:tblGrid>
              <w:gridCol w:w="3765"/>
              <w:gridCol w:w="3765"/>
            </w:tblGrid>
            <w:tr>
              <w:trPr>
                <w:trHeight w:hRule="exact" w:val="474"/>
              </w:trPr>
              <w:tc>
                <w:tcPr>
                  <w:tcW w:type="dxa" w:w="2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53" w:lineRule="auto" w:before="10" w:after="0"/>
                    <w:ind w:left="40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 xml:space="preserve">olaparib, pembrolizumab </w:t>
                  </w:r>
                  <w:r>
                    <w:rPr>
                      <w:rFonts w:ascii="Calibri" w:hAnsi="Calibri" w:eastAsia="Calibri"/>
                      <w:b/>
                      <w:i w:val="0"/>
                      <w:color w:val="1F497D"/>
                      <w:sz w:val="18"/>
                    </w:rPr>
                    <w:t>Sex/Age:</w:t>
                  </w:r>
                </w:p>
              </w:tc>
              <w:tc>
                <w:tcPr>
                  <w:tcW w:type="dxa" w:w="5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0" w:after="0"/>
                    <w:ind w:left="38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>Male/70 Years</w:t>
                  </w:r>
                  <w:r>
                    <w:br/>
                  </w:r>
                  <w:r>
                    <w:rPr>
                      <w:rFonts w:ascii="Segoe UI Symbol" w:hAnsi="Segoe UI Symbol" w:eastAsia="Segoe UI Symbol"/>
                      <w:b w:val="0"/>
                      <w:i w:val="0"/>
                      <w:color w:val="000000"/>
                      <w:sz w:val="18"/>
                    </w:rPr>
                    <w:t>✓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: In this Cancer Type, </w:t>
                  </w:r>
                  <w:r>
                    <w:rPr>
                      <w:rFonts w:ascii="Segoe UI Symbol" w:hAnsi="Segoe UI Symbol" w:eastAsia="Segoe UI Symbol"/>
                      <w:b w:val="0"/>
                      <w:i w:val="0"/>
                      <w:color w:val="000000"/>
                      <w:sz w:val="18"/>
                    </w:rPr>
                    <w:t>✓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 xml:space="preserve">: In Other Cancer Type, </w:t>
                  </w:r>
                  <w:r>
                    <w:rPr>
                      <w:rFonts w:ascii="Segoe UI Symbol" w:hAnsi="Segoe UI Symbol" w:eastAsia="Segoe UI Symbol"/>
                      <w:b w:val="0"/>
                      <w:i w:val="0"/>
                      <w:color w:val="000000"/>
                      <w:sz w:val="18"/>
                    </w:rPr>
                    <w:t>✓✓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>: both In this an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84"/>
            <w:vMerge w:val="restart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4" w:val="left"/>
              </w:tabs>
              <w:autoSpaceDE w:val="0"/>
              <w:widowControl/>
              <w:spacing w:line="245" w:lineRule="auto" w:before="124" w:after="0"/>
              <w:ind w:left="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X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strike/>
                <w:color w:val="000000"/>
                <w:sz w:val="18"/>
              </w:rPr>
              <w:t xml:space="preserve">d Other </w:t>
            </w:r>
          </w:p>
          <w:p>
            <w:pPr>
              <w:autoSpaceDN w:val="0"/>
              <w:autoSpaceDE w:val="0"/>
              <w:widowControl/>
              <w:spacing w:line="238" w:lineRule="auto" w:before="60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  <w:p>
            <w:pPr>
              <w:autoSpaceDN w:val="0"/>
              <w:tabs>
                <w:tab w:pos="60" w:val="left"/>
              </w:tabs>
              <w:autoSpaceDE w:val="0"/>
              <w:widowControl/>
              <w:spacing w:line="245" w:lineRule="auto" w:before="128" w:after="0"/>
              <w:ind w:left="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ample is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vMerge w:val="restart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4" w:val="left"/>
              </w:tabs>
              <w:autoSpaceDE w:val="0"/>
              <w:widowControl/>
              <w:spacing w:line="245" w:lineRule="auto" w:before="124" w:after="0"/>
              <w:ind w:left="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X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strike/>
                <w:color w:val="000000"/>
                <w:sz w:val="18"/>
              </w:rPr>
              <w:t xml:space="preserve">Cancer </w:t>
            </w:r>
          </w:p>
          <w:p>
            <w:pPr>
              <w:autoSpaceDN w:val="0"/>
              <w:autoSpaceDE w:val="0"/>
              <w:widowControl/>
              <w:spacing w:line="238" w:lineRule="auto" w:before="60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vMerge w:val="restart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124" w:after="0"/>
              <w:ind w:left="0" w:right="0" w:firstLine="0"/>
              <w:jc w:val="left"/>
            </w:pP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X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strike/>
                <w:color w:val="000000"/>
                <w:sz w:val="18"/>
              </w:rPr>
              <w:t>Type, X :</w:t>
            </w:r>
          </w:p>
          <w:p>
            <w:pPr>
              <w:autoSpaceDN w:val="0"/>
              <w:autoSpaceDE w:val="0"/>
              <w:widowControl/>
              <w:spacing w:line="238" w:lineRule="auto" w:before="60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6" w:after="0"/>
              <w:ind w:left="0" w:right="288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</w:t>
            </w:r>
          </w:p>
        </w:tc>
        <w:tc>
          <w:tcPr>
            <w:tcW w:type="dxa" w:w="84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7530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.999999999999986" w:type="dxa"/>
            </w:tblPr>
            <w:tblGrid>
              <w:gridCol w:w="3765"/>
              <w:gridCol w:w="3765"/>
            </w:tblGrid>
            <w:tr>
              <w:trPr>
                <w:trHeight w:hRule="exact" w:val="392"/>
              </w:trPr>
              <w:tc>
                <w:tcPr>
                  <w:tcW w:type="dxa" w:w="2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22" w:val="left"/>
                    </w:tabs>
                    <w:autoSpaceDE w:val="0"/>
                    <w:widowControl/>
                    <w:spacing w:line="146" w:lineRule="exact" w:before="74" w:after="0"/>
                    <w:ind w:left="40" w:right="288" w:firstLine="0"/>
                    <w:jc w:val="left"/>
                  </w:pPr>
                  <w:r>
                    <w:rPr>
                      <w:rFonts w:ascii="Type3 (22 0 R)" w:hAnsi="Type3 (22 0 R)" w:eastAsia="Type3 (22 0 R)"/>
                      <w:b w:val="0"/>
                      <w:i w:val="0"/>
                      <w:color w:val="1F497D"/>
                      <w:sz w:val="18"/>
                    </w:rPr>
                    <w:t>📝</w:t>
                  </w:r>
                  <w:r>
                    <w:rPr>
                      <w:rFonts w:ascii="Calibri" w:hAnsi="Calibri" w:eastAsia="Calibri"/>
                      <w:b/>
                      <w:i w:val="0"/>
                      <w:color w:val="1F497D"/>
                      <w:sz w:val="18"/>
                    </w:rPr>
                    <w:t xml:space="preserve">Note: </w:t>
                  </w:r>
                  <w:r>
                    <w:br/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7"/>
                    </w:rPr>
                    <w:t>sintilimab, chemotherapy</w:t>
                  </w:r>
                </w:p>
              </w:tc>
              <w:tc>
                <w:tcPr>
                  <w:tcW w:type="dxa" w:w="3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0" w:lineRule="exact" w:before="106" w:after="0"/>
                    <w:ind w:left="36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>Evidence.</w:t>
                  </w:r>
                  <w:r>
                    <w:rPr>
                      <w:rFonts w:ascii="Type3 (21 0 R)" w:hAnsi="Type3 (21 0 R)" w:eastAsia="Type3 (21 0 R)"/>
                      <w:b w:val="0"/>
                      <w:i w:val="0"/>
                      <w:color w:val="000000"/>
                      <w:sz w:val="18"/>
                    </w:rPr>
                    <w:t>⚠️</w:t>
                  </w: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18"/>
                    </w:rPr>
                    <w:t>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03"/>
            <w:vMerge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</w:tcPr>
          <w:p/>
        </w:tc>
        <w:tc>
          <w:tcPr>
            <w:tcW w:type="dxa" w:w="1503"/>
            <w:vMerge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</w:tcPr>
          <w:p/>
        </w:tc>
        <w:tc>
          <w:tcPr>
            <w:tcW w:type="dxa" w:w="1503"/>
            <w:vMerge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</w:tcPr>
          <w:p/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</w:t>
            </w:r>
          </w:p>
        </w:tc>
      </w:tr>
      <w:tr>
        <w:trPr>
          <w:trHeight w:hRule="exact" w:val="464"/>
        </w:trPr>
        <w:tc>
          <w:tcPr>
            <w:tcW w:type="dxa" w:w="7530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6" w:val="left"/>
              </w:tabs>
              <w:autoSpaceDE w:val="0"/>
              <w:widowControl/>
              <w:spacing w:line="247" w:lineRule="auto" w:before="0" w:after="0"/>
              <w:ind w:left="64" w:right="4608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fluzoparib, camrelizumab, chemotherapy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>Extracton &amp; Library</w:t>
            </w:r>
          </w:p>
          <w:p>
            <w:pPr>
              <w:autoSpaceDN w:val="0"/>
              <w:tabs>
                <w:tab w:pos="2546" w:val="left"/>
              </w:tabs>
              <w:autoSpaceDE w:val="0"/>
              <w:widowControl/>
              <w:spacing w:line="355" w:lineRule="auto" w:before="0" w:after="0"/>
              <w:ind w:left="14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Preparation: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Cell free Total Nucleic acid (cfTNA) extracted from the liquid biopsy sample is  used </w:t>
            </w:r>
          </w:p>
        </w:tc>
        <w:tc>
          <w:tcPr>
            <w:tcW w:type="dxa" w:w="1503"/>
            <w:vMerge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</w:tcPr>
          <w:p/>
        </w:tc>
        <w:tc>
          <w:tcPr>
            <w:tcW w:type="dxa" w:w="57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" w:val="left"/>
              </w:tabs>
              <w:autoSpaceDE w:val="0"/>
              <w:widowControl/>
              <w:spacing w:line="245" w:lineRule="auto" w:before="0" w:after="0"/>
              <w:ind w:left="2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used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7530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IMP-1734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66"/>
        </w:trPr>
        <w:tc>
          <w:tcPr>
            <w:tcW w:type="dxa" w:w="7530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tislelizumab, radiation therapy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I/II</w:t>
            </w:r>
          </w:p>
        </w:tc>
      </w:tr>
      <w:tr>
        <w:trPr>
          <w:trHeight w:hRule="exact" w:val="464"/>
        </w:trPr>
        <w:tc>
          <w:tcPr>
            <w:tcW w:type="dxa" w:w="7530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A2A-252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6"/>
        </w:trPr>
        <w:tc>
          <w:tcPr>
            <w:tcW w:type="dxa" w:w="7530"/>
            <w:tcBorders>
              <w:start w:sz="6.400000000000006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GB-3010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4"/>
        </w:trPr>
        <w:tc>
          <w:tcPr>
            <w:tcW w:type="dxa" w:w="7530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lunresertib, camonsertib, Debio-0123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  <w:tr>
        <w:trPr>
          <w:trHeight w:hRule="exact" w:val="466"/>
        </w:trPr>
        <w:tc>
          <w:tcPr>
            <w:tcW w:type="dxa" w:w="7530"/>
            <w:tcBorders>
              <w:start w:sz="6.400000000000006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SC0245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70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6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584"/>
            <w:tcBorders>
              <w:start w:sz="5.599999999999909" w:val="single" w:color="#1F497D"/>
              <w:top w:sz="5.599999999999909" w:val="single" w:color="#1F497D"/>
              <w:end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X</w:t>
            </w:r>
          </w:p>
        </w:tc>
        <w:tc>
          <w:tcPr>
            <w:tcW w:type="dxa" w:w="840"/>
            <w:tcBorders>
              <w:start w:sz="5.600000000000364" w:val="single" w:color="#1F497D"/>
              <w:top w:sz="5.599999999999909" w:val="single" w:color="#1F497D"/>
              <w:end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4" w:after="0"/>
              <w:ind w:left="6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18" w:lineRule="exact" w:before="48" w:after="0"/>
        <w:ind w:left="712" w:right="0" w:firstLine="0"/>
        <w:jc w:val="left"/>
      </w:pPr>
      <w:r>
        <w:rPr>
          <w:rFonts w:ascii="Type3 (18 0 R)" w:hAnsi="Type3 (18 0 R)" w:eastAsia="Type3 (18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Note: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In this Cancer Type,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In Other Cancer Type,  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000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both In this and Other C</w:t>
      </w:r>
      <w:r>
        <w:rPr>
          <w:rFonts w:ascii="Cambria" w:hAnsi="Cambria" w:eastAsia="Cambria"/>
          <w:b w:val="0"/>
          <w:i w:val="0"/>
          <w:color w:val="000000"/>
          <w:sz w:val="20"/>
        </w:rPr>
        <w:t>ancer T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ype,  X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</w:t>
      </w:r>
      <w:r>
        <w:rPr>
          <w:rFonts w:ascii="Cambria" w:hAnsi="Cambria" w:eastAsia="Cambria"/>
          <w:b w:val="0"/>
          <w:i w:val="0"/>
          <w:color w:val="000000"/>
          <w:sz w:val="20"/>
        </w:rPr>
        <w:t>idence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. </w:t>
      </w:r>
      <w:r>
        <w:rPr>
          <w:rFonts w:ascii="Type3 (21 0 R)" w:hAnsi="Type3 (21 0 R)" w:eastAsia="Type3 (21 0 R)"/>
          <w:b w:val="0"/>
          <w:i w:val="0"/>
          <w:color w:val="00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Caut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ion for </w:t>
      </w:r>
      <w:r>
        <w:rPr>
          <w:rFonts w:ascii="Cambria" w:hAnsi="Cambria" w:eastAsia="Cambria"/>
          <w:b w:val="0"/>
          <w:i w:val="0"/>
          <w:color w:val="000000"/>
          <w:sz w:val="20"/>
        </w:rPr>
        <w:t>Use</w:t>
      </w:r>
    </w:p>
    <w:p>
      <w:pPr>
        <w:autoSpaceDN w:val="0"/>
        <w:autoSpaceDE w:val="0"/>
        <w:widowControl/>
        <w:spacing w:line="240" w:lineRule="auto" w:before="306" w:after="0"/>
        <w:ind w:left="712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Test Description</w:t>
      </w:r>
    </w:p>
    <w:p>
      <w:pPr>
        <w:autoSpaceDN w:val="0"/>
        <w:autoSpaceDE w:val="0"/>
        <w:widowControl/>
        <w:spacing w:line="245" w:lineRule="auto" w:before="82" w:after="0"/>
        <w:ind w:left="712" w:right="288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Liquidseq Actionable Genomic Profiling Panel is advancing precision oncology research through the analysis of multiple </w:t>
      </w:r>
      <w:r>
        <w:rPr>
          <w:rFonts w:ascii="Cambria" w:hAnsi="Cambria" w:eastAsia="Cambria"/>
          <w:b/>
          <w:i w:val="0"/>
          <w:color w:val="000000"/>
          <w:sz w:val="20"/>
        </w:rPr>
        <w:t>relevant biomarkers in a single next-generation sequencing (NGS) test.</w:t>
      </w:r>
    </w:p>
    <w:p>
      <w:pPr>
        <w:autoSpaceDN w:val="0"/>
        <w:autoSpaceDE w:val="0"/>
        <w:widowControl/>
        <w:spacing w:line="245" w:lineRule="auto" w:before="396" w:after="0"/>
        <w:ind w:left="712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The Liquidseq Actionable Genomic Profiling assay analyses  34  unique genes ( 28  DNA +  6  Fusions driver genes) for single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gene and multiple gene biomarker insights, detects single gene biomarkers from all variant types including  SNVs, indels,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CNVs, known and novel fusions, and splice variants.  Analyze complex multi-gene biomarkers for mutational signatures, </w:t>
      </w:r>
      <w:r>
        <w:rPr>
          <w:rFonts w:ascii="Cambria" w:hAnsi="Cambria" w:eastAsia="Cambria"/>
          <w:b/>
          <w:i w:val="0"/>
          <w:color w:val="000000"/>
          <w:sz w:val="20"/>
        </w:rPr>
        <w:t>including microsatellite instability ( MSI ) for immunotherapy research.</w:t>
      </w:r>
    </w:p>
    <w:p>
      <w:pPr>
        <w:autoSpaceDN w:val="0"/>
        <w:autoSpaceDE w:val="0"/>
        <w:widowControl/>
        <w:spacing w:line="240" w:lineRule="auto" w:before="410" w:after="0"/>
        <w:ind w:left="71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The performance of the panel was verified using both commercially sourced reference controls and cell-free DNA (cfTNA)samples.</w:t>
      </w:r>
    </w:p>
    <w:p>
      <w:pPr>
        <w:autoSpaceDN w:val="0"/>
        <w:autoSpaceDE w:val="0"/>
        <w:widowControl/>
        <w:spacing w:line="245" w:lineRule="auto" w:before="592" w:after="0"/>
        <w:ind w:left="712" w:right="144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Test Methodology Extraction &amp; Library Preparation: Cell free Total Nucleic acid (cfTNA) extracted from the liquid biopsy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sample is used for targeted gene capture using a custom designed hybrid capture panel. In process quality controls were </w:t>
      </w:r>
      <w:r>
        <w:rPr>
          <w:rFonts w:ascii="Cambria" w:hAnsi="Cambria" w:eastAsia="Cambria"/>
          <w:b/>
          <w:i w:val="0"/>
          <w:color w:val="000000"/>
          <w:sz w:val="20"/>
        </w:rPr>
        <w:t>determined for prepared library.</w:t>
      </w: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69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019"/>
      </w:tblGrid>
      <w:tr>
        <w:trPr>
          <w:trHeight w:hRule="exact" w:val="668"/>
        </w:trPr>
        <w:tc>
          <w:tcPr>
            <w:tcW w:type="dxa" w:w="11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2" w:val="left"/>
                <w:tab w:pos="2822" w:val="left"/>
              </w:tabs>
              <w:autoSpaceDE w:val="0"/>
              <w:widowControl/>
              <w:spacing w:line="322" w:lineRule="auto" w:before="60" w:after="0"/>
              <w:ind w:left="37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Sequencing : The libraries were sequenced at mean depth: &gt;25,000x on Illumina Novaseq- next generation sequencing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  <w:p>
            <w:pPr>
              <w:autoSpaceDN w:val="0"/>
              <w:tabs>
                <w:tab w:pos="422" w:val="left"/>
                <w:tab w:pos="2822" w:val="left"/>
              </w:tabs>
              <w:autoSpaceDE w:val="0"/>
              <w:widowControl/>
              <w:spacing w:line="353" w:lineRule="auto" w:before="0" w:after="0"/>
              <w:ind w:left="37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platform.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Sex/Age: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</w:tc>
      </w:tr>
    </w:tbl>
    <w:p>
      <w:pPr>
        <w:autoSpaceDN w:val="0"/>
        <w:tabs>
          <w:tab w:pos="762" w:val="left"/>
          <w:tab w:pos="3162" w:val="left"/>
        </w:tabs>
        <w:autoSpaceDE w:val="0"/>
        <w:widowControl/>
        <w:spacing w:line="245" w:lineRule="auto" w:before="26" w:after="0"/>
        <w:ind w:left="712" w:right="0" w:firstLine="0"/>
        <w:jc w:val="left"/>
      </w:pPr>
      <w:r>
        <w:rPr>
          <w:rFonts w:ascii="Calibri" w:hAnsi="Calibri" w:eastAsia="Calibri"/>
          <w:b/>
          <w:i w:val="0"/>
          <w:color w:val="1F497D"/>
          <w:sz w:val="18"/>
        </w:rPr>
        <w:t xml:space="preserve">Sequencing: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 xml:space="preserve">The libraries were sequenced at mean depth: &gt;25,000x on Illumina Novaseq- next generation sequencing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Data Analysis: Sequencing data analyzed using a customized and validated bioinformatics pipeline capable of detecting </w:t>
      </w:r>
      <w:r>
        <w:rPr>
          <w:rFonts w:ascii="Cambria" w:hAnsi="Cambria" w:eastAsia="Cambria"/>
          <w:b/>
          <w:i w:val="0"/>
          <w:color w:val="000000"/>
          <w:sz w:val="20"/>
        </w:rPr>
        <w:t xml:space="preserve">various classes of genomic alterations, including single nucleotide variants ( SNVs ),  Indels , copy number variations ( CNVs ) </w:t>
      </w:r>
      <w:r>
        <w:rPr>
          <w:rFonts w:ascii="Calibri" w:hAnsi="Calibri" w:eastAsia="Calibri"/>
          <w:b/>
          <w:i w:val="0"/>
          <w:color w:val="1F497D"/>
          <w:sz w:val="18"/>
        </w:rPr>
        <w:t xml:space="preserve">Data Analysis: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Sequencing data analyzed using a customized and validated bioinformatics pipeline capable of detecting</w:t>
      </w:r>
    </w:p>
    <w:p>
      <w:pPr>
        <w:autoSpaceDN w:val="0"/>
        <w:autoSpaceDE w:val="0"/>
        <w:widowControl/>
        <w:spacing w:line="245" w:lineRule="auto" w:before="0" w:after="0"/>
        <w:ind w:left="712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 xml:space="preserve">and  fusions . As part of the streamlined bioinformatics workflow, Multi-gene Biomarkers such as Microsatellite Instability ( </w:t>
      </w:r>
      <w:r>
        <w:rPr>
          <w:rFonts w:ascii="Cambria" w:hAnsi="Cambria" w:eastAsia="Cambria"/>
          <w:b/>
          <w:i w:val="0"/>
          <w:color w:val="000000"/>
          <w:sz w:val="20"/>
        </w:rPr>
        <w:t>MSI ) Score is calculated. Reportable genomic alterations and fusions are prioritized, classified, and reported based on AMP-</w:t>
      </w:r>
      <w:r>
        <w:rPr>
          <w:rFonts w:ascii="Cambria" w:hAnsi="Cambria" w:eastAsia="Cambria"/>
          <w:b/>
          <w:i w:val="0"/>
          <w:color w:val="000000"/>
          <w:sz w:val="20"/>
        </w:rPr>
        <w:t>ASCO-CAP guidelines and NCCN guidelines.</w:t>
      </w:r>
    </w:p>
    <w:p>
      <w:pPr>
        <w:autoSpaceDN w:val="0"/>
        <w:autoSpaceDE w:val="0"/>
        <w:widowControl/>
        <w:spacing w:line="245" w:lineRule="auto" w:before="96" w:after="0"/>
        <w:ind w:left="71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Limit of Detection (LOD): The LOD for SNVs and Short InDels is 0.1% Variant allele Frequency (VAF) and for Fusions is 05 supporting </w:t>
      </w:r>
      <w:r>
        <w:rPr>
          <w:rFonts w:ascii="Cambria" w:hAnsi="Cambria" w:eastAsia="Cambria"/>
          <w:b w:val="0"/>
          <w:i w:val="0"/>
          <w:color w:val="000000"/>
          <w:sz w:val="20"/>
        </w:rPr>
        <w:t>reads.</w:t>
      </w:r>
    </w:p>
    <w:p>
      <w:pPr>
        <w:autoSpaceDN w:val="0"/>
        <w:autoSpaceDE w:val="0"/>
        <w:widowControl/>
        <w:spacing w:line="240" w:lineRule="auto" w:before="382" w:after="0"/>
        <w:ind w:left="710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Notes</w:t>
      </w:r>
    </w:p>
    <w:p>
      <w:pPr>
        <w:autoSpaceDN w:val="0"/>
        <w:autoSpaceDE w:val="0"/>
        <w:widowControl/>
        <w:spacing w:line="245" w:lineRule="auto" w:before="80" w:after="0"/>
        <w:ind w:left="710" w:right="14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decisions should not be based solely on the results of this test. Findings must be interpreted in the context of the patient’s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complete clinical profile—including pathological, radiological, and family history—to guide diagnosis, prognosis, and therapeutic </w:t>
      </w:r>
      <w:r>
        <w:rPr>
          <w:rFonts w:ascii="Cambria" w:hAnsi="Cambria" w:eastAsia="Cambria"/>
          <w:b w:val="0"/>
          <w:i w:val="0"/>
          <w:color w:val="000000"/>
          <w:sz w:val="20"/>
        </w:rPr>
        <w:t>decisions.</w:t>
      </w:r>
    </w:p>
    <w:p>
      <w:pPr>
        <w:autoSpaceDN w:val="0"/>
        <w:autoSpaceDE w:val="0"/>
        <w:widowControl/>
        <w:spacing w:line="245" w:lineRule="auto" w:before="396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Therapy-related information in this report is derived from multiple sources including FDA-approved drug data, NCCN guidelines, peer-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reviewed literature, standard clinical databases, and biomarker evidence strength. However, therapy options listed may not be suitable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or beneficial for all patients. This report aims to provide a summary of potentially effective treatments, therapies that may pose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increased risks, and those that may have limited benefit, based on genomic alterations identified. Prognostic and diagnostic biomarkers </w:t>
      </w:r>
      <w:r>
        <w:rPr>
          <w:rFonts w:ascii="Cambria" w:hAnsi="Cambria" w:eastAsia="Cambria"/>
          <w:b w:val="0"/>
          <w:i w:val="0"/>
          <w:color w:val="000000"/>
          <w:sz w:val="20"/>
        </w:rPr>
        <w:t>relevant to the disease context may also be reported.</w:t>
      </w:r>
    </w:p>
    <w:p>
      <w:pPr>
        <w:autoSpaceDN w:val="0"/>
        <w:autoSpaceDE w:val="0"/>
        <w:widowControl/>
        <w:spacing w:line="245" w:lineRule="auto" w:before="410" w:after="0"/>
        <w:ind w:left="710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SN Genelab Pvt Ltd does not guarantee completeness, accuracy, or eligibility for trial enrollment. Physicians must verify eligibility </w:t>
      </w:r>
      <w:r>
        <w:rPr>
          <w:rFonts w:ascii="Cambria" w:hAnsi="Cambria" w:eastAsia="Cambria"/>
          <w:b w:val="0"/>
          <w:i w:val="0"/>
          <w:color w:val="000000"/>
          <w:sz w:val="20"/>
        </w:rPr>
        <w:t>criteria for specific trials independently.</w:t>
      </w:r>
    </w:p>
    <w:p>
      <w:pPr>
        <w:autoSpaceDN w:val="0"/>
        <w:autoSpaceDE w:val="0"/>
        <w:widowControl/>
        <w:spacing w:line="245" w:lineRule="auto" w:before="396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Identification of a genomic alteration does not guarantee therapeutic efficacy or predict ineffectiveness. Final decisions on treatment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should rest with the treating physician. The absence of reported therapeutic options does not imply ineffectiveness or lack of safety of </w:t>
      </w:r>
      <w:r>
        <w:rPr>
          <w:rFonts w:ascii="Cambria" w:hAnsi="Cambria" w:eastAsia="Cambria"/>
          <w:b w:val="0"/>
          <w:i w:val="0"/>
          <w:color w:val="000000"/>
          <w:sz w:val="20"/>
        </w:rPr>
        <w:t>any medication selected independently.</w:t>
      </w:r>
    </w:p>
    <w:p>
      <w:pPr>
        <w:autoSpaceDN w:val="0"/>
        <w:autoSpaceDE w:val="0"/>
        <w:widowControl/>
        <w:spacing w:line="245" w:lineRule="auto" w:before="412" w:after="0"/>
        <w:ind w:left="710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All variant classifications and related clinical information are based on the latest evidence from peer-reviewed publications, public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clinical databases, and medical guidelines (e.g., NCCN, ASCO, AMP) available at the time of report generation. However, literature is </w:t>
      </w:r>
      <w:r>
        <w:rPr>
          <w:rFonts w:ascii="Cambria" w:hAnsi="Cambria" w:eastAsia="Cambria"/>
          <w:b w:val="0"/>
          <w:i w:val="0"/>
          <w:color w:val="000000"/>
          <w:sz w:val="20"/>
        </w:rPr>
        <w:t>continuously evolving, and classification may change with emerging evidence.</w:t>
      </w:r>
    </w:p>
    <w:p>
      <w:pPr>
        <w:autoSpaceDN w:val="0"/>
        <w:autoSpaceDE w:val="0"/>
        <w:widowControl/>
        <w:spacing w:line="245" w:lineRule="auto" w:before="410" w:after="0"/>
        <w:ind w:left="710" w:right="28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assay is designed and validated for somatic variant detection, it does not differentiate between somatic and germline variants. If </w:t>
      </w:r>
      <w:r>
        <w:rPr>
          <w:rFonts w:ascii="Cambria" w:hAnsi="Cambria" w:eastAsia="Cambria"/>
          <w:b w:val="0"/>
          <w:i w:val="0"/>
          <w:color w:val="000000"/>
          <w:sz w:val="20"/>
        </w:rPr>
        <w:t>indicated, germline testing and genetic counselling are recommended.</w:t>
      </w: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8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4509"/>
        <w:gridCol w:w="4509"/>
      </w:tblGrid>
      <w:tr>
        <w:trPr>
          <w:trHeight w:hRule="exact" w:val="500"/>
        </w:trPr>
        <w:tc>
          <w:tcPr>
            <w:tcW w:type="dxa" w:w="11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2" w:val="left"/>
                <w:tab w:pos="2822" w:val="left"/>
              </w:tabs>
              <w:autoSpaceDE w:val="0"/>
              <w:widowControl/>
              <w:spacing w:line="290" w:lineRule="auto" w:before="60" w:after="0"/>
              <w:ind w:left="3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Poor-quality cfDNA/ Previous or Ongoing therapy may fail QC thresholds at various stages such as cfDNA extraction, library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3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preparation, or bioinformatics, and may result in assay failure or compromised results, such as low gene coverage or shallow variant </w:t>
            </w:r>
          </w:p>
        </w:tc>
      </w:tr>
      <w:tr>
        <w:trPr>
          <w:trHeight w:hRule="exact" w:val="308"/>
        </w:trPr>
        <w:tc>
          <w:tcPr>
            <w:tcW w:type="dxa" w:w="1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3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depth.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>Sex/Age:</w:t>
            </w:r>
          </w:p>
        </w:tc>
        <w:tc>
          <w:tcPr>
            <w:tcW w:type="dxa" w:w="9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88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</w:tc>
      </w:tr>
    </w:tbl>
    <w:p>
      <w:pPr>
        <w:autoSpaceDN w:val="0"/>
        <w:autoSpaceDE w:val="0"/>
        <w:widowControl/>
        <w:spacing w:line="240" w:lineRule="auto" w:before="348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Variants with lower allele frequencies may be reported if they are of strong or potential clinical relevance, or if previously detected in </w:t>
      </w:r>
    </w:p>
    <w:p>
      <w:pPr>
        <w:autoSpaceDN w:val="0"/>
        <w:autoSpaceDE w:val="0"/>
        <w:widowControl/>
        <w:spacing w:line="240" w:lineRule="auto" w:before="0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the same patient. False positives or negatives below assay sensitivity cannot be ruled out.</w:t>
      </w:r>
    </w:p>
    <w:p>
      <w:pPr>
        <w:autoSpaceDN w:val="0"/>
        <w:autoSpaceDE w:val="0"/>
        <w:widowControl/>
        <w:spacing w:line="240" w:lineRule="auto" w:before="396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CNVs/gene amplifications reported, Confirmation using orthogonal methods such as DDPCR is recommended when clinically indicated.</w:t>
      </w:r>
    </w:p>
    <w:p>
      <w:pPr>
        <w:autoSpaceDN w:val="0"/>
        <w:autoSpaceDE w:val="0"/>
        <w:widowControl/>
        <w:spacing w:line="240" w:lineRule="auto" w:before="636" w:after="0"/>
        <w:ind w:left="710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>Variants in non-coding regions or deep intronic sequences are not assessed in this assay.</w:t>
      </w:r>
    </w:p>
    <w:p>
      <w:pPr>
        <w:autoSpaceDN w:val="0"/>
        <w:autoSpaceDE w:val="0"/>
        <w:widowControl/>
        <w:spacing w:line="240" w:lineRule="auto" w:before="82" w:after="374"/>
        <w:ind w:left="710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This assay is under the scope of NABL as Liquidseq Actionable Panel.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rHeight w:hRule="exact" w:val="346"/>
        </w:trPr>
        <w:tc>
          <w:tcPr>
            <w:tcW w:type="dxa" w:w="3344"/>
            <w:gridSpan w:val="2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DNA Gene List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70"/>
            <w:gridSpan w:val="3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30"/>
            <w:gridSpan w:val="2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6.400000000000091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4"/>
        </w:trPr>
        <w:tc>
          <w:tcPr>
            <w:tcW w:type="dxa" w:w="3344"/>
            <w:gridSpan w:val="2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AKT1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ALK</w:t>
            </w:r>
          </w:p>
        </w:tc>
        <w:tc>
          <w:tcPr>
            <w:tcW w:type="dxa" w:w="2070"/>
            <w:gridSpan w:val="3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APC</w:t>
            </w:r>
          </w:p>
        </w:tc>
        <w:tc>
          <w:tcPr>
            <w:tcW w:type="dxa" w:w="1830"/>
            <w:gridSpan w:val="2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ATM</w:t>
            </w:r>
          </w:p>
        </w:tc>
        <w:tc>
          <w:tcPr>
            <w:tcW w:type="dxa" w:w="1710"/>
            <w:tcBorders>
              <w:start w:sz="6.400000000000091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BRAF</w:t>
            </w:r>
          </w:p>
        </w:tc>
      </w:tr>
      <w:tr>
        <w:trPr>
          <w:trHeight w:hRule="exact" w:val="346"/>
        </w:trPr>
        <w:tc>
          <w:tcPr>
            <w:tcW w:type="dxa" w:w="3344"/>
            <w:gridSpan w:val="2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BRCA1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BRCA2</w:t>
            </w:r>
          </w:p>
        </w:tc>
        <w:tc>
          <w:tcPr>
            <w:tcW w:type="dxa" w:w="2070"/>
            <w:gridSpan w:val="3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CTNNB1</w:t>
            </w:r>
          </w:p>
        </w:tc>
        <w:tc>
          <w:tcPr>
            <w:tcW w:type="dxa" w:w="1830"/>
            <w:gridSpan w:val="2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EGFR</w:t>
            </w:r>
          </w:p>
        </w:tc>
        <w:tc>
          <w:tcPr>
            <w:tcW w:type="dxa" w:w="1710"/>
            <w:tcBorders>
              <w:start w:sz="6.400000000000091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ERBB2</w:t>
            </w:r>
          </w:p>
        </w:tc>
      </w:tr>
      <w:tr>
        <w:trPr>
          <w:trHeight w:hRule="exact" w:val="344"/>
        </w:trPr>
        <w:tc>
          <w:tcPr>
            <w:tcW w:type="dxa" w:w="3344"/>
            <w:gridSpan w:val="2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ERBB3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ESR1</w:t>
            </w:r>
          </w:p>
        </w:tc>
        <w:tc>
          <w:tcPr>
            <w:tcW w:type="dxa" w:w="2070"/>
            <w:gridSpan w:val="3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FOXL2</w:t>
            </w:r>
          </w:p>
        </w:tc>
        <w:tc>
          <w:tcPr>
            <w:tcW w:type="dxa" w:w="1830"/>
            <w:gridSpan w:val="2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GNA11</w:t>
            </w:r>
          </w:p>
        </w:tc>
        <w:tc>
          <w:tcPr>
            <w:tcW w:type="dxa" w:w="1710"/>
            <w:tcBorders>
              <w:start w:sz="6.400000000000091" w:val="single" w:color="#1F497D"/>
              <w:top w:sz="6.400000000000091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GNAQ</w:t>
            </w:r>
          </w:p>
        </w:tc>
      </w:tr>
      <w:tr>
        <w:trPr>
          <w:trHeight w:hRule="exact" w:val="346"/>
        </w:trPr>
        <w:tc>
          <w:tcPr>
            <w:tcW w:type="dxa" w:w="3344"/>
            <w:gridSpan w:val="2"/>
            <w:tcBorders>
              <w:start w:sz="6.400000000000006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HRAS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IDH1</w:t>
            </w:r>
          </w:p>
        </w:tc>
        <w:tc>
          <w:tcPr>
            <w:tcW w:type="dxa" w:w="2070"/>
            <w:gridSpan w:val="3"/>
            <w:tcBorders>
              <w:start w:sz="6.400000000000091" w:val="single" w:color="#1F497D"/>
              <w:top w:sz="6.400000000000091" w:val="single" w:color="#1F497D"/>
              <w:end w:sz="5.599999999999909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IDH2</w:t>
            </w:r>
          </w:p>
        </w:tc>
        <w:tc>
          <w:tcPr>
            <w:tcW w:type="dxa" w:w="1830"/>
            <w:gridSpan w:val="2"/>
            <w:tcBorders>
              <w:start w:sz="5.599999999999909" w:val="single" w:color="#1F497D"/>
              <w:top w:sz="6.400000000000091" w:val="single" w:color="#1F497D"/>
              <w:end w:sz="6.400000000000091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KIT</w:t>
            </w:r>
          </w:p>
        </w:tc>
        <w:tc>
          <w:tcPr>
            <w:tcW w:type="dxa" w:w="1710"/>
            <w:tcBorders>
              <w:start w:sz="6.400000000000091" w:val="single" w:color="#1F497D"/>
              <w:top w:sz="6.400000000000091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KRAS</w:t>
            </w:r>
          </w:p>
        </w:tc>
      </w:tr>
      <w:tr>
        <w:trPr>
          <w:trHeight w:hRule="exact" w:val="270"/>
        </w:trPr>
        <w:tc>
          <w:tcPr>
            <w:tcW w:type="dxa" w:w="3344"/>
            <w:gridSpan w:val="2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MET</w:t>
            </w:r>
          </w:p>
        </w:tc>
        <w:tc>
          <w:tcPr>
            <w:tcW w:type="dxa" w:w="1740"/>
            <w:gridSpan w:val="3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NRAS</w:t>
            </w:r>
          </w:p>
        </w:tc>
        <w:tc>
          <w:tcPr>
            <w:tcW w:type="dxa" w:w="2070"/>
            <w:gridSpan w:val="3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PDGFRA</w:t>
            </w:r>
          </w:p>
        </w:tc>
        <w:tc>
          <w:tcPr>
            <w:tcW w:type="dxa" w:w="1830"/>
            <w:gridSpan w:val="2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PIK3CA</w:t>
            </w:r>
          </w:p>
        </w:tc>
        <w:tc>
          <w:tcPr>
            <w:tcW w:type="dxa" w:w="1710"/>
            <w:tcBorders>
              <w:start w:sz="6.400000000000091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6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POLE</w:t>
            </w:r>
          </w:p>
        </w:tc>
      </w:tr>
      <w:tr>
        <w:trPr>
          <w:trHeight w:hRule="exact" w:val="74"/>
        </w:trPr>
        <w:tc>
          <w:tcPr>
            <w:tcW w:type="dxa" w:w="3344"/>
            <w:gridSpan w:val="2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6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424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60"/>
            <w:tcBorders/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830"/>
            <w:gridSpan w:val="2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0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650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top w:sz="6.400000000000091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0"/>
        </w:trPr>
        <w:tc>
          <w:tcPr>
            <w:tcW w:type="dxa" w:w="3344"/>
            <w:gridSpan w:val="2"/>
            <w:tcBorders>
              <w:start w:sz="6.400000000000006" w:val="single" w:color="#1F497D"/>
              <w:top w:sz="5.599999999999909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96" w:val="left"/>
              </w:tabs>
              <w:autoSpaceDE w:val="0"/>
              <w:widowControl/>
              <w:spacing w:line="326" w:lineRule="auto" w:before="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RAF1 </w:t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RNA Gene List</w:t>
            </w:r>
          </w:p>
        </w:tc>
        <w:tc>
          <w:tcPr>
            <w:tcW w:type="dxa" w:w="256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RE</w:t>
            </w:r>
          </w:p>
        </w:tc>
        <w:tc>
          <w:tcPr>
            <w:tcW w:type="dxa" w:w="1424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8" w:after="0"/>
              <w:ind w:left="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</w:t>
            </w:r>
          </w:p>
        </w:tc>
        <w:tc>
          <w:tcPr>
            <w:tcW w:type="dxa" w:w="60"/>
            <w:tcBorders>
              <w:start w:sz="6.400000000000091" w:val="single" w:color="#1F497D"/>
              <w:end w:sz="6.400000000000091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830"/>
            <w:gridSpan w:val="2"/>
            <w:tcBorders>
              <w:start w:sz="6.400000000000091" w:val="single" w:color="#1F497D"/>
              <w:top w:sz="5.599999999999909" w:val="single" w:color="#1F497D"/>
              <w:end w:sz="5.599999999999909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8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TP53</w:t>
            </w:r>
          </w:p>
        </w:tc>
        <w:tc>
          <w:tcPr>
            <w:tcW w:type="dxa" w:w="240"/>
            <w:tcBorders>
              <w:start w:sz="5.599999999999909" w:val="single" w:color="#1F497D"/>
              <w:top w:sz="5.599999999999909" w:val="single" w:color="#1F497D"/>
              <w:end w:sz="5.599999999999909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650"/>
            <w:tcBorders>
              <w:start w:sz="5.599999999999909" w:val="single" w:color="#1F497D"/>
              <w:top w:sz="5.599999999999909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start w:sz="6.400000000000091" w:val="single" w:color="#1F497D"/>
              <w:top w:sz="5.599999999999909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start w:sz="6.400000000000091" w:val="single" w:color="#1F497D"/>
              <w:top w:sz="5.599999999999909" w:val="single" w:color="#1F497D"/>
              <w:end w:sz="5.600000000000364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"/>
        </w:trPr>
        <w:tc>
          <w:tcPr>
            <w:tcW w:type="dxa" w:w="3344"/>
            <w:gridSpan w:val="2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6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24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830"/>
            <w:gridSpan w:val="2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0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50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10"/>
            <w:tcBorders>
              <w:top w:sz="6.399999999999636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0"/>
        </w:trPr>
        <w:tc>
          <w:tcPr>
            <w:tcW w:type="dxa" w:w="3600"/>
            <w:gridSpan w:val="3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ALK</w:t>
            </w:r>
          </w:p>
        </w:tc>
        <w:tc>
          <w:tcPr>
            <w:tcW w:type="dxa" w:w="1424"/>
            <w:tcBorders>
              <w:start w:sz="6.400000000000091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MET</w:t>
            </w:r>
          </w:p>
        </w:tc>
        <w:tc>
          <w:tcPr>
            <w:tcW w:type="dxa" w:w="1890"/>
            <w:gridSpan w:val="3"/>
            <w:tcBorders>
              <w:start w:sz="6.400000000000091" w:val="single" w:color="#1F497D"/>
              <w:top w:sz="6.399999999999636" w:val="single" w:color="#1F497D"/>
              <w:end w:sz="5.599999999999909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NTRK1</w:t>
            </w:r>
          </w:p>
        </w:tc>
        <w:tc>
          <w:tcPr>
            <w:tcW w:type="dxa" w:w="1890"/>
            <w:gridSpan w:val="2"/>
            <w:tcBorders>
              <w:start w:sz="5.599999999999909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NTRK2</w:t>
            </w:r>
          </w:p>
        </w:tc>
        <w:tc>
          <w:tcPr>
            <w:tcW w:type="dxa" w:w="1890"/>
            <w:gridSpan w:val="2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NTRK3</w:t>
            </w:r>
          </w:p>
        </w:tc>
      </w:tr>
      <w:tr>
        <w:trPr>
          <w:trHeight w:hRule="exact" w:val="321"/>
        </w:trPr>
        <w:tc>
          <w:tcPr>
            <w:tcW w:type="dxa" w:w="3600"/>
            <w:gridSpan w:val="3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ROS1</w:t>
            </w:r>
          </w:p>
        </w:tc>
        <w:tc>
          <w:tcPr>
            <w:tcW w:type="dxa" w:w="1424"/>
            <w:tcBorders>
              <w:start w:sz="6.400000000000091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90"/>
            <w:gridSpan w:val="3"/>
            <w:tcBorders>
              <w:start w:sz="6.400000000000091" w:val="single" w:color="#1F497D"/>
              <w:top w:sz="5.600000000000364" w:val="single" w:color="#1F497D"/>
              <w:end w:sz="5.599999999999909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90"/>
            <w:gridSpan w:val="2"/>
            <w:tcBorders>
              <w:start w:sz="5.599999999999909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90"/>
            <w:gridSpan w:val="2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8"/>
        </w:trPr>
        <w:tc>
          <w:tcPr>
            <w:tcW w:type="dxa" w:w="6044"/>
            <w:gridSpan w:val="6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MSI</w:t>
            </w:r>
          </w:p>
        </w:tc>
        <w:tc>
          <w:tcPr>
            <w:tcW w:type="dxa" w:w="4650"/>
            <w:gridSpan w:val="5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% of Unstable Loci</w:t>
            </w:r>
          </w:p>
        </w:tc>
      </w:tr>
      <w:tr>
        <w:trPr>
          <w:trHeight w:hRule="exact" w:val="344"/>
        </w:trPr>
        <w:tc>
          <w:tcPr>
            <w:tcW w:type="dxa" w:w="6044"/>
            <w:gridSpan w:val="6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8000"/>
                <w:sz w:val="17"/>
              </w:rPr>
              <w:t>MSI - Stable</w:t>
            </w:r>
          </w:p>
        </w:tc>
        <w:tc>
          <w:tcPr>
            <w:tcW w:type="dxa" w:w="4650"/>
            <w:gridSpan w:val="5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0-19%</w:t>
            </w:r>
          </w:p>
        </w:tc>
      </w:tr>
      <w:tr>
        <w:trPr>
          <w:trHeight w:hRule="exact" w:val="346"/>
        </w:trPr>
        <w:tc>
          <w:tcPr>
            <w:tcW w:type="dxa" w:w="6044"/>
            <w:gridSpan w:val="6"/>
            <w:tcBorders>
              <w:start w:sz="6.400000000000006" w:val="single" w:color="#1F497D"/>
              <w:top w:sz="5.600000000000364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MSI - Low / Intermediate</w:t>
            </w:r>
          </w:p>
        </w:tc>
        <w:tc>
          <w:tcPr>
            <w:tcW w:type="dxa" w:w="4650"/>
            <w:gridSpan w:val="5"/>
            <w:tcBorders>
              <w:start w:sz="6.400000000000091" w:val="single" w:color="#1F497D"/>
              <w:top w:sz="5.600000000000364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4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20-30%</w:t>
            </w:r>
          </w:p>
        </w:tc>
      </w:tr>
      <w:tr>
        <w:trPr>
          <w:trHeight w:hRule="exact" w:val="224"/>
        </w:trPr>
        <w:tc>
          <w:tcPr>
            <w:tcW w:type="dxa" w:w="6044"/>
            <w:gridSpan w:val="6"/>
            <w:tcBorders>
              <w:start w:sz="6.400000000000006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C00000"/>
                <w:sz w:val="17"/>
              </w:rPr>
              <w:t>MSI - High</w:t>
            </w:r>
          </w:p>
        </w:tc>
        <w:tc>
          <w:tcPr>
            <w:tcW w:type="dxa" w:w="4650"/>
            <w:gridSpan w:val="5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&gt;30%</w:t>
            </w:r>
          </w:p>
        </w:tc>
      </w:tr>
      <w:tr>
        <w:trPr>
          <w:trHeight w:hRule="exact" w:val="120"/>
        </w:trPr>
        <w:tc>
          <w:tcPr>
            <w:tcW w:type="dxa" w:w="494"/>
            <w:tcBorders>
              <w:start w:sz="6.400000000000006" w:val="single" w:color="#1F497D"/>
              <w:top w:sz="6.399999999999636" w:val="single" w:color="#1F497D"/>
              <w:end w:sz="5.600000000000023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</w:tcPr>
          <w:p/>
        </w:tc>
        <w:tc>
          <w:tcPr>
            <w:tcW w:type="dxa" w:w="5550"/>
            <w:gridSpan w:val="5"/>
            <w:tcBorders>
              <w:start w:sz="5.600000000000023" w:val="single" w:color="#1F497D"/>
              <w:top w:sz="6.399999999999636" w:val="single" w:color="#1F497D"/>
              <w:end w:sz="6.400000000000091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650"/>
            <w:gridSpan w:val="5"/>
            <w:tcBorders>
              <w:start w:sz="6.400000000000091" w:val="single" w:color="#1F497D"/>
              <w:top w:sz="6.399999999999636" w:val="single" w:color="#1F497D"/>
              <w:end w:sz="5.600000000000364" w:val="single" w:color="#1F497D"/>
              <w:bottom w:sz="6.399999999999636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6"/>
        </w:trPr>
        <w:tc>
          <w:tcPr>
            <w:tcW w:type="dxa" w:w="494"/>
            <w:tcBorders>
              <w:start w:sz="6.400000000000006" w:val="single" w:color="#1F497D"/>
              <w:top w:sz="6.399999999999636" w:val="single" w:color="#1F497D"/>
              <w:end w:sz="5.600000000000023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Tier</w:t>
            </w:r>
          </w:p>
        </w:tc>
        <w:tc>
          <w:tcPr>
            <w:tcW w:type="dxa" w:w="10200"/>
            <w:gridSpan w:val="10"/>
            <w:tcBorders>
              <w:start w:sz="5.600000000000023" w:val="single" w:color="#1F497D"/>
              <w:top w:sz="6.399999999999636" w:val="single" w:color="#1F497D"/>
              <w:end w:sz="5.600000000000364" w:val="single" w:color="#1F497D"/>
              <w:bottom w:sz="5.600000000000364" w:val="single" w:color="#1F497D"/>
            </w:tcBorders>
            <w:shd w:fill="1f497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Interpretation</w:t>
            </w:r>
          </w:p>
        </w:tc>
      </w:tr>
      <w:tr>
        <w:trPr>
          <w:trHeight w:hRule="exact" w:val="660"/>
        </w:trPr>
        <w:tc>
          <w:tcPr>
            <w:tcW w:type="dxa" w:w="494"/>
            <w:tcBorders>
              <w:start w:sz="6.400000000000006" w:val="single" w:color="#1F497D"/>
              <w:top w:sz="5.600000000000364" w:val="single" w:color="#1F497D"/>
              <w:end w:sz="5.600000000000023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0" w:after="0"/>
              <w:ind w:left="6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Tier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IA</w:t>
            </w:r>
          </w:p>
        </w:tc>
        <w:tc>
          <w:tcPr>
            <w:tcW w:type="dxa" w:w="10200"/>
            <w:gridSpan w:val="10"/>
            <w:tcBorders>
              <w:start w:sz="5.600000000000023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0" w:after="0"/>
              <w:ind w:left="6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Variants of Strong Clinical Significance: Biomarkers that predict response or resistance to US FDA- approved therapies for a specific type of tumor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or have been included in professional guidelines as therapeutic, diagnostic, and/or prognostic biomarkers for specific types of tumors.</w:t>
            </w:r>
          </w:p>
        </w:tc>
      </w:tr>
      <w:tr>
        <w:trPr>
          <w:trHeight w:hRule="exact" w:val="624"/>
        </w:trPr>
        <w:tc>
          <w:tcPr>
            <w:tcW w:type="dxa" w:w="494"/>
            <w:tcBorders>
              <w:start w:sz="6.400000000000006" w:val="single" w:color="#1F497D"/>
              <w:top w:sz="5.600000000000364" w:val="single" w:color="#1F497D"/>
              <w:end w:sz="5.600000000000023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0" w:after="0"/>
              <w:ind w:left="6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Tier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IB</w:t>
            </w:r>
          </w:p>
        </w:tc>
        <w:tc>
          <w:tcPr>
            <w:tcW w:type="dxa" w:w="10200"/>
            <w:gridSpan w:val="10"/>
            <w:tcBorders>
              <w:start w:sz="5.600000000000023" w:val="single" w:color="#1F497D"/>
              <w:top w:sz="5.600000000000364" w:val="single" w:color="#1F497D"/>
              <w:end w:sz="5.600000000000364" w:val="single" w:color="#1F497D"/>
              <w:bottom w:sz="5.600000000000364" w:val="single" w:color="#1F497D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1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Variants of Strong Clinical Significance: Biomarkers that predict response or resistance to a therapy based on well-powered studies with consensus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from experts in the field, or have diagnostic and/or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09"/>
        <w:gridCol w:w="4509"/>
      </w:tblGrid>
      <w:tr>
        <w:trPr>
          <w:trHeight w:hRule="exact" w:val="348"/>
        </w:trPr>
        <w:tc>
          <w:tcPr>
            <w:tcW w:type="dxa" w:w="494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>Nam</w:t>
            </w:r>
          </w:p>
        </w:tc>
        <w:tc>
          <w:tcPr>
            <w:tcW w:type="dxa" w:w="10200"/>
            <w:tcBorders>
              <w:start w:sz="5.600000000000023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76" w:val="left"/>
                <w:tab w:pos="2052" w:val="left"/>
              </w:tabs>
              <w:autoSpaceDE w:val="0"/>
              <w:widowControl/>
              <w:spacing w:line="281" w:lineRule="auto" w:before="64" w:after="0"/>
              <w:ind w:left="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e: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 xml:space="preserve">prognostic significance of certain diseases based on well-powered studies with expert consensus.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MR. DULAL NAHA (KOL2604070057)</w:t>
            </w:r>
          </w:p>
        </w:tc>
      </w:tr>
      <w:tr>
        <w:trPr>
          <w:trHeight w:hRule="exact" w:val="1214"/>
        </w:trPr>
        <w:tc>
          <w:tcPr>
            <w:tcW w:type="dxa" w:w="494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24" w:after="0"/>
              <w:ind w:left="62" w:right="0" w:firstLine="84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Sex/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Tier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PMI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IIC</w:t>
            </w:r>
          </w:p>
        </w:tc>
        <w:tc>
          <w:tcPr>
            <w:tcW w:type="dxa" w:w="10200"/>
            <w:tcBorders>
              <w:start w:sz="5.600000000000023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76" w:val="left"/>
              </w:tabs>
              <w:autoSpaceDE w:val="0"/>
              <w:widowControl/>
              <w:spacing w:line="240" w:lineRule="auto" w:before="24" w:after="0"/>
              <w:ind w:left="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Age: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Male/70 Years</w:t>
            </w:r>
          </w:p>
          <w:p>
            <w:pPr>
              <w:autoSpaceDN w:val="0"/>
              <w:autoSpaceDE w:val="0"/>
              <w:widowControl/>
              <w:spacing w:line="245" w:lineRule="auto" w:before="44" w:after="0"/>
              <w:ind w:left="108" w:right="144" w:hanging="108"/>
              <w:jc w:val="left"/>
            </w:pP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D: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Variants of Potential Clinical Significance: biomarkers that predict response or resistance to therapies approved by FDA or professional societies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for a different tumor type (i.e., off-label use of a drug), serve as inclusion criteria for clinical trials, or have diagnostic and/or prognostic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significance based on the results of multiple small studies.</w:t>
            </w:r>
          </w:p>
        </w:tc>
      </w:tr>
      <w:tr>
        <w:trPr>
          <w:trHeight w:hRule="exact" w:val="884"/>
        </w:trPr>
        <w:tc>
          <w:tcPr>
            <w:tcW w:type="dxa" w:w="494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30" w:after="0"/>
              <w:ind w:left="0" w:right="144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Tier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IID</w:t>
            </w:r>
          </w:p>
        </w:tc>
        <w:tc>
          <w:tcPr>
            <w:tcW w:type="dxa" w:w="10200"/>
            <w:tcBorders>
              <w:start w:sz="5.600000000000023" w:val="single" w:color="#1F497D"/>
              <w:top w:sz="5.599999999999909" w:val="single" w:color="#1F497D"/>
              <w:end w:sz="5.600000000000364" w:val="single" w:color="#1F497D"/>
              <w:bottom w:sz="5.599999999999909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30" w:after="0"/>
              <w:ind w:left="6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Variants of Potential Clinical Significance: Biomarkers that show plausible therapeutic significance based on preclinical studies or may assist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disease diagnosis and/or prognosis themselves or along with other biomarkers based on small studies or multiple case reports with no consensus.</w:t>
            </w:r>
          </w:p>
        </w:tc>
      </w:tr>
      <w:tr>
        <w:trPr>
          <w:trHeight w:hRule="exact" w:val="886"/>
        </w:trPr>
        <w:tc>
          <w:tcPr>
            <w:tcW w:type="dxa" w:w="494"/>
            <w:tcBorders>
              <w:start w:sz="6.400000000000006" w:val="single" w:color="#1F497D"/>
              <w:top w:sz="5.599999999999909" w:val="single" w:color="#1F497D"/>
              <w:end w:sz="5.600000000000023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8" w:after="0"/>
              <w:ind w:left="62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Tier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III</w:t>
            </w:r>
          </w:p>
        </w:tc>
        <w:tc>
          <w:tcPr>
            <w:tcW w:type="dxa" w:w="10200"/>
            <w:tcBorders>
              <w:start w:sz="5.600000000000023" w:val="single" w:color="#1F497D"/>
              <w:top w:sz="5.599999999999909" w:val="single" w:color="#1F497D"/>
              <w:end w:sz="5.600000000000364" w:val="single" w:color="#1F497D"/>
              <w:bottom w:sz="6.400000000000091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8" w:after="0"/>
              <w:ind w:left="62" w:right="72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 xml:space="preserve">Variants of Unknown clinical significance (VUS): Not observed at a significant allele frequency in the general or specific subpopulation or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7"/>
              </w:rPr>
              <w:t>pancancer or tumor specific variant databases. No convincing 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232" w:after="0"/>
        <w:ind w:left="712" w:right="0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References:</w:t>
      </w:r>
    </w:p>
    <w:p>
      <w:pPr>
        <w:autoSpaceDN w:val="0"/>
        <w:autoSpaceDE w:val="0"/>
        <w:widowControl/>
        <w:spacing w:line="245" w:lineRule="auto" w:before="126" w:after="0"/>
        <w:ind w:left="712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1. O&amp;#x27;Leary et al. Reference sequence (RefSeq) database at NCBI: current status, taxonomic expansion, and functional </w:t>
      </w:r>
      <w:r>
        <w:rPr>
          <w:rFonts w:ascii="Cambria" w:hAnsi="Cambria" w:eastAsia="Cambria"/>
          <w:b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5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26" w:after="0"/>
        <w:ind w:left="712" w:right="43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PMID: 24651012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2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0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28270529</w:t>
      </w:r>
    </w:p>
    <w:p>
      <w:pPr>
        <w:autoSpaceDN w:val="0"/>
        <w:autoSpaceDE w:val="0"/>
        <w:widowControl/>
        <w:spacing w:line="259" w:lineRule="auto" w:before="112" w:after="0"/>
        <w:ind w:left="712" w:right="43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Cerami et al. The cBio cancer genomics portal: an open platform for exploring multidimensional cancer genomics data. </w:t>
      </w:r>
      <w:r>
        <w:rPr>
          <w:rFonts w:ascii="Cambria" w:hAnsi="Cambria" w:eastAsia="Cambria"/>
          <w:b/>
          <w:i/>
          <w:color w:val="000000"/>
          <w:sz w:val="20"/>
        </w:rPr>
        <w:t xml:space="preserve">Cancer </w:t>
      </w:r>
      <w:r>
        <w:rPr>
          <w:rFonts w:ascii="Cambria" w:hAnsi="Cambria" w:eastAsia="Cambria"/>
          <w:b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0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PMID: 22960745</w:t>
      </w:r>
    </w:p>
    <w:p>
      <w:pPr>
        <w:autoSpaceDN w:val="0"/>
        <w:autoSpaceDE w:val="0"/>
        <w:widowControl/>
        <w:spacing w:line="259" w:lineRule="auto" w:before="112" w:after="0"/>
        <w:ind w:left="712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Cancer Genome Atlas Network. Comprehensive genomic characterization of head and neck squamous cell carcinomas. </w:t>
      </w:r>
      <w:r>
        <w:rPr>
          <w:rFonts w:ascii="Cambria" w:hAnsi="Cambria" w:eastAsia="Cambria"/>
          <w:b/>
          <w:i/>
          <w:color w:val="000000"/>
          <w:sz w:val="20"/>
        </w:rPr>
        <w:t xml:space="preserve">Nature. </w:t>
      </w:r>
      <w:r>
        <w:rPr>
          <w:rFonts w:ascii="Cambria" w:hAnsi="Cambria" w:eastAsia="Cambria"/>
          <w:b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Genet. 2016 Jun;48(6):607-16. PMID: 27158780</w:t>
      </w: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69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019"/>
      </w:tblGrid>
      <w:tr>
        <w:trPr>
          <w:trHeight w:hRule="exact" w:val="592"/>
        </w:trPr>
        <w:tc>
          <w:tcPr>
            <w:tcW w:type="dxa" w:w="11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2" w:val="left"/>
                <w:tab w:pos="732" w:val="left"/>
                <w:tab w:pos="2822" w:val="left"/>
              </w:tabs>
              <w:autoSpaceDE w:val="0"/>
              <w:widowControl/>
              <w:spacing w:line="245" w:lineRule="auto" w:before="60" w:after="0"/>
              <w:ind w:left="372" w:right="0" w:firstLine="0"/>
              <w:jc w:val="left"/>
            </w:pP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 xml:space="preserve">Cancer Genome Atlas Research Network. Integrated genomic characterization of oesophageal carcinoma. Nature. 2017 Jan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MR. DULAL NAHA (KOL2604070057)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>12;541(7636):169-175. doi: 10.1038/nature20805. Epub 2017 Jan 4. PMID: 28052061</w:t>
            </w:r>
          </w:p>
        </w:tc>
      </w:tr>
    </w:tbl>
    <w:p>
      <w:pPr>
        <w:autoSpaceDN w:val="0"/>
        <w:tabs>
          <w:tab w:pos="762" w:val="left"/>
          <w:tab w:pos="3162" w:val="left"/>
        </w:tabs>
        <w:autoSpaceDE w:val="0"/>
        <w:widowControl/>
        <w:spacing w:line="300" w:lineRule="auto" w:before="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rPr>
          <w:rFonts w:ascii="Calibri" w:hAnsi="Calibri" w:eastAsia="Calibri"/>
          <w:b/>
          <w:i w:val="0"/>
          <w:color w:val="1F497D"/>
          <w:sz w:val="18"/>
        </w:rPr>
        <w:t xml:space="preserve">Sex/Age: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Male/70 Years</w:t>
      </w:r>
    </w:p>
    <w:p>
      <w:pPr>
        <w:autoSpaceDN w:val="0"/>
        <w:autoSpaceDE w:val="0"/>
        <w:widowControl/>
        <w:spacing w:line="240" w:lineRule="auto" w:before="36" w:after="0"/>
        <w:ind w:left="107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0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2" w:after="0"/>
        <w:ind w:left="712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50" w:lineRule="auto" w:before="110" w:after="0"/>
        <w:ind w:left="1072" w:right="720" w:hanging="36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/>
          <w:i/>
          <w:color w:val="000000"/>
          <w:sz w:val="20"/>
        </w:rPr>
        <w:t xml:space="preserve">Designation-of-PC14586-for-the-Treatment-of-Advanced-Cancer-Patients-that-have-Tumors-with-a-p53-Y220C- </w:t>
      </w:r>
      <w:r>
        <w:rPr>
          <w:rFonts w:ascii="Cambria" w:hAnsi="Cambria" w:eastAsia="Cambria"/>
          <w:b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5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26" w:after="0"/>
        <w:ind w:left="712" w:right="144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fda-breakthrough-therapy-designation-1769167</w:t>
      </w:r>
    </w:p>
    <w:p>
      <w:pPr>
        <w:autoSpaceDN w:val="0"/>
        <w:autoSpaceDE w:val="0"/>
        <w:widowControl/>
        <w:spacing w:line="245" w:lineRule="auto" w:before="110" w:after="0"/>
        <w:ind w:left="712" w:right="172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Parrales et al. Targeting Oncogenic Mutant p53 for Cancer Therapy. Front Oncol. 2015 Dec 21;5:288. doi: </w:t>
      </w:r>
      <w:r>
        <w:rPr>
          <w:rFonts w:ascii="Cambria" w:hAnsi="Cambria" w:eastAsia="Cambria"/>
          <w:b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56" w:after="0"/>
        <w:ind w:left="712" w:right="432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28643165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0" w:after="0"/>
        <w:ind w:left="712" w:right="576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2" w:val="left"/>
        </w:tabs>
        <w:autoSpaceDE w:val="0"/>
        <w:widowControl/>
        <w:spacing w:line="259" w:lineRule="auto" w:before="112" w:after="0"/>
        <w:ind w:left="712" w:right="288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0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2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0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2" w:right="0" w:firstLine="0"/>
        <w:jc w:val="left"/>
      </w:pPr>
      <w:r>
        <w:rPr>
          <w:rFonts w:ascii="Cambria" w:hAnsi="Cambria" w:eastAsia="Cambria"/>
          <w:b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690"/>
        <w:ind w:left="0" w:right="50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019"/>
      </w:tblGrid>
      <w:tr>
        <w:trPr>
          <w:trHeight w:hRule="exact" w:val="592"/>
        </w:trPr>
        <w:tc>
          <w:tcPr>
            <w:tcW w:type="dxa" w:w="1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2" w:val="left"/>
                <w:tab w:pos="732" w:val="left"/>
                <w:tab w:pos="2822" w:val="left"/>
              </w:tabs>
              <w:autoSpaceDE w:val="0"/>
              <w:widowControl/>
              <w:spacing w:line="245" w:lineRule="auto" w:before="60" w:after="0"/>
              <w:ind w:left="372" w:right="0" w:firstLine="0"/>
              <w:jc w:val="left"/>
            </w:pP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 xml:space="preserve">Bernard et al. Implications of TP53 allelic state for genome stability, clinical presentation and outcomes in myelodysplastic </w:t>
            </w:r>
            <w:r>
              <w:rPr>
                <w:rFonts w:ascii="Calibri" w:hAnsi="Calibri" w:eastAsia="Calibri"/>
                <w:b/>
                <w:i w:val="0"/>
                <w:color w:val="1F497D"/>
                <w:sz w:val="18"/>
              </w:rPr>
              <w:t xml:space="preserve">Name: </w:t>
            </w:r>
            <w:r>
              <w:tab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MR. DULAL NAHA (KOL2604070057)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Cambria" w:hAnsi="Cambria" w:eastAsia="Cambria"/>
                <w:b/>
                <w:i/>
                <w:color w:val="000000"/>
                <w:sz w:val="20"/>
              </w:rPr>
              <w:t>syndromes. Nat. Med. 2020 Aug 3. PMID: 32747829</w:t>
            </w:r>
          </w:p>
        </w:tc>
      </w:tr>
    </w:tbl>
    <w:p>
      <w:pPr>
        <w:autoSpaceDN w:val="0"/>
        <w:tabs>
          <w:tab w:pos="3162" w:val="left"/>
        </w:tabs>
        <w:autoSpaceDE w:val="0"/>
        <w:widowControl/>
        <w:spacing w:line="240" w:lineRule="auto" w:before="26" w:after="0"/>
        <w:ind w:left="762" w:right="0" w:firstLine="0"/>
        <w:jc w:val="left"/>
      </w:pPr>
      <w:r>
        <w:rPr>
          <w:rFonts w:ascii="Calibri" w:hAnsi="Calibri" w:eastAsia="Calibri"/>
          <w:b/>
          <w:i w:val="0"/>
          <w:color w:val="1F497D"/>
          <w:sz w:val="18"/>
        </w:rPr>
        <w:t xml:space="preserve">Sex/Age: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Male/70 Years</w:t>
      </w:r>
    </w:p>
    <w:p>
      <w:pPr>
        <w:autoSpaceDN w:val="0"/>
        <w:autoSpaceDE w:val="0"/>
        <w:widowControl/>
        <w:spacing w:line="240" w:lineRule="auto" w:before="302" w:after="0"/>
        <w:ind w:left="0" w:right="0" w:firstLine="0"/>
        <w:jc w:val="center"/>
      </w:pPr>
      <w:r>
        <w:rPr>
          <w:rFonts w:ascii="Calibri" w:hAnsi="Calibri" w:eastAsia="Calibri"/>
          <w:b w:val="0"/>
          <w:i w:val="0"/>
          <w:color w:val="000000"/>
          <w:sz w:val="20"/>
        </w:rPr>
        <w:t>------------------ End Of Report ------------------</w:t>
      </w: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1143000" cy="11178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r_vinay_signatur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111784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