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34" w:after="358"/>
        <w:ind w:left="0" w:right="0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</w:rPr>
        <w:t>TEST NAME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20.0" w:type="dxa"/>
      </w:tblPr>
      <w:tblGrid>
        <w:gridCol w:w="9038"/>
      </w:tblGrid>
      <w:tr>
        <w:trPr>
          <w:trHeight w:hRule="exact" w:val="1688"/>
        </w:trPr>
        <w:tc>
          <w:tcPr>
            <w:tcW w:type="dxa" w:w="4484"/>
            <w:tcBorders>
              <w:top w:sz="6.400000000000091" w:val="single" w:color="#0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12" w:val="left"/>
              </w:tabs>
              <w:autoSpaceDE w:val="0"/>
              <w:widowControl/>
              <w:spacing w:line="245" w:lineRule="auto" w:before="1144" w:after="0"/>
              <w:ind w:left="664" w:right="576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FFFFFF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80"/>
        </w:trPr>
        <w:tc>
          <w:tcPr>
            <w:tcW w:type="dxa" w:w="10710"/>
            <w:tcBorders>
              <w:start w:sz="6.400000000000006" w:val="single" w:color="#4AABC4"/>
              <w:top w:sz="6.400000000000091" w:val="single" w:color="#4AABC4"/>
              <w:end w:sz="5.600000000000364" w:val="single" w:color="#4AABC4"/>
              <w:bottom w:sz="6.400000000000091" w:val="single" w:color="#4AABC4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99" w:type="dxa"/>
            </w:tblPr>
            <w:tblGrid>
              <w:gridCol w:w="10710"/>
            </w:tblGrid>
            <w:tr>
              <w:trPr>
                <w:trHeight w:hRule="exact" w:val="272"/>
              </w:trPr>
              <w:tc>
                <w:tcPr>
                  <w:tcW w:type="dxa" w:w="18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Clinical Indication: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0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Metastatic Adenocarcinoma</w:t>
            </w:r>
          </w:p>
        </w:tc>
      </w:tr>
    </w:tbl>
    <w:p>
      <w:pPr>
        <w:autoSpaceDN w:val="0"/>
        <w:autoSpaceDE w:val="0"/>
        <w:widowControl/>
        <w:spacing w:line="240" w:lineRule="auto" w:before="1196" w:after="23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872"/>
        </w:trPr>
        <w:tc>
          <w:tcPr>
            <w:tcW w:type="dxa" w:w="1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4" w:val="left"/>
                <w:tab w:pos="1758" w:val="left"/>
                <w:tab w:pos="1846" w:val="left"/>
                <w:tab w:pos="3108" w:val="left"/>
                <w:tab w:pos="3200" w:val="left"/>
                <w:tab w:pos="4682" w:val="left"/>
                <w:tab w:pos="4772" w:val="left"/>
                <w:tab w:pos="6124" w:val="left"/>
                <w:tab w:pos="6204" w:val="left"/>
                <w:tab w:pos="8530" w:val="left"/>
                <w:tab w:pos="8596" w:val="left"/>
              </w:tabs>
              <w:autoSpaceDE w:val="0"/>
              <w:widowControl/>
              <w:spacing w:line="293" w:lineRule="auto" w:before="60" w:after="0"/>
              <w:ind w:left="42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MSI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Therapies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Therapies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Clinical 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Clinical Trials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834"/>
              <w:gridCol w:w="1834"/>
              <w:gridCol w:w="1834"/>
              <w:gridCol w:w="1834"/>
              <w:gridCol w:w="1834"/>
              <w:gridCol w:w="1834"/>
            </w:tblGrid>
            <w:tr>
              <w:trPr>
                <w:trHeight w:hRule="exact" w:val="218"/>
              </w:trPr>
              <w:tc>
                <w:tcPr>
                  <w:tcW w:type="dxa" w:w="10710"/>
                  <w:gridSpan w:val="6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86"/>
              </w:trPr>
              <w:tc>
                <w:tcPr>
                  <w:tcW w:type="dxa" w:w="1380"/>
                  <w:tcBorders>
                    <w:start w:sz="6.400000000000006" w:val="single" w:color="#D9ECF2"/>
                    <w:top w:sz="5.599999999999909" w:val="single" w:color="#D9ECF2"/>
                    <w:end w:sz="6.399999999999977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364"/>
                  <w:tcBorders>
                    <w:start w:sz="6.399999999999977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412"/>
                  <w:tcBorders>
                    <w:start w:sz="6.400000000000091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438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3106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43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220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96"/>
        </w:trPr>
        <w:tc>
          <w:tcPr>
            <w:tcW w:type="dxa" w:w="157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3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54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Gene &amp; Transcript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 &amp; Transcript</w:t>
            </w:r>
          </w:p>
        </w:tc>
        <w:tc>
          <w:tcPr>
            <w:tcW w:type="dxa" w:w="22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174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45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Exon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Exon</w:t>
            </w:r>
          </w:p>
        </w:tc>
        <w:tc>
          <w:tcPr>
            <w:tcW w:type="dxa" w:w="217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Coverage/ VAF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Coverage/VAF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646"/>
        </w:trPr>
        <w:tc>
          <w:tcPr>
            <w:tcW w:type="dxa" w:w="1528"/>
            <w:tcBorders>
              <w:start w:sz="6.400000000000006" w:val="single" w:color="#D9ECF2"/>
              <w:top w:sz="6.400000000000091" w:val="single" w:color="#D9ECF2"/>
              <w:end w:sz="5.600000000000023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20"/>
            <w:tcBorders>
              <w:start w:sz="5.600000000000023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74"/>
            <w:tcBorders>
              <w:start w:sz="5.599999999999909" w:val="single" w:color="#D9ECF2"/>
              <w:top w:sz="6.400000000000091" w:val="single" w:color="#D9ECF2"/>
              <w:end w:sz="6.400000000000091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D9ECF2"/>
              <w:top w:sz="6.400000000000091" w:val="single" w:color="#D9ECF2"/>
              <w:end w:sz="5.600000000000364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*Genetic test results are reported based on the recommendations of AMP-ASCO-CAP guidelines.</w:t>
      </w:r>
    </w:p>
    <w:p>
      <w:pPr>
        <w:autoSpaceDN w:val="0"/>
        <w:autoSpaceDE w:val="0"/>
        <w:widowControl/>
        <w:spacing w:line="240" w:lineRule="auto" w:before="3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178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3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130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Assay Biomarker</w:t>
            </w:r>
          </w:p>
        </w:tc>
        <w:tc>
          <w:tcPr>
            <w:tcW w:type="dxa" w:w="30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103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Result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33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87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Interpretation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440"/>
            <w:tcBorders>
              <w:start w:sz="6.400000000000006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Microsatellite Instability (MSI)</w:t>
            </w:r>
          </w:p>
        </w:tc>
        <w:tc>
          <w:tcPr>
            <w:tcW w:type="dxa" w:w="3044"/>
            <w:tcBorders>
              <w:start w:sz="6.400000000000091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</w:t>
            </w:r>
          </w:p>
        </w:tc>
        <w:tc>
          <w:tcPr>
            <w:tcW w:type="dxa" w:w="3226"/>
            <w:tcBorders>
              <w:start w:sz="6.400000000000091" w:val="single" w:color="#D9ECF2"/>
              <w:top w:sz="6.399999999999636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3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# Correlation of the genetic findings with the clinical condition of the patient is required to arrive at accurate diagnosis,</w:t>
      </w:r>
    </w:p>
    <w:p>
      <w:pPr>
        <w:autoSpaceDN w:val="0"/>
        <w:autoSpaceDE w:val="0"/>
        <w:widowControl/>
        <w:spacing w:line="240" w:lineRule="auto" w:before="3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p>
      <w:pPr>
        <w:sectPr>
          <w:footerReference w:type="default" r:id="rId10"/>
          <w:footerReference w:type="first" r:id="rId11"/>
          <w:footerReference w:type="even" r:id="rId12"/>
          <w:headerReference w:type="default" r:id="rId13"/>
          <w:headerReference w:type="first" r:id="rId14"/>
          <w:headerReference w:type="even" r:id="rId15"/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02" w:after="178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540"/>
        </w:trPr>
        <w:tc>
          <w:tcPr>
            <w:tcW w:type="dxa" w:w="44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72"/>
            </w:tblGrid>
            <w:tr>
              <w:trPr>
                <w:trHeight w:hRule="exact" w:val="520"/>
              </w:trPr>
              <w:tc>
                <w:tcPr>
                  <w:tcW w:type="dxa" w:w="331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142" w:after="0"/>
                    <w:ind w:left="0" w:right="112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23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0.0" w:type="dxa"/>
            </w:tblPr>
            <w:tblGrid>
              <w:gridCol w:w="6238"/>
            </w:tblGrid>
            <w:tr>
              <w:trPr>
                <w:trHeight w:hRule="exact" w:val="382"/>
              </w:trPr>
              <w:tc>
                <w:tcPr>
                  <w:tcW w:type="dxa" w:w="354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60" w:after="0"/>
                    <w:ind w:left="0" w:right="155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Therapy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008"/>
        </w:trPr>
        <w:tc>
          <w:tcPr>
            <w:tcW w:type="dxa" w:w="1070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510"/>
              </w:trPr>
              <w:tc>
                <w:tcPr>
                  <w:tcW w:type="dxa" w:w="3554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62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33.9999999999998" w:type="dxa"/>
                  </w:tblPr>
                  <w:tblGrid>
                    <w:gridCol w:w="356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45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This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578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63.9999999999998" w:type="dxa"/>
                  </w:tblPr>
                  <w:tblGrid>
                    <w:gridCol w:w="3578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60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Other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78"/>
              </w:trPr>
              <w:tc>
                <w:tcPr>
                  <w:tcW w:type="dxa" w:w="355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148" w:after="0"/>
                    <w:ind w:left="1296" w:right="1296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IIC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56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50" w:after="0"/>
                    <w:ind w:left="11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▪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578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3.999999999999773" w:type="dxa"/>
                  </w:tblPr>
                  <w:tblGrid>
                    <w:gridCol w:w="3578"/>
                  </w:tblGrid>
                  <w:tr>
                    <w:trPr>
                      <w:trHeight w:hRule="exact" w:val="940"/>
                    </w:trPr>
                    <w:tc>
                      <w:tcPr>
                        <w:tcW w:type="dxa" w:w="3554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42" w:after="0"/>
                          <w:ind w:left="9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6666"/>
                            <w:sz w:val="24"/>
                          </w:rPr>
                          <w:t>▪</w:t>
                        </w: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0000"/>
                            <w:sz w:val="20"/>
                          </w:rPr>
                          <w:t>None*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tabs>
                <w:tab w:pos="1124" w:val="left"/>
                <w:tab w:pos="3712" w:val="left"/>
                <w:tab w:pos="3780" w:val="left"/>
                <w:tab w:pos="7670" w:val="left"/>
                <w:tab w:pos="7736" w:val="left"/>
              </w:tabs>
              <w:autoSpaceDE w:val="0"/>
              <w:widowControl/>
              <w:spacing w:line="290" w:lineRule="auto" w:before="462" w:after="0"/>
              <w:ind w:left="104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Variant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Diagnostic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Diagnostic Significance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Prognostic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Prognostic Significance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4"/>
              </w:trPr>
              <w:tc>
                <w:tcPr>
                  <w:tcW w:type="dxa" w:w="2788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42" w:after="0"/>
                    <w:ind w:left="864" w:right="864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962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960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4519"/>
        <w:gridCol w:w="4519"/>
      </w:tblGrid>
      <w:tr>
        <w:trPr>
          <w:trHeight w:hRule="exact" w:val="932"/>
        </w:trPr>
        <w:tc>
          <w:tcPr>
            <w:tcW w:type="dxa" w:w="3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38" w:val="left"/>
                <w:tab w:pos="914" w:val="left"/>
              </w:tabs>
              <w:autoSpaceDE w:val="0"/>
              <w:widowControl/>
              <w:spacing w:line="406" w:lineRule="auto" w:before="40" w:after="0"/>
              <w:ind w:left="314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 xml:space="preserve">Biomarker Description: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7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628" w:after="0"/>
              <w:ind w:left="0" w:right="308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Biomarker Description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Biomarker Description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524"/>
        </w:trPr>
        <w:tc>
          <w:tcPr>
            <w:tcW w:type="dxa" w:w="2368"/>
            <w:tcBorders>
              <w:start w:sz="6.400000000000006" w:val="single" w:color="#D9ECF2"/>
              <w:top w:sz="6.400000000000091" w:val="single" w:color="#D9ECF2"/>
              <w:end w:sz="5.599999999999909" w:val="single" w:color="#D9ECF2"/>
              <w:bottom w:sz="6.399999999999636" w:val="single" w:color="#D9ECF2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44" w:after="0"/>
              <w:ind w:left="10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2"/>
            <w:tcBorders>
              <w:start w:sz="5.599999999999909" w:val="single" w:color="#D9ECF2"/>
              <w:top w:sz="6.400000000000091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86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complex hereditary cancer predisposition disorder associated with early-onset cancers[4,5].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151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104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tumor, and less than 1% of B-lymphoblastic leukemia/lymphoma (2 in 731 cases) and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  <w:p>
            <w:pPr>
              <w:autoSpaceDN w:val="0"/>
              <w:tabs>
                <w:tab w:pos="2506" w:val="left"/>
                <w:tab w:pos="4668" w:val="left"/>
                <w:tab w:pos="6278" w:val="left"/>
                <w:tab w:pos="7868" w:val="left"/>
                <w:tab w:pos="9622" w:val="left"/>
              </w:tabs>
              <w:autoSpaceDE w:val="0"/>
              <w:widowControl/>
              <w:spacing w:line="31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leukemia (1 in 250 cases)[6,7]. The small molecule p53 reactivator, PC14586[16] (2020),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(1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250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cases)[6,7].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small molecule p53 reactivator, PC14586[16] (2020), received a fast track designation by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received a fast track designation by the FDA for advanced tumors harboring a TP53 Y220C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FDA for advanced tumors harboring a TP53 Y220C mutation. The FDA has granted fast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mutation. The FDA has granted fast track designation to the p53 reactivator,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track designation to the p53 reactivator, eprenetapopt[17], (2019) and breakthrough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eprenetapopt[17], (2019) and breakthrough designation[18] (2020) in combination with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designation[18] (2020) in combination with azacitidine or azacitidine and venetoclax for acute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8"/>
      </w:tblGrid>
      <w:tr>
        <w:trPr>
          <w:trHeight w:hRule="exact" w:val="3074"/>
        </w:trPr>
        <w:tc>
          <w:tcPr>
            <w:tcW w:type="dxa" w:w="10724"/>
            <w:tcBorders>
              <w:bottom w:sz="6.400000000000091" w:val="single" w:color="#D9ECF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" w:after="0"/>
              <w:ind w:left="253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myelodysplastic syndrome (MDS) harboring a TP53 mutation, respectively. In addition to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mutation, respectively. In addition to investigational therapies aimed at restoring wild-type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  <w:p>
            <w:pPr>
              <w:autoSpaceDN w:val="0"/>
              <w:tabs>
                <w:tab w:pos="2556" w:val="left"/>
                <w:tab w:pos="3110" w:val="left"/>
                <w:tab w:pos="3970" w:val="left"/>
                <w:tab w:pos="5154" w:val="left"/>
                <w:tab w:pos="5684" w:val="left"/>
                <w:tab w:pos="6444" w:val="left"/>
                <w:tab w:pos="7414" w:val="left"/>
                <w:tab w:pos="8306" w:val="left"/>
                <w:tab w:pos="8770" w:val="left"/>
                <w:tab w:pos="9300" w:val="left"/>
                <w:tab w:pos="10000" w:val="left"/>
              </w:tabs>
              <w:autoSpaceDE w:val="0"/>
              <w:widowControl/>
              <w:spacing w:line="25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induce synthetic lethality are also under clinical evaluation[19,20]. TP53 mutation are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activity,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compounds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that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induce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synthetic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lethality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are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also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under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</w:t>
            </w:r>
          </w:p>
          <w:p>
            <w:pPr>
              <w:autoSpaceDN w:val="0"/>
              <w:autoSpaceDE w:val="0"/>
              <w:widowControl/>
              <w:spacing w:line="29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evaluation[19,20]. TP53 mutation are a diagnostic marker of SHH-activated, TP53-mutant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marker of SHH-activated, TP53-mutant medulloblastoma[21]. TP53 mutations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medulloblastoma[21]. TP53 mutations confer poor prognosis and poor risk in multiple blood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confer poor prognosis and poor risk in multiple blood cancers including AML, MDS,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including AML, MDS, myeloproliferative neoplasms (MPN), and chronic lymphocytic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myeloproliferative neoplasms (MPN), and chronic lymphocytic leukemia (CLL), and acute</w:t>
            </w:r>
          </w:p>
          <w:p>
            <w:pPr>
              <w:autoSpaceDN w:val="0"/>
              <w:autoSpaceDE w:val="0"/>
              <w:widowControl/>
              <w:spacing w:line="338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(CLL), and acute lymphoblastic leukemia (ALL)[22,23,24,25,26,27]. In mantle cell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lymphoblastic leukemia (ALL)[22,23,24,25,26,27]. In mantle cell lymphoma, TP53</w:t>
            </w:r>
          </w:p>
          <w:p>
            <w:pPr>
              <w:autoSpaceDN w:val="0"/>
              <w:autoSpaceDE w:val="0"/>
              <w:widowControl/>
              <w:spacing w:line="44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including hematopoietic cell transplant[28]. Mono- and bi-allelic mutations in TP53 confer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lymphoma, TP53 mutations are associated with poor prognosis when treated with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mutations are associated with poor prognosis when treated with conventional therapy</w:t>
            </w:r>
          </w:p>
          <w:p>
            <w:pPr>
              <w:autoSpaceDN w:val="0"/>
              <w:autoSpaceDE w:val="0"/>
              <w:widowControl/>
              <w:spacing w:line="32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conventional therapy including hematopoietic cell transplant[28]. Mono- and bi-allelic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unique characteristics in MDS, with multi-hit patients also experiencing associations with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5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complex karyotype, few co-occurring mutations, and high-risk disease presentation as well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mutations in TP53 confer unique characteristics in MDS, with multi-hit patients also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experiencing associations with complex karyotype, few co-occurring mutations, and high-risk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 predicted death and leukemic transformation independent of the IPSS-R staging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disease presentation as well as predicted death and leukemic transformation independent of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90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32"/>
        </w:trPr>
        <w:tc>
          <w:tcPr>
            <w:tcW w:type="dxa" w:w="44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128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Therapy</w:t>
            </w:r>
          </w:p>
        </w:tc>
        <w:tc>
          <w:tcPr>
            <w:tcW w:type="dxa" w:w="2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2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FDA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FDA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NCCN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NCCN</w:t>
            </w:r>
          </w:p>
        </w:tc>
        <w:tc>
          <w:tcPr>
            <w:tcW w:type="dxa" w:w="1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EMA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EMA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ESMO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ESMO</w:t>
            </w:r>
          </w:p>
        </w:tc>
        <w:tc>
          <w:tcPr>
            <w:tcW w:type="dxa" w:w="105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Trials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48"/>
        </w:trPr>
        <w:tc>
          <w:tcPr>
            <w:tcW w:type="dxa" w:w="5416"/>
            <w:tcBorders>
              <w:start w:sz="6.400000000000006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azenosertib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ATRN-119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VB-15010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2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2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3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494"/>
        </w:trPr>
        <w:tc>
          <w:tcPr>
            <w:tcW w:type="dxa" w:w="15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572"/>
            </w:tblGrid>
            <w:tr>
              <w:trPr>
                <w:trHeight w:hRule="exact" w:val="474"/>
              </w:trPr>
              <w:tc>
                <w:tcPr>
                  <w:tcW w:type="dxa" w:w="119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2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GH-2616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136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GH-2616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45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52"/>
        </w:trPr>
        <w:tc>
          <w:tcPr>
            <w:tcW w:type="dxa" w:w="5416"/>
            <w:tcBorders>
              <w:start w:sz="6.400000000000006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HRS-1167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SIM-0501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65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XL-309, 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saruparib,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2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2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2" w:after="0"/>
              <w:ind w:left="94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60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60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9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camrelizumab, fluzoparib,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hormone therapy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dostarlimab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2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086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36"/>
            </w:tblGrid>
            <w:tr>
              <w:trPr>
                <w:trHeight w:hRule="exact" w:val="474"/>
              </w:trPr>
              <w:tc>
                <w:tcPr>
                  <w:tcW w:type="dxa" w:w="455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7" w:lineRule="auto" w:before="126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olaparib, durvalumab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olaparib, durvalumab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102"/>
            </w:tblGrid>
            <w:tr>
              <w:trPr>
                <w:trHeight w:hRule="exact" w:val="400"/>
              </w:trPr>
              <w:tc>
                <w:tcPr>
                  <w:tcW w:type="dxa" w:w="62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7" w:lineRule="auto" w:before="6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II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52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4" w:lineRule="exact" w:before="100" w:after="196"/>
        <w:ind w:left="716" w:right="1440" w:firstLine="0"/>
        <w:jc w:val="left"/>
      </w:pPr>
      <w:r>
        <w:rPr>
          <w:rFonts w:ascii="Type3 (21 0 R)" w:hAnsi="Type3 (21 0 R)" w:eastAsia="Type3 (21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3 0 R)" w:hAnsi="Type3 (23 0 R)" w:eastAsia="Type3 (23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: </w:t>
      </w: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44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Description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2814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400000000000091" w:val="single" w:color="#D9ECF2"/>
                    <w:end w:sz="5.600000000000364" w:val="single" w:color="#D9ECF2"/>
                    <w:bottom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4" w:after="0"/>
                    <w:ind w:left="100" w:right="4032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TEST NAME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is advancing precision oncology research through the analysis of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multiple relevant biomarkers in a single next-generation sequencing (NGS) test.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 Liquidseq Actionable Genomic Profiling assay analyses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34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unique genes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28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DNA +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6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Fusions driver genes) for single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 and multiple gene biomarker insights, detects single gene biomarkers from all variant types including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SNVs, indels,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CNVs, known and novel fusions, and splice variants.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Analyze complex multi-gene biomarkers for mutational signatures,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including microsatellite instability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MSI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) for immunotherapy research.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115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 performance of the panel was verified using both commercially sourced reference controls and cell-free DNA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(cfTNA)samples.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2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Methodology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978"/>
        </w:trPr>
        <w:tc>
          <w:tcPr>
            <w:tcW w:type="dxa" w:w="10710"/>
            <w:tcBorders>
              <w:start w:sz="6.400000000000006" w:val="single" w:color="#D9ECF2"/>
              <w:top w:sz="6.399999999999636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Extraction &amp; Library Preparation: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Cell free Total Nucleic acid (cfTNA) extracted from the liquid biopsy sample is used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for targeted gene capture using a custom designed hybrid capture panel. In process quality controls were determined for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prepared library.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0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98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100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6676"/>
        </w:trPr>
        <w:tc>
          <w:tcPr>
            <w:tcW w:type="dxa" w:w="10710"/>
            <w:tcBorders>
              <w:start w:sz="6.400000000000006" w:val="single" w:color="#D9ECF2"/>
              <w:top w:sz="5.599999999999909" w:val="single" w:color="#D9ECF2"/>
              <w:end w:sz="5.600000000000364" w:val="single" w:color="#D9ECF2"/>
              <w:bottom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6" w:after="0"/>
              <w:ind w:left="98" w:right="72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decisions should not be based solely on the results of this test. Findings must be interpreted in the context of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patient’s complete clinical profile—including pathological, radiological, and family history—to guide diagnosis,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prognosis, and therapeutic decisions.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Therapy-related information in this report is derived from multiple sources including FDA-approved drug data, NCCN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guidelines, peer-reviewed literature, standard clinical databases, and biomarker evidence strength. However, therapy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options listed may not be suitable or beneficial for all patients. This report aims to provide a summary of potentially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effective treatments, therapies that may pose increased risks, and those that may have limited benefit, based on genomic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alterations identified. Prognostic and diagnostic biomarkers relevant to the disease context may also be reported.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129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Laboratory does not guarantee completeness, accuracy, or eligibility for trial enrollment. Physicians must verify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eligibility criteria for specific trials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432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Identification of a genomic alteration does not guarantee therapeutic efficacy or predict ineffectiveness. Final decisions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should rest with the treating physician. The absence of reported therapeutic options does not imply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ineffectiveness or lack of safety of any medication selected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All variant classifications and related clinical information are based on the latest evidence from peer-reviewed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publications, public clinical databases, and medical guidelines (e.g., NCCN, ASCO, AMP) available at the time of report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generation. However, literature is continuously evolving, and classification may change with emerging evidence.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assay is designed and validated for somatic variant detection, it does not differentiate between somatic and germline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variants. If indicated, germline testing and genetic counselling are recommended.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7022"/>
        </w:trPr>
        <w:tc>
          <w:tcPr>
            <w:tcW w:type="dxa" w:w="10604"/>
            <w:tcBorders>
              <w:bottom w:sz="5.600000000000364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604"/>
            </w:tblGrid>
            <w:tr>
              <w:trPr>
                <w:trHeight w:hRule="exact" w:val="280"/>
              </w:trPr>
              <w:tc>
                <w:tcPr>
                  <w:tcW w:type="dxa" w:w="6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Notes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6.400000000000091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038"/>
      </w:tblGrid>
      <w:tr>
        <w:trPr>
          <w:trHeight w:hRule="exact" w:val="6086"/>
        </w:trPr>
        <w:tc>
          <w:tcPr>
            <w:tcW w:type="dxa" w:w="11044"/>
            <w:tcBorders>
              <w:bottom w:sz="5.600000000000364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2.0" w:type="dxa"/>
            </w:tblPr>
            <w:tblGrid>
              <w:gridCol w:w="2209"/>
              <w:gridCol w:w="2209"/>
              <w:gridCol w:w="2209"/>
              <w:gridCol w:w="2209"/>
              <w:gridCol w:w="2209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97" w:type="dxa"/>
                  </w:tblPr>
                  <w:tblGrid>
                    <w:gridCol w:w="10682"/>
                  </w:tblGrid>
                  <w:tr>
                    <w:trPr>
                      <w:trHeight w:hRule="exact" w:val="222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DNA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576" w:val="left"/>
                <w:tab w:pos="4718" w:val="left"/>
              </w:tabs>
              <w:autoSpaceDE w:val="0"/>
              <w:widowControl/>
              <w:spacing w:line="240" w:lineRule="auto" w:before="0" w:after="23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0.0" w:type="dxa"/>
            </w:tblPr>
            <w:tblGrid>
              <w:gridCol w:w="2209"/>
              <w:gridCol w:w="2209"/>
              <w:gridCol w:w="2209"/>
              <w:gridCol w:w="2209"/>
              <w:gridCol w:w="2209"/>
            </w:tblGrid>
            <w:tr>
              <w:trPr>
                <w:trHeight w:hRule="exact" w:val="240"/>
              </w:trPr>
              <w:tc>
                <w:tcPr>
                  <w:tcW w:type="dxa" w:w="10686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0.0" w:type="dxa"/>
                  </w:tblPr>
                  <w:tblGrid>
                    <w:gridCol w:w="10686"/>
                  </w:tblGrid>
                  <w:tr>
                    <w:trPr>
                      <w:trHeight w:hRule="exact" w:val="224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RNA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2.0" w:type="dxa"/>
            </w:tblPr>
            <w:tblGrid>
              <w:gridCol w:w="5522"/>
              <w:gridCol w:w="5522"/>
            </w:tblGrid>
            <w:tr>
              <w:trPr>
                <w:trHeight w:hRule="exact" w:val="238"/>
              </w:trPr>
              <w:tc>
                <w:tcPr>
                  <w:tcW w:type="dxa" w:w="4704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2.00000000000003" w:type="dxa"/>
                  </w:tblPr>
                  <w:tblGrid>
                    <w:gridCol w:w="2352"/>
                    <w:gridCol w:w="2352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52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MSI</w:t>
                        </w:r>
                      </w:p>
                    </w:tc>
                    <w:tc>
                      <w:tcPr>
                        <w:tcW w:type="dxa" w:w="297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0" w:right="1094" w:firstLine="0"/>
                          <w:jc w:val="righ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MSI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5998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55" w:type="dxa"/>
                  </w:tblPr>
                  <w:tblGrid>
                    <w:gridCol w:w="2999"/>
                    <w:gridCol w:w="2999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184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% of Unstable Loci</w:t>
                        </w:r>
                      </w:p>
                    </w:tc>
                    <w:tc>
                      <w:tcPr>
                        <w:tcW w:type="dxa" w:w="294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20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% of Unstable Loci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43"/>
              </w:trPr>
              <w:tc>
                <w:tcPr>
                  <w:tcW w:type="dxa" w:w="4704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Stable</w:t>
                  </w:r>
                </w:p>
              </w:tc>
              <w:tc>
                <w:tcPr>
                  <w:tcW w:type="dxa" w:w="5998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0-19%</w:t>
                  </w:r>
                </w:p>
              </w:tc>
            </w:tr>
            <w:tr>
              <w:trPr>
                <w:trHeight w:hRule="exact" w:val="248"/>
              </w:trPr>
              <w:tc>
                <w:tcPr>
                  <w:tcW w:type="dxa" w:w="470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5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5142" w:val="left"/>
              </w:tabs>
              <w:autoSpaceDE w:val="0"/>
              <w:widowControl/>
              <w:spacing w:line="240" w:lineRule="auto" w:before="0" w:after="0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  <w:p>
            <w:pPr>
              <w:autoSpaceDN w:val="0"/>
              <w:tabs>
                <w:tab w:pos="1066" w:val="left"/>
                <w:tab w:pos="2376" w:val="left"/>
                <w:tab w:pos="5948" w:val="left"/>
              </w:tabs>
              <w:autoSpaceDE w:val="0"/>
              <w:widowControl/>
              <w:spacing w:line="286" w:lineRule="auto" w:before="290" w:after="0"/>
              <w:ind w:left="52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6.0" w:type="dxa"/>
            </w:tblPr>
            <w:tblGrid>
              <w:gridCol w:w="5522"/>
              <w:gridCol w:w="5522"/>
            </w:tblGrid>
            <w:tr>
              <w:trPr>
                <w:trHeight w:hRule="exact" w:val="948"/>
              </w:trPr>
              <w:tc>
                <w:tcPr>
                  <w:tcW w:type="dxa" w:w="1848"/>
                  <w:tcBorders>
                    <w:start w:sz="6.400000000000006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8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IA</w:t>
                  </w:r>
                </w:p>
              </w:tc>
              <w:tc>
                <w:tcPr>
                  <w:tcW w:type="dxa" w:w="8846"/>
                  <w:tcBorders>
                    <w:start w:sz="6.399999999999977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78" w:after="0"/>
                    <w:ind w:left="94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Variants of Strong Clinical Significance: Biomarkers that predict response or resistance to US FDA-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02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52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10"/>
            </w:tblGrid>
            <w:tr>
              <w:trPr>
                <w:trHeight w:hRule="exact" w:val="506"/>
              </w:trPr>
              <w:tc>
                <w:tcPr>
                  <w:tcW w:type="dxa" w:w="1071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104" w:after="0"/>
                    <w:ind w:left="192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prognostic significance of certain diseases based on well-powered studies with expert consensus.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prognostic significance of certain diseases based on well-powered studies with expert consensus.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94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5355"/>
              <w:gridCol w:w="5355"/>
            </w:tblGrid>
            <w:tr>
              <w:trPr>
                <w:trHeight w:hRule="exact" w:val="1184"/>
              </w:trPr>
              <w:tc>
                <w:tcPr>
                  <w:tcW w:type="dxa" w:w="1842"/>
                  <w:tcBorders>
                    <w:start w:sz="6.400000000000006" w:val="single" w:color="#008080"/>
                    <w:top w:sz="6.400000000000091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IIC</w:t>
                  </w:r>
                </w:p>
              </w:tc>
              <w:tc>
                <w:tcPr>
                  <w:tcW w:type="dxa" w:w="8848"/>
                  <w:tcBorders>
                    <w:start w:sz="6.399999999999977" w:val="single" w:color="#008080"/>
                    <w:top w:sz="6.400000000000091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0" w:after="0"/>
                    <w:ind w:left="98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predict response or resistance to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8" w:after="0"/>
                    <w:ind w:left="10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698"/>
              </w:trPr>
              <w:tc>
                <w:tcPr>
                  <w:tcW w:type="dxa" w:w="1842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4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4" w:after="0"/>
                    <w:ind w:left="106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95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282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26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Bernard et al. Implications of TP53 allelic state for genome stability, clinical presentation and outcomes in myelodysplastic</w:t>
      </w:r>
    </w:p>
    <w:p>
      <w:pPr>
        <w:autoSpaceDN w:val="0"/>
        <w:autoSpaceDE w:val="0"/>
        <w:widowControl/>
        <w:spacing w:line="240" w:lineRule="auto" w:before="36" w:after="0"/>
        <w:ind w:left="107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