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2600130362</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FFPE TISSUE BLOCK</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 AGATAMUDI VENKATA KAMANA</w:t>
            </w:r>
          </w:p>
        </w:tc>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Male/61 Years</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15-Apr-2026 04:44 PM</w:t>
            </w:r>
          </w:p>
        </w:tc>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28-Apr-2026 06:16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7" w:after="80"/>
        <w:jc w:val="center"/>
      </w:pPr>
      <w:r>
        <w:rPr>
          <w:rFonts w:ascii="Cambria" w:hAnsi="Cambria"/>
          <w:b/>
          <w:i/>
          <w:color w:val="000000"/>
          <w:sz w:val="28"/>
          <w:highlight w:val="yellow"/>
        </w:rPr>
        <w:t>TEST NAME</w:t>
      </w:r>
    </w:p>
    <w:p>
      <w:pPr>
        <w:spacing w:before="360" w:after="80" w:line="276" w:lineRule="auto"/>
        <w:jc w:val="left"/>
      </w:pPr>
      <w:r>
        <w:rPr>
          <w:rFonts w:ascii="Cambria" w:hAnsi="Cambria"/>
          <w:color w:val="000000"/>
          <w:sz w:val="22"/>
        </w:rPr>
        <w:t>Clinical Indication: Features are consistent with recurrent astrocytoma, IDH - mutant, CNS WHO grade 4 Block No.: 24-4733-B2</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keepNext/>
        <w:spacing w:before="360" w:after="80"/>
        <w:jc w:val="left"/>
      </w:pPr>
      <w:r>
        <w:rPr>
          <w:rFonts w:ascii="Cambria" w:hAnsi="Cambria"/>
          <w:b/>
          <w:i w:val="0"/>
          <w:color w:val="1F497D"/>
          <w:sz w:val="24"/>
        </w:rPr>
        <w:t>Report Highlights:</w:t>
      </w:r>
    </w:p>
    <w:p>
      <w:pPr>
        <w:spacing w:before="0" w:after="23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70"/>
            <w:shd w:val="clear" w:color="auto" w:fill="008080"/>
            <w:tcMar>
              <w:top w:w="60" w:type="dxa"/>
              <w:bottom w:w="60" w:type="dxa"/>
              <w:start w:w="80" w:type="dxa"/>
              <w:end w:w="80" w:type="dxa"/>
            </w:tcMar>
          </w:tcPr>
          <w:p>
            <w:pPr>
              <w:jc w:val="center"/>
            </w:pPr>
            <w:r>
              <w:rPr>
                <w:rFonts w:ascii="Cambria" w:hAnsi="Cambria"/>
                <w:b/>
                <w:color w:val="FFFFFF"/>
                <w:sz w:val="22"/>
              </w:rPr>
              <w:t>Tier I</w:t>
            </w:r>
          </w:p>
        </w:tc>
        <w:tc>
          <w:tcPr>
            <w:tcW w:type="dxa" w:w="1646"/>
            <w:shd w:val="clear" w:color="auto" w:fill="008080"/>
            <w:tcMar>
              <w:top w:w="60" w:type="dxa"/>
              <w:bottom w:w="60" w:type="dxa"/>
              <w:start w:w="80" w:type="dxa"/>
              <w:end w:w="80" w:type="dxa"/>
            </w:tcMar>
          </w:tcPr>
          <w:p>
            <w:pPr>
              <w:jc w:val="center"/>
            </w:pPr>
            <w:r>
              <w:rPr>
                <w:rFonts w:ascii="Cambria" w:hAnsi="Cambria"/>
                <w:b/>
                <w:color w:val="FFFFFF"/>
                <w:sz w:val="22"/>
              </w:rPr>
              <w:t>Tier II</w:t>
            </w:r>
          </w:p>
        </w:tc>
        <w:tc>
          <w:tcPr>
            <w:tcW w:type="dxa" w:w="1719"/>
            <w:shd w:val="clear" w:color="auto" w:fill="1f497d"/>
            <w:tcMar>
              <w:top w:w="60" w:type="dxa"/>
              <w:bottom w:w="60" w:type="dxa"/>
              <w:start w:w="80" w:type="dxa"/>
              <w:end w:w="80" w:type="dxa"/>
            </w:tcMar>
          </w:tcPr>
          <w:p>
            <w:pPr>
              <w:jc w:val="center"/>
            </w:pPr>
            <w:r>
              <w:rPr>
                <w:rFonts w:ascii="Cambria" w:hAnsi="Cambria"/>
                <w:b/>
                <w:color w:val="FFFFFF"/>
                <w:sz w:val="22"/>
              </w:rPr>
              <w:t>Tier III</w:t>
            </w:r>
          </w:p>
        </w:tc>
        <w:tc>
          <w:tcPr>
            <w:tcW w:type="dxa" w:w="1570"/>
            <w:shd w:val="clear" w:color="auto" w:fill="008080"/>
            <w:tcMar>
              <w:top w:w="60" w:type="dxa"/>
              <w:bottom w:w="60" w:type="dxa"/>
              <w:start w:w="80" w:type="dxa"/>
              <w:end w:w="80" w:type="dxa"/>
            </w:tcMar>
          </w:tcPr>
          <w:p>
            <w:pPr>
              <w:jc w:val="center"/>
            </w:pPr>
            <w:r>
              <w:rPr>
                <w:rFonts w:ascii="Cambria" w:hAnsi="Cambria"/>
                <w:b/>
                <w:color w:val="FFFFFF"/>
                <w:sz w:val="22"/>
              </w:rPr>
              <w:t>MSI</w:t>
            </w:r>
          </w:p>
        </w:tc>
        <w:tc>
          <w:tcPr>
            <w:tcW w:type="dxa" w:w="1789"/>
            <w:shd w:val="clear" w:color="auto" w:fill="008080"/>
            <w:tcMar>
              <w:top w:w="60" w:type="dxa"/>
              <w:bottom w:w="60" w:type="dxa"/>
              <w:start w:w="80" w:type="dxa"/>
              <w:end w:w="80" w:type="dxa"/>
            </w:tcMar>
          </w:tcPr>
          <w:p>
            <w:pPr>
              <w:jc w:val="center"/>
            </w:pPr>
            <w:r>
              <w:rPr>
                <w:rFonts w:ascii="Cambria" w:hAnsi="Cambria"/>
                <w:b/>
                <w:color w:val="FFFFFF"/>
                <w:sz w:val="22"/>
              </w:rPr>
              <w:t>Therapies</w:t>
            </w:r>
          </w:p>
        </w:tc>
        <w:tc>
          <w:tcPr>
            <w:tcW w:type="dxa" w:w="2172"/>
            <w:shd w:val="clear" w:color="auto" w:fill="008080"/>
            <w:tcMar>
              <w:top w:w="60" w:type="dxa"/>
              <w:bottom w:w="60" w:type="dxa"/>
              <w:start w:w="80" w:type="dxa"/>
              <w:end w:w="80" w:type="dxa"/>
            </w:tcMar>
          </w:tcPr>
          <w:p>
            <w:pPr>
              <w:jc w:val="center"/>
            </w:pPr>
            <w:r>
              <w:rPr>
                <w:rFonts w:ascii="Cambria" w:hAnsi="Cambria"/>
                <w:b/>
                <w:color w:val="FFFFFF"/>
                <w:sz w:val="22"/>
              </w:rPr>
              <w:t>Clinical Trials</w:t>
            </w:r>
          </w:p>
        </w:tc>
      </w:tr>
      <w:tr>
        <w:trPr>
          <w:cantSplit w:val="true"/>
        </w:trPr>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2</w:t>
            </w:r>
          </w:p>
        </w:tc>
        <w:tc>
          <w:tcPr>
            <w:tcW w:type="dxa" w:w="1646"/>
            <w:shd w:val="clear" w:color="auto" w:fill="f8f8f8"/>
            <w:tcMar>
              <w:top w:w="60" w:type="dxa"/>
              <w:bottom w:w="60" w:type="dxa"/>
              <w:start w:w="80" w:type="dxa"/>
              <w:end w:w="80" w:type="dxa"/>
            </w:tcMar>
          </w:tcPr>
          <w:p>
            <w:pPr>
              <w:jc w:val="left"/>
            </w:pPr>
            <w:r>
              <w:rPr>
                <w:rFonts w:ascii="Cambria" w:hAnsi="Cambria"/>
                <w:b w:val="0"/>
                <w:i w:val="0"/>
                <w:color w:val="000000"/>
                <w:sz w:val="20"/>
              </w:rPr>
              <w:t>0</w:t>
            </w:r>
          </w:p>
        </w:tc>
        <w:tc>
          <w:tcPr>
            <w:tcW w:type="dxa" w:w="1719"/>
            <w:tcMar>
              <w:top w:w="60" w:type="dxa"/>
              <w:bottom w:w="60" w:type="dxa"/>
              <w:start w:w="80" w:type="dxa"/>
              <w:end w:w="80" w:type="dxa"/>
            </w:tcMar>
          </w:tcPr>
          <w:p>
            <w:pPr>
              <w:jc w:val="left"/>
            </w:pPr>
            <w:r>
              <w:rPr>
                <w:rFonts w:ascii="Cambria" w:hAnsi="Cambria"/>
                <w:b w:val="0"/>
                <w:i w:val="0"/>
                <w:color w:val="000000"/>
                <w:sz w:val="20"/>
              </w:rPr>
              <w:t>0</w:t>
            </w:r>
          </w:p>
        </w:tc>
        <w:tc>
          <w:tcPr>
            <w:tcW w:type="dxa" w:w="1570"/>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1789"/>
            <w:shd w:val="clear" w:color="auto" w:fill="f8f8f8"/>
            <w:tcMar>
              <w:top w:w="60" w:type="dxa"/>
              <w:bottom w:w="60" w:type="dxa"/>
              <w:start w:w="80" w:type="dxa"/>
              <w:end w:w="80" w:type="dxa"/>
            </w:tcMar>
          </w:tcPr>
          <w:p>
            <w:pPr>
              <w:jc w:val="left"/>
            </w:pPr>
            <w:r>
              <w:rPr>
                <w:rFonts w:ascii="Cambria" w:hAnsi="Cambria"/>
                <w:b w:val="0"/>
                <w:i w:val="0"/>
                <w:color w:val="000000"/>
                <w:sz w:val="20"/>
              </w:rPr>
              <w:t>2</w:t>
            </w:r>
          </w:p>
        </w:tc>
        <w:tc>
          <w:tcPr>
            <w:tcW w:type="dxa" w:w="2172"/>
            <w:shd w:val="clear" w:color="auto" w:fill="f8f8f8"/>
            <w:tcMar>
              <w:top w:w="60" w:type="dxa"/>
              <w:bottom w:w="60" w:type="dxa"/>
              <w:start w:w="80" w:type="dxa"/>
              <w:end w:w="80" w:type="dxa"/>
            </w:tcMar>
          </w:tcPr>
          <w:p>
            <w:pPr>
              <w:jc w:val="right"/>
            </w:pPr>
            <w:r>
              <w:rPr>
                <w:rFonts w:ascii="Cambria" w:hAnsi="Cambria"/>
                <w:b w:val="0"/>
                <w:i w:val="0"/>
                <w:color w:val="000000"/>
                <w:sz w:val="20"/>
              </w:rPr>
              <w:t>18</w:t>
            </w:r>
          </w:p>
        </w:tc>
      </w:tr>
    </w:tbl>
    <w:p>
      <w:pPr>
        <w:spacing w:before="0" w:after="120" w:line="20" w:lineRule="exact"/>
      </w:pPr>
      <w:r>
        <w:rPr>
          <w:sz w:val="2"/>
        </w:rPr>
      </w:r>
    </w:p>
    <w:p>
      <w:pPr>
        <w:keepNext/>
        <w:spacing w:before="319" w:after="80"/>
        <w:jc w:val="left"/>
      </w:pPr>
      <w:r>
        <w:rPr>
          <w:rFonts w:ascii="Cambria" w:hAnsi="Cambria"/>
          <w:b/>
          <w:i w:val="0"/>
          <w:color w:val="1F497D"/>
          <w:sz w:val="24"/>
        </w:rPr>
        <w:t>Key Findings:</w:t>
      </w:r>
    </w:p>
    <w:p>
      <w:pPr>
        <w:spacing w:before="0" w:after="23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1435"/>
            <w:shd w:val="clear" w:color="auto" w:fill="008080"/>
            <w:tcMar>
              <w:top w:w="60" w:type="dxa"/>
              <w:bottom w:w="60" w:type="dxa"/>
              <w:start w:w="80" w:type="dxa"/>
              <w:end w:w="80" w:type="dxa"/>
            </w:tcMar>
          </w:tcPr>
          <w:p>
            <w:pPr>
              <w:jc w:val="center"/>
            </w:pPr>
            <w:r>
              <w:rPr>
                <w:rFonts w:ascii="Cambria" w:hAnsi="Cambria"/>
                <w:b/>
                <w:color w:val="FFFFFF"/>
                <w:sz w:val="22"/>
              </w:rPr>
              <w:t>Tier</w:t>
            </w:r>
          </w:p>
        </w:tc>
        <w:tc>
          <w:tcPr>
            <w:tcW w:type="dxa" w:w="2433"/>
            <w:shd w:val="clear" w:color="auto" w:fill="008080"/>
            <w:tcMar>
              <w:top w:w="60" w:type="dxa"/>
              <w:bottom w:w="60" w:type="dxa"/>
              <w:start w:w="80" w:type="dxa"/>
              <w:end w:w="80" w:type="dxa"/>
            </w:tcMar>
          </w:tcPr>
          <w:p>
            <w:pPr>
              <w:jc w:val="center"/>
            </w:pPr>
            <w:r>
              <w:rPr>
                <w:rFonts w:ascii="Cambria" w:hAnsi="Cambria"/>
                <w:b/>
                <w:color w:val="FFFFFF"/>
                <w:sz w:val="22"/>
              </w:rPr>
              <w:t>Gene &amp; Transcript</w:t>
            </w:r>
          </w:p>
        </w:tc>
        <w:tc>
          <w:tcPr>
            <w:tcW w:type="dxa" w:w="3041"/>
            <w:shd w:val="clear" w:color="auto" w:fill="1f497d"/>
            <w:tcMar>
              <w:top w:w="60" w:type="dxa"/>
              <w:bottom w:w="60" w:type="dxa"/>
              <w:start w:w="80" w:type="dxa"/>
              <w:end w:w="80" w:type="dxa"/>
            </w:tcMar>
          </w:tcPr>
          <w:p>
            <w:pPr>
              <w:jc w:val="center"/>
            </w:pPr>
            <w:r>
              <w:rPr>
                <w:rFonts w:ascii="Cambria" w:hAnsi="Cambria"/>
                <w:b/>
                <w:color w:val="FFFFFF"/>
                <w:sz w:val="22"/>
              </w:rPr>
              <w:t>Variant</w:t>
            </w:r>
          </w:p>
        </w:tc>
        <w:tc>
          <w:tcPr>
            <w:tcW w:type="dxa" w:w="1435"/>
            <w:shd w:val="clear" w:color="auto" w:fill="008080"/>
            <w:tcMar>
              <w:top w:w="60" w:type="dxa"/>
              <w:bottom w:w="60" w:type="dxa"/>
              <w:start w:w="80" w:type="dxa"/>
              <w:end w:w="80" w:type="dxa"/>
            </w:tcMar>
          </w:tcPr>
          <w:p>
            <w:pPr>
              <w:jc w:val="center"/>
            </w:pPr>
            <w:r>
              <w:rPr>
                <w:rFonts w:ascii="Cambria" w:hAnsi="Cambria"/>
                <w:b/>
                <w:color w:val="FFFFFF"/>
                <w:sz w:val="22"/>
              </w:rPr>
              <w:t>Exon</w:t>
            </w:r>
          </w:p>
        </w:tc>
        <w:tc>
          <w:tcPr>
            <w:tcW w:type="dxa" w:w="2121"/>
            <w:shd w:val="clear" w:color="auto" w:fill="008080"/>
            <w:tcMar>
              <w:top w:w="60" w:type="dxa"/>
              <w:bottom w:w="60" w:type="dxa"/>
              <w:start w:w="80" w:type="dxa"/>
              <w:end w:w="80" w:type="dxa"/>
            </w:tcMar>
          </w:tcPr>
          <w:p>
            <w:pPr>
              <w:jc w:val="center"/>
            </w:pPr>
            <w:r>
              <w:rPr>
                <w:rFonts w:ascii="Cambria" w:hAnsi="Cambria"/>
                <w:b/>
                <w:color w:val="FFFFFF"/>
                <w:sz w:val="22"/>
              </w:rPr>
              <w:t>Coverage/VAF</w:t>
            </w:r>
          </w:p>
        </w:tc>
      </w:tr>
      <w:tr>
        <w:trPr>
          <w:cantSplit w:val="true"/>
        </w:trPr>
        <w:tc>
          <w:tcPr>
            <w:tcW w:type="dxa" w:w="1435"/>
            <w:shd w:val="clear" w:color="auto" w:fill="f8f8f8"/>
            <w:tcMar>
              <w:top w:w="60" w:type="dxa"/>
              <w:bottom w:w="60" w:type="dxa"/>
              <w:start w:w="80" w:type="dxa"/>
              <w:end w:w="80" w:type="dxa"/>
            </w:tcMar>
          </w:tcPr>
          <w:p>
            <w:pPr>
              <w:jc w:val="left"/>
            </w:pPr>
            <w:r>
              <w:rPr>
                <w:rFonts w:ascii="Cambria" w:hAnsi="Cambria"/>
                <w:b w:val="0"/>
                <w:i w:val="0"/>
                <w:color w:val="000000"/>
                <w:sz w:val="20"/>
              </w:rPr>
              <w:t>IA</w:t>
            </w:r>
          </w:p>
        </w:tc>
        <w:tc>
          <w:tcPr>
            <w:tcW w:type="dxa" w:w="2433"/>
            <w:shd w:val="clear" w:color="auto" w:fill="f8f8f8"/>
            <w:tcMar>
              <w:top w:w="60" w:type="dxa"/>
              <w:bottom w:w="60" w:type="dxa"/>
              <w:start w:w="80" w:type="dxa"/>
              <w:end w:w="80" w:type="dxa"/>
            </w:tcMar>
          </w:tcPr>
          <w:p>
            <w:pPr>
              <w:jc w:val="left"/>
            </w:pPr>
            <w:r>
              <w:rPr>
                <w:rFonts w:ascii="Cambria" w:hAnsi="Cambria"/>
                <w:b w:val="0"/>
                <w:i w:val="0"/>
                <w:color w:val="000000"/>
                <w:sz w:val="20"/>
              </w:rPr>
              <w:t>IDH1</w:t>
              <w:br/>
              <w:t>NM 005896.4</w:t>
              <w:br/>
              <w:t>_</w:t>
            </w:r>
          </w:p>
        </w:tc>
        <w:tc>
          <w:tcPr>
            <w:tcW w:type="dxa" w:w="3041"/>
            <w:tcMar>
              <w:top w:w="60" w:type="dxa"/>
              <w:bottom w:w="60" w:type="dxa"/>
              <w:start w:w="80" w:type="dxa"/>
              <w:end w:w="80" w:type="dxa"/>
            </w:tcMar>
          </w:tcPr>
          <w:p>
            <w:pPr>
              <w:jc w:val="left"/>
            </w:pPr>
            <w:r>
              <w:rPr>
                <w:rFonts w:ascii="Cambria" w:hAnsi="Cambria"/>
                <w:b w:val="0"/>
                <w:i w:val="0"/>
                <w:color w:val="000000"/>
                <w:sz w:val="20"/>
              </w:rPr>
              <w:t>c.395G&gt;A</w:t>
              <w:br/>
              <w:t>p.(R132H)</w:t>
            </w:r>
          </w:p>
        </w:tc>
        <w:tc>
          <w:tcPr>
            <w:tcW w:type="dxa" w:w="1435"/>
            <w:shd w:val="clear" w:color="auto" w:fill="f8f8f8"/>
            <w:tcMar>
              <w:top w:w="60" w:type="dxa"/>
              <w:bottom w:w="60" w:type="dxa"/>
              <w:start w:w="80" w:type="dxa"/>
              <w:end w:w="80" w:type="dxa"/>
            </w:tcMar>
          </w:tcPr>
          <w:p>
            <w:pPr>
              <w:jc w:val="left"/>
            </w:pPr>
            <w:r>
              <w:rPr>
                <w:rFonts w:ascii="Cambria" w:hAnsi="Cambria"/>
                <w:b w:val="0"/>
                <w:i w:val="0"/>
                <w:color w:val="000000"/>
                <w:sz w:val="20"/>
              </w:rPr>
              <w:t>4</w:t>
            </w:r>
          </w:p>
        </w:tc>
        <w:tc>
          <w:tcPr>
            <w:tcW w:type="dxa" w:w="2121"/>
            <w:shd w:val="clear" w:color="auto" w:fill="f8f8f8"/>
            <w:tcMar>
              <w:top w:w="60" w:type="dxa"/>
              <w:bottom w:w="60" w:type="dxa"/>
              <w:start w:w="80" w:type="dxa"/>
              <w:end w:w="80" w:type="dxa"/>
            </w:tcMar>
          </w:tcPr>
          <w:p>
            <w:pPr>
              <w:jc w:val="right"/>
            </w:pPr>
            <w:r>
              <w:rPr>
                <w:rFonts w:ascii="Cambria" w:hAnsi="Cambria"/>
                <w:b w:val="0"/>
                <w:i w:val="0"/>
                <w:color w:val="000000"/>
                <w:sz w:val="20"/>
              </w:rPr>
              <w:t>890x / 47.19%</w:t>
            </w:r>
          </w:p>
        </w:tc>
      </w:tr>
      <w:tr>
        <w:trPr>
          <w:cantSplit w:val="true"/>
        </w:trPr>
        <w:tc>
          <w:tcPr>
            <w:tcW w:type="dxa" w:w="1435"/>
            <w:shd w:val="clear" w:color="auto" w:fill="ffffff"/>
            <w:tcMar>
              <w:top w:w="60" w:type="dxa"/>
              <w:bottom w:w="60" w:type="dxa"/>
              <w:start w:w="80" w:type="dxa"/>
              <w:end w:w="80" w:type="dxa"/>
            </w:tcMar>
          </w:tcPr>
          <w:p>
            <w:pPr>
              <w:jc w:val="left"/>
            </w:pPr>
            <w:r>
              <w:rPr>
                <w:rFonts w:ascii="Cambria" w:hAnsi="Cambria"/>
                <w:b w:val="0"/>
                <w:i w:val="0"/>
                <w:color w:val="000000"/>
                <w:sz w:val="20"/>
              </w:rPr>
              <w:t>IA</w:t>
            </w:r>
          </w:p>
        </w:tc>
        <w:tc>
          <w:tcPr>
            <w:tcW w:type="dxa" w:w="2433"/>
            <w:shd w:val="clear" w:color="auto" w:fill="ffffff"/>
            <w:tcMar>
              <w:top w:w="60" w:type="dxa"/>
              <w:bottom w:w="60" w:type="dxa"/>
              <w:start w:w="80" w:type="dxa"/>
              <w:end w:w="80" w:type="dxa"/>
            </w:tcMar>
          </w:tcPr>
          <w:p>
            <w:pPr>
              <w:jc w:val="left"/>
            </w:pPr>
            <w:r>
              <w:rPr>
                <w:rFonts w:ascii="Cambria" w:hAnsi="Cambria"/>
                <w:b w:val="0"/>
                <w:i w:val="0"/>
                <w:color w:val="000000"/>
                <w:sz w:val="20"/>
              </w:rPr>
              <w:t>TERT</w:t>
              <w:br/>
              <w:t>NM 198253.3</w:t>
              <w:br/>
              <w:t>_</w:t>
            </w:r>
          </w:p>
        </w:tc>
        <w:tc>
          <w:tcPr>
            <w:tcW w:type="dxa" w:w="3041"/>
            <w:shd w:val="clear" w:color="auto" w:fill="f8fafc"/>
            <w:tcMar>
              <w:top w:w="60" w:type="dxa"/>
              <w:bottom w:w="60" w:type="dxa"/>
              <w:start w:w="80" w:type="dxa"/>
              <w:end w:w="80" w:type="dxa"/>
            </w:tcMar>
          </w:tcPr>
          <w:p>
            <w:pPr>
              <w:jc w:val="left"/>
            </w:pPr>
            <w:r>
              <w:rPr>
                <w:rFonts w:ascii="Cambria" w:hAnsi="Cambria"/>
                <w:b w:val="0"/>
                <w:i w:val="0"/>
                <w:color w:val="000000"/>
                <w:sz w:val="20"/>
              </w:rPr>
              <w:t>c.-124C&gt;T</w:t>
              <w:br/>
              <w:t>(Upstream Mutation)</w:t>
            </w:r>
          </w:p>
        </w:tc>
        <w:tc>
          <w:tcPr>
            <w:tcW w:type="dxa" w:w="1435"/>
            <w:shd w:val="clear" w:color="auto" w:fill="ffffff"/>
            <w:tcMar>
              <w:top w:w="60" w:type="dxa"/>
              <w:bottom w:w="60" w:type="dxa"/>
              <w:start w:w="80" w:type="dxa"/>
              <w:end w:w="80" w:type="dxa"/>
            </w:tcMar>
          </w:tcPr>
          <w:p>
            <w:pPr>
              <w:jc w:val="left"/>
            </w:pPr>
            <w:r>
              <w:rPr>
                <w:rFonts w:ascii="Cambria" w:hAnsi="Cambria"/>
                <w:b w:val="0"/>
                <w:i w:val="0"/>
                <w:color w:val="000000"/>
                <w:sz w:val="22"/>
              </w:rPr>
              <w:t>-</w:t>
            </w:r>
          </w:p>
        </w:tc>
        <w:tc>
          <w:tcPr>
            <w:tcW w:type="dxa" w:w="2121"/>
            <w:shd w:val="clear" w:color="auto" w:fill="ffffff"/>
            <w:tcMar>
              <w:top w:w="60" w:type="dxa"/>
              <w:bottom w:w="60" w:type="dxa"/>
              <w:start w:w="80" w:type="dxa"/>
              <w:end w:w="80" w:type="dxa"/>
            </w:tcMar>
          </w:tcPr>
          <w:p>
            <w:pPr>
              <w:jc w:val="right"/>
            </w:pPr>
            <w:r>
              <w:rPr>
                <w:rFonts w:ascii="Cambria" w:hAnsi="Cambria"/>
                <w:b w:val="0"/>
                <w:i w:val="0"/>
                <w:color w:val="000000"/>
                <w:sz w:val="20"/>
              </w:rPr>
              <w:t>410x / 36.36%</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2"/>
        </w:rPr>
        <w:t>Genetic test results are reported based on the recommendations of AMP-ASCO-CAP guidelines. **Public data sources included in relevant targeted therapies, guidelines: EMA, FDA, ESMO, NCCN.</w:t>
      </w:r>
    </w:p>
    <w:p>
      <w:pPr>
        <w:sectPr>
          <w:headerReference w:type="default" r:id="rId9"/>
          <w:footerReference w:type="default" r:id="rId10"/>
          <w:headerReference w:type="first" r:id="rId42"/>
          <w:headerReference w:type="even" r:id="rId43"/>
          <w:footerReference w:type="first" r:id="rId44"/>
          <w:footerReference w:type="even" r:id="rId45"/>
          <w:pgSz w:w="11906" w:h="16838"/>
          <w:pgMar w:top="1728" w:right="720" w:bottom="800" w:left="720" w:header="720" w:footer="720" w:gutter="0"/>
          <w:cols w:space="720"/>
          <w:docGrid w:linePitch="360"/>
        </w:sectPr>
      </w:pPr>
    </w:p>
    <w:p>
      <w:pPr>
        <w:keepNext/>
        <w:spacing w:before="360" w:after="60"/>
        <w:jc w:val="left"/>
      </w:pPr>
      <w:r>
        <w:rPr>
          <w:rFonts w:ascii="Cambria" w:hAnsi="Cambria"/>
          <w:b/>
          <w:i w:val="0"/>
          <w:color w:val="1F497D"/>
          <w:sz w:val="22"/>
        </w:rPr>
        <w:t>Biomarkers Results:</w:t>
      </w:r>
    </w:p>
    <w:p>
      <w:pPr>
        <w:spacing w:before="0" w:after="24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929"/>
            <w:shd w:val="clear" w:color="auto" w:fill="008080"/>
            <w:tcMar>
              <w:top w:w="60" w:type="dxa"/>
              <w:bottom w:w="60" w:type="dxa"/>
              <w:start w:w="80" w:type="dxa"/>
              <w:end w:w="80" w:type="dxa"/>
            </w:tcMar>
          </w:tcPr>
          <w:p>
            <w:pPr>
              <w:jc w:val="center"/>
            </w:pPr>
            <w:r>
              <w:rPr>
                <w:rFonts w:ascii="Cambria" w:hAnsi="Cambria"/>
                <w:b/>
                <w:color w:val="FFFFFF"/>
                <w:sz w:val="22"/>
              </w:rPr>
              <w:t>Assay Biomarker</w:t>
            </w:r>
          </w:p>
        </w:tc>
        <w:tc>
          <w:tcPr>
            <w:tcW w:type="dxa" w:w="1669"/>
            <w:shd w:val="clear" w:color="auto" w:fill="008080"/>
            <w:tcMar>
              <w:top w:w="60" w:type="dxa"/>
              <w:bottom w:w="60" w:type="dxa"/>
              <w:start w:w="80" w:type="dxa"/>
              <w:end w:w="80" w:type="dxa"/>
            </w:tcMar>
          </w:tcPr>
          <w:p>
            <w:pPr>
              <w:jc w:val="center"/>
            </w:pPr>
            <w:r>
              <w:rPr>
                <w:rFonts w:ascii="Cambria" w:hAnsi="Cambria"/>
                <w:b/>
                <w:color w:val="FFFFFF"/>
                <w:sz w:val="22"/>
              </w:rPr>
              <w:t>Result</w:t>
            </w:r>
          </w:p>
        </w:tc>
        <w:tc>
          <w:tcPr>
            <w:tcW w:type="dxa" w:w="5868"/>
            <w:shd w:val="clear" w:color="auto" w:fill="008080"/>
            <w:tcMar>
              <w:top w:w="60" w:type="dxa"/>
              <w:bottom w:w="60" w:type="dxa"/>
              <w:start w:w="80" w:type="dxa"/>
              <w:end w:w="80" w:type="dxa"/>
            </w:tcMar>
          </w:tcPr>
          <w:p>
            <w:pPr>
              <w:jc w:val="center"/>
            </w:pPr>
            <w:r>
              <w:rPr>
                <w:rFonts w:ascii="Cambria" w:hAnsi="Cambria"/>
                <w:b/>
                <w:color w:val="FFFFFF"/>
                <w:sz w:val="22"/>
              </w:rPr>
              <w:t>Interpretation</w:t>
            </w:r>
          </w:p>
        </w:tc>
      </w:tr>
      <w:tr>
        <w:trPr>
          <w:cantSplit w:val="true"/>
        </w:trPr>
        <w:tc>
          <w:tcPr>
            <w:tcW w:type="dxa" w:w="2929"/>
            <w:shd w:val="clear" w:color="auto" w:fill="f8f8f8"/>
            <w:tcMar>
              <w:top w:w="60" w:type="dxa"/>
              <w:bottom w:w="60" w:type="dxa"/>
              <w:start w:w="80" w:type="dxa"/>
              <w:end w:w="80" w:type="dxa"/>
            </w:tcMar>
          </w:tcPr>
          <w:p>
            <w:pPr>
              <w:jc w:val="left"/>
            </w:pPr>
            <w:r>
              <w:rPr>
                <w:rFonts w:ascii="Cambria" w:hAnsi="Cambria"/>
                <w:b w:val="0"/>
                <w:i w:val="0"/>
                <w:color w:val="000000"/>
                <w:sz w:val="20"/>
              </w:rPr>
              <w:t>Microsatellite Instability (MSI)</w:t>
            </w:r>
          </w:p>
        </w:tc>
        <w:tc>
          <w:tcPr>
            <w:tcW w:type="dxa" w:w="1669"/>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5868"/>
            <w:shd w:val="clear" w:color="auto" w:fill="f8f8f8"/>
            <w:tcMar>
              <w:top w:w="60" w:type="dxa"/>
              <w:bottom w:w="60" w:type="dxa"/>
              <w:start w:w="80" w:type="dxa"/>
              <w:end w:w="80" w:type="dxa"/>
            </w:tcMar>
          </w:tcPr>
          <w:p>
            <w:pPr>
              <w:jc w:val="right"/>
            </w:pPr>
            <w:r>
              <w:rPr>
                <w:rFonts w:ascii="Cambria" w:hAnsi="Cambria"/>
                <w:b w:val="0"/>
                <w:i w:val="0"/>
                <w:color w:val="000000"/>
                <w:sz w:val="20"/>
              </w:rPr>
              <w:t>Stable Microsatellite detected</w:t>
            </w:r>
          </w:p>
        </w:tc>
      </w:tr>
      <w:tr>
        <w:trPr>
          <w:cantSplit w:val="true"/>
        </w:trPr>
        <w:tc>
          <w:tcPr>
            <w:tcW w:type="dxa" w:w="2929"/>
            <w:shd w:val="clear" w:color="auto" w:fill="ffffff"/>
            <w:tcMar>
              <w:top w:w="60" w:type="dxa"/>
              <w:bottom w:w="60" w:type="dxa"/>
              <w:start w:w="80" w:type="dxa"/>
              <w:end w:w="80" w:type="dxa"/>
            </w:tcMar>
          </w:tcPr>
          <w:p>
            <w:pPr>
              <w:jc w:val="left"/>
            </w:pPr>
            <w:r>
              <w:rPr>
                <w:rFonts w:ascii="Cambria" w:hAnsi="Cambria"/>
                <w:b w:val="0"/>
                <w:i w:val="0"/>
                <w:color w:val="000000"/>
                <w:sz w:val="20"/>
              </w:rPr>
              <w:t>MGMT Methylation Status</w:t>
            </w:r>
          </w:p>
        </w:tc>
        <w:tc>
          <w:tcPr>
            <w:tcW w:type="dxa" w:w="1669"/>
            <w:shd w:val="clear" w:color="auto" w:fill="ffffff"/>
            <w:tcMar>
              <w:top w:w="60" w:type="dxa"/>
              <w:bottom w:w="60" w:type="dxa"/>
              <w:start w:w="80" w:type="dxa"/>
              <w:end w:w="80" w:type="dxa"/>
            </w:tcMar>
          </w:tcPr>
          <w:p>
            <w:pPr>
              <w:jc w:val="left"/>
            </w:pPr>
            <w:r>
              <w:rPr>
                <w:rFonts w:ascii="Cambria" w:hAnsi="Cambria"/>
                <w:b w:val="0"/>
                <w:i w:val="0"/>
                <w:color w:val="FF0000"/>
                <w:sz w:val="32"/>
              </w:rPr>
              <w:t>Positive</w:t>
            </w:r>
          </w:p>
        </w:tc>
        <w:tc>
          <w:tcPr>
            <w:tcW w:type="dxa" w:w="5868"/>
            <w:shd w:val="clear" w:color="auto" w:fill="ffffff"/>
            <w:tcMar>
              <w:top w:w="60" w:type="dxa"/>
              <w:bottom w:w="60" w:type="dxa"/>
              <w:start w:w="80" w:type="dxa"/>
              <w:end w:w="80" w:type="dxa"/>
            </w:tcMar>
          </w:tcPr>
          <w:p>
            <w:pPr>
              <w:jc w:val="right"/>
            </w:pPr>
            <w:r>
              <w:rPr>
                <w:rFonts w:ascii="Cambria" w:hAnsi="Cambria"/>
                <w:b w:val="0"/>
                <w:i w:val="0"/>
                <w:color w:val="FF0000"/>
                <w:sz w:val="20"/>
              </w:rPr>
              <w:t>MGMT Methylation and TERT C228T, IDH1 R132H Mutation</w:t>
              <w:br/>
              <w:t>Detected</w:t>
            </w:r>
          </w:p>
        </w:tc>
      </w:tr>
      <w:tr>
        <w:trPr>
          <w:cantSplit w:val="true"/>
        </w:trPr>
        <w:tc>
          <w:tcPr>
            <w:tcW w:type="dxa" w:w="2929"/>
            <w:shd w:val="clear" w:color="auto" w:fill="f8f8f8"/>
            <w:tcMar>
              <w:top w:w="60" w:type="dxa"/>
              <w:bottom w:w="60" w:type="dxa"/>
              <w:start w:w="80" w:type="dxa"/>
              <w:end w:w="80" w:type="dxa"/>
            </w:tcMar>
          </w:tcPr>
          <w:p>
            <w:pPr>
              <w:jc w:val="left"/>
            </w:pPr>
            <w:r>
              <w:rPr>
                <w:rFonts w:ascii="Cambria" w:hAnsi="Cambria"/>
                <w:b w:val="0"/>
                <w:i w:val="0"/>
                <w:color w:val="000000"/>
                <w:sz w:val="20"/>
              </w:rPr>
              <w:t>FISH 1p19q Co-Deletion</w:t>
            </w:r>
          </w:p>
        </w:tc>
        <w:tc>
          <w:tcPr>
            <w:tcW w:type="dxa" w:w="1669"/>
            <w:shd w:val="clear" w:color="auto" w:fill="f8f8f8"/>
            <w:tcMar>
              <w:top w:w="60" w:type="dxa"/>
              <w:bottom w:w="60" w:type="dxa"/>
              <w:start w:w="80" w:type="dxa"/>
              <w:end w:w="80" w:type="dxa"/>
            </w:tcMar>
          </w:tcPr>
          <w:p>
            <w:pPr>
              <w:jc w:val="left"/>
            </w:pPr>
            <w:r>
              <w:rPr>
                <w:rFonts w:ascii="Cambria" w:hAnsi="Cambria"/>
                <w:b w:val="0"/>
                <w:i w:val="0"/>
                <w:color w:val="FF0000"/>
                <w:sz w:val="32"/>
              </w:rPr>
              <w:t>Positive</w:t>
            </w:r>
          </w:p>
        </w:tc>
        <w:tc>
          <w:tcPr>
            <w:tcW w:type="dxa" w:w="5868"/>
            <w:shd w:val="clear" w:color="auto" w:fill="f8f8f8"/>
            <w:tcMar>
              <w:top w:w="60" w:type="dxa"/>
              <w:bottom w:w="60" w:type="dxa"/>
              <w:start w:w="80" w:type="dxa"/>
              <w:end w:w="80" w:type="dxa"/>
            </w:tcMar>
          </w:tcPr>
          <w:p>
            <w:pPr>
              <w:jc w:val="right"/>
            </w:pPr>
            <w:r>
              <w:rPr>
                <w:rFonts w:ascii="Cambria" w:hAnsi="Cambria"/>
                <w:b w:val="0"/>
                <w:i w:val="0"/>
                <w:color w:val="FF0000"/>
                <w:sz w:val="20"/>
              </w:rPr>
              <w:t>nuc ish(1p36×1,1q25×2)[45] / nuc ish(1p36×2,1q25×2)[05]</w:t>
              <w:br/>
              <w:t>nuc ish(19q13×1,19p13×2)[48] / nuc ish(19q13×2,19p13×2)[03]</w:t>
            </w:r>
          </w:p>
        </w:tc>
      </w:tr>
    </w:tbl>
    <w:p>
      <w:pPr>
        <w:spacing w:before="0" w:after="120" w:line="20" w:lineRule="exact"/>
      </w:pPr>
      <w:r>
        <w:rPr>
          <w:sz w:val="2"/>
        </w:rPr>
      </w:r>
    </w:p>
    <w:p>
      <w:pPr>
        <w:keepNext/>
        <w:spacing w:before="338" w:after="60"/>
        <w:jc w:val="left"/>
      </w:pPr>
      <w:r>
        <w:rPr>
          <w:rFonts w:ascii="Cambria" w:hAnsi="Cambria"/>
          <w:b/>
          <w:i w:val="0"/>
          <w:color w:val="1F497D"/>
          <w:sz w:val="22"/>
        </w:rPr>
        <w:t>MLPA Findings:</w:t>
      </w:r>
    </w:p>
    <w:p>
      <w:pPr>
        <w:keepNext/>
        <w:spacing w:before="342" w:after="60"/>
        <w:jc w:val="left"/>
      </w:pPr>
      <w:r>
        <w:rPr>
          <w:rFonts w:ascii="Cambria" w:hAnsi="Cambria"/>
          <w:b/>
          <w:i w:val="0"/>
          <w:color w:val="1F497D"/>
          <w:sz w:val="22"/>
        </w:rPr>
        <w:t>Data from Clinical Sample</w:t>
      </w:r>
    </w:p>
    <w:p>
      <w:pPr>
        <w:spacing w:before="97" w:after="120"/>
        <w:jc w:val="center"/>
      </w:pPr>
      <w:r>
        <w:drawing>
          <wp:inline xmlns:a="http://schemas.openxmlformats.org/drawingml/2006/main" xmlns:pic="http://schemas.openxmlformats.org/drawingml/2006/picture">
            <wp:extent cx="5486400" cy="3660085"/>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660085"/>
                    </a:xfrm>
                    <a:prstGeom prst="rect"/>
                  </pic:spPr>
                </pic:pic>
              </a:graphicData>
            </a:graphic>
          </wp:inline>
        </w:drawing>
      </w:r>
    </w:p>
    <w:p>
      <w:pPr>
        <w:sectPr>
          <w:headerReference w:type="default" r:id="rId11"/>
          <w:footerReference w:type="default" r:id="rId12"/>
          <w:pgSz w:w="11906" w:h="16838"/>
          <w:pgMar w:top="1728" w:right="720" w:bottom="800" w:left="720" w:header="720" w:footer="720" w:gutter="0"/>
          <w:cols w:space="720"/>
          <w:docGrid w:linePitch="360"/>
        </w:sectPr>
      </w:pPr>
    </w:p>
    <w:p>
      <w:pPr>
        <w:keepNext/>
        <w:spacing w:before="360" w:after="60"/>
        <w:jc w:val="left"/>
      </w:pPr>
      <w:r>
        <w:rPr>
          <w:rFonts w:ascii="Cambria" w:hAnsi="Cambria"/>
          <w:b/>
          <w:i w:val="0"/>
          <w:color w:val="1F497D"/>
          <w:sz w:val="22"/>
        </w:rPr>
        <w:t>FISH Findings:</w:t>
      </w:r>
    </w:p>
    <w:p>
      <w:pPr>
        <w:keepNext/>
        <w:spacing w:before="347" w:after="60"/>
        <w:jc w:val="left"/>
      </w:pPr>
      <w:r>
        <w:rPr>
          <w:rFonts w:ascii="Cambria" w:hAnsi="Cambria"/>
          <w:b/>
          <w:i w:val="0"/>
          <w:color w:val="1F497D"/>
          <w:sz w:val="22"/>
        </w:rPr>
        <w:t>Data from Clinical Sample</w:t>
      </w:r>
    </w:p>
    <w:p>
      <w:pPr>
        <w:spacing w:before="0" w:after="120"/>
        <w:jc w:val="center"/>
      </w:pPr>
      <w:r>
        <w:drawing>
          <wp:inline xmlns:a="http://schemas.openxmlformats.org/drawingml/2006/main" xmlns:pic="http://schemas.openxmlformats.org/drawingml/2006/picture">
            <wp:extent cx="5486400" cy="3021326"/>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021326"/>
                    </a:xfrm>
                    <a:prstGeom prst="rect"/>
                  </pic:spPr>
                </pic:pic>
              </a:graphicData>
            </a:graphic>
          </wp:inline>
        </w:drawing>
      </w:r>
    </w:p>
    <w:p>
      <w:pPr>
        <w:keepNext/>
        <w:spacing w:before="360" w:after="80"/>
        <w:jc w:val="left"/>
      </w:pPr>
      <w:r>
        <w:rPr>
          <w:rFonts w:ascii="Cambria" w:hAnsi="Cambria"/>
          <w:b/>
          <w:i w:val="0"/>
          <w:color w:val="1F497D"/>
          <w:sz w:val="24"/>
        </w:rPr>
        <w:t>Clinical Significance:</w:t>
      </w:r>
    </w:p>
    <w:p>
      <w:pPr>
        <w:spacing w:before="0" w:after="24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090"/>
            <w:shd w:val="clear" w:color="auto" w:fill="008080"/>
            <w:tcMar>
              <w:top w:w="60" w:type="dxa"/>
              <w:bottom w:w="60" w:type="dxa"/>
              <w:start w:w="80" w:type="dxa"/>
              <w:end w:w="80" w:type="dxa"/>
            </w:tcMar>
          </w:tcPr>
          <w:p>
            <w:pPr>
              <w:jc w:val="center"/>
            </w:pPr>
            <w:r>
              <w:rPr>
                <w:rFonts w:ascii="Cambria" w:hAnsi="Cambria"/>
                <w:b/>
                <w:color w:val="FFFFFF"/>
                <w:sz w:val="22"/>
              </w:rPr>
              <w:t>Variant</w:t>
            </w:r>
          </w:p>
        </w:tc>
        <w:tc>
          <w:tcPr>
            <w:tcW w:type="dxa" w:w="3688"/>
            <w:shd w:val="clear" w:color="auto" w:fill="008080"/>
            <w:tcMar>
              <w:top w:w="60" w:type="dxa"/>
              <w:bottom w:w="60" w:type="dxa"/>
              <w:start w:w="80" w:type="dxa"/>
              <w:end w:w="80" w:type="dxa"/>
            </w:tcMar>
          </w:tcPr>
          <w:p>
            <w:pPr>
              <w:jc w:val="center"/>
            </w:pPr>
            <w:r>
              <w:rPr>
                <w:rFonts w:ascii="Cambria" w:hAnsi="Cambria"/>
                <w:b/>
                <w:color w:val="FFFFFF"/>
                <w:sz w:val="22"/>
              </w:rPr>
              <w:t>Therapy</w:t>
            </w:r>
          </w:p>
        </w:tc>
        <w:tc>
          <w:tcPr>
            <w:tcW w:type="dxa" w:w="3688"/>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r>
      <w:tr>
        <w:trPr>
          <w:cantSplit w:val="true"/>
        </w:trPr>
        <w:tc>
          <w:tcPr>
            <w:tcW w:type="dxa" w:w="3090"/>
            <w:shd w:val="clear" w:color="auto" w:fill="a5a6a5"/>
            <w:tcMar>
              <w:top w:w="60" w:type="dxa"/>
              <w:bottom w:w="60" w:type="dxa"/>
              <w:start w:w="80" w:type="dxa"/>
              <w:end w:w="80" w:type="dxa"/>
            </w:tcMar>
          </w:tcPr>
          <w:p>
            <w:pPr>
              <w:jc w:val="left"/>
            </w:pPr>
            <w:r>
              <w:rPr>
                <w:rFonts w:ascii="Times New Roman" w:hAnsi="Times New Roman"/>
                <w:b w:val="0"/>
                <w:i w:val="0"/>
                <w:color w:val="000000"/>
                <w:sz w:val="19"/>
              </w:rPr>
            </w:r>
          </w:p>
        </w:tc>
        <w:tc>
          <w:tcPr>
            <w:tcW w:type="dxa" w:w="3688"/>
            <w:shd w:val="clear" w:color="auto" w:fill="a5a6a5"/>
            <w:tcMar>
              <w:top w:w="60" w:type="dxa"/>
              <w:bottom w:w="60" w:type="dxa"/>
              <w:start w:w="80" w:type="dxa"/>
              <w:end w:w="80" w:type="dxa"/>
            </w:tcMar>
          </w:tcPr>
          <w:p>
            <w:pPr>
              <w:jc w:val="center"/>
            </w:pPr>
            <w:r>
              <w:rPr>
                <w:rFonts w:ascii="Cambria" w:hAnsi="Cambria"/>
                <w:b/>
                <w:i w:val="0"/>
                <w:color w:val="FFFFFF"/>
                <w:sz w:val="22"/>
              </w:rPr>
              <w:t>In This Cancer</w:t>
            </w:r>
          </w:p>
        </w:tc>
        <w:tc>
          <w:tcPr>
            <w:tcW w:type="dxa" w:w="3688"/>
            <w:shd w:val="clear" w:color="auto" w:fill="a5a6a5"/>
            <w:tcMar>
              <w:top w:w="60" w:type="dxa"/>
              <w:bottom w:w="60" w:type="dxa"/>
              <w:start w:w="80" w:type="dxa"/>
              <w:end w:w="80" w:type="dxa"/>
            </w:tcMar>
          </w:tcPr>
          <w:p>
            <w:pPr>
              <w:jc w:val="right"/>
            </w:pPr>
            <w:r>
              <w:rPr>
                <w:rFonts w:ascii="Cambria" w:hAnsi="Cambria"/>
                <w:b/>
                <w:i w:val="0"/>
                <w:color w:val="FFFFFF"/>
                <w:sz w:val="22"/>
              </w:rPr>
              <w:t>In Other Cancer</w:t>
            </w:r>
          </w:p>
        </w:tc>
      </w:tr>
      <w:tr>
        <w:trPr>
          <w:cantSplit w:val="true"/>
        </w:trPr>
        <w:tc>
          <w:tcPr>
            <w:tcW w:type="dxa" w:w="3090"/>
            <w:shd w:val="clear" w:color="auto" w:fill="d8d9d8"/>
            <w:tcMar>
              <w:top w:w="60" w:type="dxa"/>
              <w:bottom w:w="60" w:type="dxa"/>
              <w:start w:w="80" w:type="dxa"/>
              <w:end w:w="80" w:type="dxa"/>
            </w:tcMar>
          </w:tcPr>
          <w:p>
            <w:pPr>
              <w:jc w:val="left"/>
            </w:pPr>
            <w:r>
              <w:rPr>
                <w:rFonts w:ascii="Cambria" w:hAnsi="Cambria"/>
                <w:b w:val="0"/>
                <w:i w:val="0"/>
                <w:color w:val="000000"/>
                <w:sz w:val="20"/>
              </w:rPr>
              <w:t>IA</w:t>
              <w:br/>
              <w:t>IDH1</w:t>
              <w:br/>
              <w:t>p.(R132H)</w:t>
            </w:r>
          </w:p>
        </w:tc>
        <w:tc>
          <w:tcPr>
            <w:tcW w:type="dxa" w:w="3688"/>
            <w:shd w:val="clear" w:color="auto" w:fill="f8f8f8"/>
            <w:tcMar>
              <w:top w:w="60" w:type="dxa"/>
              <w:bottom w:w="60" w:type="dxa"/>
              <w:start w:w="80" w:type="dxa"/>
              <w:end w:w="80" w:type="dxa"/>
            </w:tcMar>
          </w:tcPr>
          <w:p>
            <w:pPr>
              <w:jc w:val="center"/>
            </w:pPr>
            <w:r>
              <w:rPr>
                <w:rFonts w:ascii="Cambria" w:hAnsi="Cambria"/>
                <w:b w:val="0"/>
                <w:i w:val="0"/>
                <w:color w:val="006666"/>
                <w:sz w:val="24"/>
              </w:rPr>
              <w:t>▪ivosidenib</w:t>
              <w:br/>
              <w:t>▪vorasidenib</w:t>
            </w:r>
          </w:p>
        </w:tc>
        <w:tc>
          <w:tcPr>
            <w:tcW w:type="dxa" w:w="3688"/>
            <w:shd w:val="clear" w:color="auto" w:fill="f8f8f8"/>
            <w:tcMar>
              <w:top w:w="60" w:type="dxa"/>
              <w:bottom w:w="60" w:type="dxa"/>
              <w:start w:w="80" w:type="dxa"/>
              <w:end w:w="80" w:type="dxa"/>
            </w:tcMar>
          </w:tcPr>
          <w:p>
            <w:pPr>
              <w:jc w:val="right"/>
            </w:pPr>
            <w:r>
              <w:rPr>
                <w:rFonts w:ascii="Cambria" w:hAnsi="Cambria"/>
                <w:b w:val="0"/>
                <w:i w:val="0"/>
                <w:color w:val="006666"/>
                <w:sz w:val="24"/>
              </w:rPr>
              <w:t>▪ivosidenib</w:t>
              <w:br/>
              <w:t>▪vorasidenib</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559"/>
            <w:shd w:val="clear" w:color="auto" w:fill="008080"/>
            <w:tcMar>
              <w:top w:w="60" w:type="dxa"/>
              <w:bottom w:w="60" w:type="dxa"/>
              <w:start w:w="80" w:type="dxa"/>
              <w:end w:w="80" w:type="dxa"/>
            </w:tcMar>
          </w:tcPr>
          <w:p>
            <w:pPr>
              <w:jc w:val="center"/>
            </w:pPr>
            <w:r>
              <w:rPr>
                <w:rFonts w:ascii="Cambria" w:hAnsi="Cambria"/>
                <w:b/>
                <w:color w:val="FFFFFF"/>
                <w:sz w:val="22"/>
              </w:rPr>
              <w:t>Variant</w:t>
            </w:r>
          </w:p>
        </w:tc>
        <w:tc>
          <w:tcPr>
            <w:tcW w:type="dxa" w:w="4657"/>
            <w:shd w:val="clear" w:color="auto" w:fill="008080"/>
            <w:tcMar>
              <w:top w:w="60" w:type="dxa"/>
              <w:bottom w:w="60" w:type="dxa"/>
              <w:start w:w="80" w:type="dxa"/>
              <w:end w:w="80" w:type="dxa"/>
            </w:tcMar>
          </w:tcPr>
          <w:p>
            <w:pPr>
              <w:jc w:val="center"/>
            </w:pPr>
            <w:r>
              <w:rPr>
                <w:rFonts w:ascii="Cambria" w:hAnsi="Cambria"/>
                <w:b/>
                <w:color w:val="FFFFFF"/>
                <w:sz w:val="22"/>
              </w:rPr>
              <w:t>Diagnostic Significance</w:t>
            </w:r>
          </w:p>
        </w:tc>
        <w:tc>
          <w:tcPr>
            <w:tcW w:type="dxa" w:w="3249"/>
            <w:shd w:val="clear" w:color="auto" w:fill="008080"/>
            <w:tcMar>
              <w:top w:w="60" w:type="dxa"/>
              <w:bottom w:w="60" w:type="dxa"/>
              <w:start w:w="80" w:type="dxa"/>
              <w:end w:w="80" w:type="dxa"/>
            </w:tcMar>
          </w:tcPr>
          <w:p>
            <w:pPr>
              <w:jc w:val="center"/>
            </w:pPr>
            <w:r>
              <w:rPr>
                <w:rFonts w:ascii="Cambria" w:hAnsi="Cambria"/>
                <w:b/>
                <w:color w:val="FFFFFF"/>
                <w:sz w:val="22"/>
              </w:rPr>
              <w:t>Prognostic Significance</w:t>
            </w:r>
          </w:p>
        </w:tc>
      </w:tr>
      <w:tr>
        <w:trPr>
          <w:cantSplit w:val="true"/>
        </w:trPr>
        <w:tc>
          <w:tcPr>
            <w:tcW w:type="dxa" w:w="2559"/>
            <w:shd w:val="clear" w:color="auto" w:fill="d8d9d8"/>
            <w:tcMar>
              <w:top w:w="60" w:type="dxa"/>
              <w:bottom w:w="60" w:type="dxa"/>
              <w:start w:w="80" w:type="dxa"/>
              <w:end w:w="80" w:type="dxa"/>
            </w:tcMar>
          </w:tcPr>
          <w:p>
            <w:pPr>
              <w:jc w:val="left"/>
            </w:pPr>
            <w:r>
              <w:rPr>
                <w:rFonts w:ascii="Cambria" w:hAnsi="Cambria"/>
                <w:b w:val="0"/>
                <w:i w:val="0"/>
                <w:color w:val="000000"/>
                <w:sz w:val="20"/>
              </w:rPr>
              <w:t>IDH1</w:t>
              <w:br/>
              <w:t>p.(R132H)</w:t>
            </w:r>
          </w:p>
        </w:tc>
        <w:tc>
          <w:tcPr>
            <w:tcW w:type="dxa" w:w="4657"/>
            <w:shd w:val="clear" w:color="auto" w:fill="f8f8f8"/>
            <w:tcMar>
              <w:top w:w="60" w:type="dxa"/>
              <w:bottom w:w="60" w:type="dxa"/>
              <w:start w:w="80" w:type="dxa"/>
              <w:end w:w="80" w:type="dxa"/>
            </w:tcMar>
          </w:tcPr>
          <w:p>
            <w:pPr>
              <w:jc w:val="left"/>
            </w:pPr>
            <w:r>
              <w:rPr>
                <w:rFonts w:ascii="Cambria" w:hAnsi="Cambria"/>
                <w:b w:val="0"/>
                <w:i w:val="0"/>
                <w:color w:val="000000"/>
                <w:sz w:val="20"/>
              </w:rPr>
              <w:t>Page 3 of 15</w:t>
              <w:br/>
              <w:t>Astrocytoma IDH-mutant (Grade 4)</w:t>
            </w:r>
          </w:p>
        </w:tc>
        <w:tc>
          <w:tcPr>
            <w:tcW w:type="dxa" w:w="3249"/>
            <w:shd w:val="clear" w:color="auto" w:fill="f8f8f8"/>
            <w:tcMar>
              <w:top w:w="60" w:type="dxa"/>
              <w:bottom w:w="60" w:type="dxa"/>
              <w:start w:w="80" w:type="dxa"/>
              <w:end w:w="80" w:type="dxa"/>
            </w:tcMar>
          </w:tcPr>
          <w:p>
            <w:pPr>
              <w:jc w:val="right"/>
            </w:pPr>
            <w:r>
              <w:rPr>
                <w:rFonts w:ascii="Cambria" w:hAnsi="Cambria"/>
                <w:b w:val="0"/>
                <w:i w:val="0"/>
                <w:color w:val="000000"/>
                <w:sz w:val="20"/>
              </w:rPr>
              <w:t>NCCN: Favorable</w:t>
            </w:r>
          </w:p>
        </w:tc>
      </w:tr>
    </w:tbl>
    <w:p>
      <w:pPr>
        <w:spacing w:before="0" w:after="120" w:line="20" w:lineRule="exact"/>
      </w:pPr>
      <w:r>
        <w:rPr>
          <w:sz w:val="2"/>
        </w:rPr>
      </w:r>
    </w:p>
    <w:p>
      <w:pPr>
        <w:sectPr>
          <w:headerReference w:type="default" r:id="rId14"/>
          <w:footerReference w:type="default" r:id="rId15"/>
          <w:pgSz w:w="11906" w:h="16838"/>
          <w:pgMar w:top="1728" w:right="720" w:bottom="800" w:left="720" w:header="720" w:footer="720" w:gutter="0"/>
          <w:cols w:space="720"/>
          <w:docGrid w:linePitch="360"/>
        </w:sectPr>
      </w:pPr>
    </w:p>
    <w:p>
      <w:pPr>
        <w:sectPr>
          <w:headerReference w:type="default" r:id="rId17"/>
          <w:footerReference w:type="default" r:id="rId18"/>
          <w:pgSz w:w="11906" w:h="16838"/>
          <w:pgMar w:top="1728" w:right="720" w:bottom="800" w:left="720" w:header="720" w:footer="720" w:gutter="0"/>
          <w:cols w:space="720"/>
          <w:docGrid w:linePitch="360"/>
        </w:sectPr>
      </w:pPr>
    </w:p>
    <w:p>
      <w:pPr>
        <w:keepNext/>
        <w:spacing w:before="360" w:after="80"/>
        <w:jc w:val="left"/>
      </w:pPr>
      <w:r>
        <w:rPr>
          <w:rFonts w:ascii="Cambria" w:hAnsi="Cambria"/>
          <w:b/>
          <w:i w:val="0"/>
          <w:color w:val="1F497D"/>
          <w:sz w:val="24"/>
        </w:rPr>
        <w:t>Biomarker Description:</w:t>
      </w:r>
    </w:p>
    <w:p>
      <w:pPr>
        <w:spacing w:before="0" w:after="23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08"/>
            <w:shd w:val="clear" w:color="auto" w:fill="008080"/>
            <w:tcMar>
              <w:top w:w="60" w:type="dxa"/>
              <w:bottom w:w="60" w:type="dxa"/>
              <w:start w:w="80" w:type="dxa"/>
              <w:end w:w="80" w:type="dxa"/>
            </w:tcMar>
          </w:tcPr>
          <w:p>
            <w:pPr>
              <w:jc w:val="center"/>
            </w:pPr>
            <w:r>
              <w:rPr>
                <w:rFonts w:ascii="Cambria" w:hAnsi="Cambria"/>
                <w:b/>
                <w:color w:val="FFFFFF"/>
                <w:sz w:val="22"/>
              </w:rPr>
              <w:t>Variant</w:t>
            </w:r>
          </w:p>
        </w:tc>
        <w:tc>
          <w:tcPr>
            <w:tcW w:type="dxa" w:w="9057"/>
            <w:shd w:val="clear" w:color="auto" w:fill="008080"/>
            <w:tcMar>
              <w:top w:w="60" w:type="dxa"/>
              <w:bottom w:w="60" w:type="dxa"/>
              <w:start w:w="80" w:type="dxa"/>
              <w:end w:w="80" w:type="dxa"/>
            </w:tcMar>
          </w:tcPr>
          <w:p>
            <w:pPr>
              <w:jc w:val="center"/>
            </w:pPr>
            <w:r>
              <w:rPr>
                <w:rFonts w:ascii="Cambria" w:hAnsi="Cambria"/>
                <w:b/>
                <w:color w:val="FFFFFF"/>
                <w:sz w:val="22"/>
              </w:rPr>
              <w:t>Biomarker Description</w:t>
            </w:r>
          </w:p>
        </w:tc>
      </w:tr>
      <w:tr>
        <w:trPr>
          <w:cantSplit w:val="true"/>
        </w:trPr>
        <w:tc>
          <w:tcPr>
            <w:tcW w:type="dxa" w:w="1408"/>
            <w:shd w:val="clear" w:color="auto" w:fill="d8d9d8"/>
            <w:tcMar>
              <w:top w:w="60" w:type="dxa"/>
              <w:bottom w:w="60" w:type="dxa"/>
              <w:start w:w="80" w:type="dxa"/>
              <w:end w:w="80" w:type="dxa"/>
            </w:tcMar>
          </w:tcPr>
          <w:p>
            <w:pPr>
              <w:jc w:val="left"/>
            </w:pPr>
            <w:r>
              <w:rPr>
                <w:rFonts w:ascii="Cambria" w:hAnsi="Cambria"/>
                <w:b w:val="0"/>
                <w:i w:val="0"/>
                <w:color w:val="000000"/>
                <w:sz w:val="20"/>
              </w:rPr>
              <w:t>IDH1</w:t>
              <w:br/>
              <w:t>NM 005896.4</w:t>
              <w:br/>
              <w:t>_</w:t>
              <w:br/>
              <w:t>chr2:209113112</w:t>
              <w:br/>
              <w:t>c.395G&gt;A</w:t>
              <w:br/>
              <w:t>p.(R132H)</w:t>
            </w:r>
          </w:p>
        </w:tc>
        <w:tc>
          <w:tcPr>
            <w:tcW w:type="dxa" w:w="9057"/>
            <w:shd w:val="clear" w:color="auto" w:fill="f8f8f8"/>
            <w:tcMar>
              <w:top w:w="60" w:type="dxa"/>
              <w:bottom w:w="60" w:type="dxa"/>
              <w:start w:w="80" w:type="dxa"/>
              <w:end w:w="80" w:type="dxa"/>
            </w:tcMar>
          </w:tcPr>
          <w:p>
            <w:pPr>
              <w:jc w:val="left"/>
            </w:pPr>
            <w:r>
              <w:rPr>
                <w:rFonts w:ascii="Cambria" w:hAnsi="Cambria"/>
                <w:b w:val="0"/>
                <w:i w:val="0"/>
                <w:color w:val="000000"/>
                <w:sz w:val="20"/>
              </w:rPr>
              <w:t>The IDH1 and IDH2 genes encode homologous isocitrate dehydrogenase enzymes that catalyze the</w:t>
              <w:br/>
              <w:t>conversion of isocitrate to α-ketoglutarate (α-KG)[1]. The IDH1 gene encodes the NADP+ dependent</w:t>
              <w:br/>
              <w:t>cytoplasmic isocitrate dehydrogenase enzyme; IDH2 encodes the mitochondrial isoform[1].</w:t>
              <w:br/>
              <w:t>Recurrent somatic mutations in IDH1 and IDH2 are mutually exclusive and observed in several</w:t>
              <w:br/>
              <w:t>malignancies, including glioma, chondrosarcoma, intrahepatic cholangiocarcinoma, acute myeloid</w:t>
              <w:br/>
              <w:t>leukemia (AML), and myelodysplastic syndrome (MDS)[2]. Recurrent IDH1 variants include</w:t>
              <w:br/>
              <w:t>predominantly R132H/C plus other substitutions at lower frequencies[3]. These gain-of-function</w:t>
              <w:br/>
              <w:t>variants confer neomorphic enzyme activity[4]. Although wild-type enzymatic activity is ablated,</w:t>
              <w:br/>
              <w:t>recurrent IDH1 variants catalyze the conversion of α-KG to D-2-hydroxyglutarate, an oncometabolite</w:t>
              <w:br/>
              <w:t>with diverse effects on cellular metabolism, epigenetic regulation, redox states, and DNA repair[1,5].</w:t>
              <w:br/>
              <w:t>Recurrent IDH1 mutations are present in 5-10% of patients with AML and 5% of patients with</w:t>
              <w:br/>
              <w:t>MDS[6,7,8]. Recurrent IDH1 mutations are present in nearly 80% of lower-grade diffuse</w:t>
              <w:br/>
              <w:t>gliomas[9,10]. Alterations in IDH1 are rare in pediatric cancers[9,10]. Somatic mutations in IDH1 are</w:t>
              <w:br/>
              <w:t>observed in 2% of glioma and less than 1% of leukemia (2 in 311 cases), B-lymphoblastic</w:t>
              <w:br/>
              <w:t>leukemia/lymphoma (1 in 252 cases), embryonal tumor (1 in 332 cases), and Wilms tumor (1 in 710</w:t>
              <w:br/>
              <w:t>cases)[9,10].</w:t>
              <w:br/>
              <w:t>The IDH1 and IDH2 inhibitor vorasidenib[11] is FDA-approved (2024) for the treatment of adults</w:t>
              <w:br/>
              <w:t>and children with Grade 2 astrocytoma and oligodendroglioma with IDH1 R132C/G/H/L/S</w:t>
              <w:br/>
              <w:t>mutations. Additionally, olutasidenib[12] (2022) and ivosidenib[13] (2018) are FDA-approved for</w:t>
              <w:br/>
              <w:t>treating IDH1 R132C/G/H/L/S variants in AML. Ivosidenib is also approved for treating</w:t>
              <w:br/>
              <w:t>myelodysplastic syndrome (MDS) and cholangiocarcinoma patients with the same IDH1</w:t>
              <w:br/>
              <w:t>variants[14]. IDH1 mutations are associated with favorable outcome in lower-grade gliomas,</w:t>
              <w:br/>
              <w:t>astrocytoma, and oligodendroglioma with 1p/19 codeletion[15,16,17]. Conversely, IDH1 mutations</w:t>
              <w:br/>
              <w:t>are associated with inferior leukemia-free survival in primary myelofibrosis (PMF)[18,19].</w:t>
              <w:br/>
              <w:t>Mutations in IDH1 are diagnostic of IDH-mutated astrocytoma and oligodendroglioma with 1p/19q-</w:t>
              <w:br/>
              <w:t>codeletion subtypes of central nervous system (CNS) tumors[15,20].</w:t>
              <w:br/>
              <w:t>ivosidenib</w:t>
              <w:br/>
              <w:t>TIBSOVO® is an isocitrate dehydrogenase-1 (IDH1) inhibitor indicated for the treatment of adult</w:t>
              <w:br/>
              <w:t>patients with a susceptible IDH1 mutation as detected by an FDA-approved test with:</w:t>
              <w:br/>
              <w:t>Newly Diagnosed Acute Myeloid Leukemia (AML)</w:t>
              <w:br/>
              <w:t>Page 5 of 15</w:t>
              <w:br/>
              <w:t>• In combination with azacitidine or as monotherapy for the treatment of newly diagnosed AML in</w:t>
              <w:br/>
              <w:t>adults 75 years or older, or who have comorbidities that preclude use of intensive induction</w:t>
            </w:r>
          </w:p>
        </w:tc>
      </w:tr>
    </w:tbl>
    <w:p>
      <w:pPr>
        <w:spacing w:before="0" w:after="120" w:line="20" w:lineRule="exact"/>
      </w:pPr>
      <w:r>
        <w:rPr>
          <w:sz w:val="2"/>
        </w:rPr>
      </w:r>
    </w:p>
    <w:p>
      <w:pPr>
        <w:sectPr>
          <w:headerReference w:type="default" r:id="rId19"/>
          <w:footerReference w:type="default" r:id="rId2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29"/>
            <w:shd w:val="clear" w:color="auto" w:fill="d8d9d8"/>
            <w:tcMar>
              <w:top w:w="60" w:type="dxa"/>
              <w:bottom w:w="60" w:type="dxa"/>
              <w:start w:w="80" w:type="dxa"/>
              <w:end w:w="80" w:type="dxa"/>
            </w:tcMar>
          </w:tcPr>
          <w:p>
            <w:pPr>
              <w:jc w:val="center"/>
            </w:pPr>
            <w:r>
              <w:rPr>
                <w:rFonts w:ascii="Times New Roman" w:hAnsi="Times New Roman"/>
                <w:b/>
                <w:color w:val="FFFFFF"/>
                <w:sz w:val="19"/>
              </w:rPr>
              <w:t>Variant</w:t>
            </w:r>
          </w:p>
        </w:tc>
        <w:tc>
          <w:tcPr>
            <w:tcW w:type="dxa" w:w="8937"/>
            <w:shd w:val="clear" w:color="auto" w:fill="f8f8f8"/>
            <w:tcMar>
              <w:top w:w="60" w:type="dxa"/>
              <w:bottom w:w="60" w:type="dxa"/>
              <w:start w:w="80" w:type="dxa"/>
              <w:end w:w="80" w:type="dxa"/>
            </w:tcMar>
          </w:tcPr>
          <w:p>
            <w:pPr>
              <w:jc w:val="center"/>
            </w:pPr>
            <w:r>
              <w:rPr>
                <w:rFonts w:ascii="Cambria" w:hAnsi="Cambria"/>
                <w:b w:val="0"/>
                <w:color w:val="000000"/>
                <w:sz w:val="20"/>
              </w:rPr>
              <w:t>Biomarker Description</w:t>
            </w:r>
          </w:p>
        </w:tc>
      </w:tr>
      <w:tr>
        <w:trPr>
          <w:cantSplit w:val="true"/>
        </w:trPr>
        <w:tc>
          <w:tcPr>
            <w:tcW w:type="dxa" w:w="1529"/>
            <w:shd w:val="clear" w:color="auto" w:fill="d8d9d8"/>
            <w:tcMar>
              <w:top w:w="60" w:type="dxa"/>
              <w:bottom w:w="60" w:type="dxa"/>
              <w:start w:w="80" w:type="dxa"/>
              <w:end w:w="80" w:type="dxa"/>
            </w:tcMar>
          </w:tcPr>
          <w:p>
            <w:pPr>
              <w:jc w:val="left"/>
            </w:pPr>
            <w:r>
              <w:rPr>
                <w:rFonts w:ascii="Cambria" w:hAnsi="Cambria"/>
                <w:b w:val="0"/>
                <w:i w:val="0"/>
                <w:color w:val="000000"/>
                <w:sz w:val="20"/>
              </w:rPr>
            </w:r>
          </w:p>
        </w:tc>
        <w:tc>
          <w:tcPr>
            <w:tcW w:type="dxa" w:w="8937"/>
            <w:shd w:val="clear" w:color="auto" w:fill="ffffff"/>
            <w:tcMar>
              <w:top w:w="60" w:type="dxa"/>
              <w:bottom w:w="60" w:type="dxa"/>
              <w:start w:w="80" w:type="dxa"/>
              <w:end w:w="80" w:type="dxa"/>
            </w:tcMar>
          </w:tcPr>
          <w:p>
            <w:pPr>
              <w:jc w:val="left"/>
            </w:pPr>
            <w:r>
              <w:rPr>
                <w:rFonts w:ascii="Cambria" w:hAnsi="Cambria"/>
                <w:b w:val="0"/>
                <w:i w:val="0"/>
                <w:color w:val="000000"/>
                <w:sz w:val="20"/>
              </w:rPr>
              <w:t>chemotherapy.</w:t>
              <w:br/>
              <w:t>Relapsed or refractory AML</w:t>
              <w:br/>
              <w:t>• For the treatment of adult patients with relapsed or refractory AML.</w:t>
              <w:br/>
              <w:t>Relapsed or refractory Myelodysplastic Syndromes (MDS)</w:t>
              <w:br/>
              <w:t>• For the treatment of adult patients with relapsed or refractory myelodysplastic syndromes.</w:t>
              <w:br/>
              <w:t>Locally Advanced or Metastatic Cholangiocarcinoma</w:t>
              <w:br/>
              <w:t>• For the treatment of adult patients with locally advanced or metastatic cholangiocarcinoma who</w:t>
              <w:br/>
              <w:t>have been previously treated.</w:t>
              <w:br/>
              <w:t>Cancer type: Cholangiocarcinoma</w:t>
            </w:r>
          </w:p>
        </w:tc>
      </w:tr>
      <w:tr>
        <w:trPr>
          <w:cantSplit w:val="true"/>
        </w:trPr>
        <w:tc>
          <w:tcPr>
            <w:tcW w:type="dxa" w:w="1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TERT</w:t>
              <w:br/>
              <w:t>NM 198253.3</w:t>
              <w:br/>
              <w:t>_</w:t>
              <w:br/>
              <w:t>chr5:1295228</w:t>
              <w:br/>
              <w:t>c.-124C&gt;T</w:t>
              <w:br/>
              <w:t>(Upstream</w:t>
              <w:br/>
              <w:t>Mutation)</w:t>
            </w:r>
          </w:p>
        </w:tc>
        <w:tc>
          <w:tcPr>
            <w:tcW w:type="dxa" w:w="893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The TERT gene encodes telomerase reverse transcriptase, a component of the telomerase core</w:t>
              <w:br/>
              <w:t>enzyme along with the internal telomerase RNA template (TERC)[21]. TERT is repressed in most</w:t>
              <w:br/>
              <w:t>differentiated cells, resulting in telomerase silencing[21]. In cancer, telomerase reactivation is</w:t>
              <w:br/>
              <w:t>known to contribute to cellular immortalization[21,22]. Increased TERT expression results in</w:t>
              <w:br/>
              <w:t>telomerase activation, allowing for unlimited cancer cell proliferation through telomere</w:t>
              <w:br/>
              <w:t>stabilization[21]. In addition to its role in telomere maintenance, TERT has RNA-dependent RNA</w:t>
              <w:br/>
              <w:t>polymerase activity, which, when deregulated, can promote oncogenesis by facilitating mitotic</w:t>
              <w:br/>
              <w:t>progression and cancer cell stemness[21].</w:t>
              <w:br/>
              <w:t>Alterations and prevalence Somatic mutations are observed in 4% of skin cutaneous</w:t>
              <w:br/>
              <w:t>melanoma and uterine corpus endometrial carcinoma, 3% of kidney renal papillary cell carcinoma,</w:t>
              <w:br/>
              <w:t>and 2% of pancreatic adenocarcinoma, stomach adenocarcinoma, and sarcoma[9,10]. Additionally,</w:t>
              <w:br/>
              <w:t>TERT promoter mutations causing upregulation are observed in many cancer types, especially non-</w:t>
              <w:br/>
              <w:t>aural cutaneous melanoma (80% of cases), and glioblastoma (70% of cases)[22]. Specifically, TERT</w:t>
              <w:br/>
              <w:t>promoter mutations at C228T and C250T are recurrent and result in de novo binding sites for ETS</w:t>
              <w:br/>
              <w:t>transcription factors, leading to enhanced TERT transcription[21]. Amplification of TERT is observed</w:t>
              <w:br/>
              <w:t>in 15% of lung squamous cell carcinoma, 14% of esophageal adenocarcinoma, 13% of adrenocortical</w:t>
              <w:br/>
              <w:t>carcinoma and lung adenocarcinoma, and 10% of bladder urothelial carcinoma, 9% of ovarian</w:t>
              <w:br/>
              <w:t>serous cystadenocarcinoma, 6% of cervical squamous cell carcinoma, 5% of liver hepatocellular</w:t>
              <w:br/>
              <w:t>carcinoma, sarcoma, skin cutaneous melanoma, stomach adenocarcinoma, head and neck squamous</w:t>
              <w:br/>
              <w:t>cell carcinoma, 4% of uterine carcinosarcoma, 3% of uterine corpus endometrial carcinoma, breast</w:t>
              <w:br/>
              <w:t>invasive carcinoma, and 2% of diffuse large B-cell lymphoma[9,10]. TERT is overexpressed in over</w:t>
              <w:br/>
              <w:t>85% of tumors and is considered a universal tumor associated antigen[23]. Alterations in TERT are</w:t>
              <w:br/>
              <w:t>rare in pediatric cancers[9,10]. Somatic mutations are observed in less than 1% of B-lymphoblastic</w:t>
              <w:br/>
              <w:t>leukemia/lymphoma (2 in 252 cases)P,a ggeli o6m ofa 1 5(2 in 297 cases), bone cancer (1 in 327 cases), and</w:t>
              <w:br/>
              <w:t>Wilms tumor (1 in 710 cases)[9,10]. TERT amplification is observed in 1-2% of peripheral nervous</w:t>
            </w:r>
          </w:p>
        </w:tc>
      </w:tr>
    </w:tbl>
    <w:p>
      <w:pPr>
        <w:spacing w:before="0" w:after="120" w:line="20" w:lineRule="exact"/>
      </w:pPr>
      <w:r>
        <w:rPr>
          <w:sz w:val="2"/>
        </w:rPr>
      </w:r>
    </w:p>
    <w:p>
      <w:pPr>
        <w:sectPr>
          <w:headerReference w:type="default" r:id="rId21"/>
          <w:footerReference w:type="default" r:id="rId2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266"/>
            <w:shd w:val="clear" w:color="auto" w:fill="d8d9d8"/>
            <w:tcMar>
              <w:top w:w="60" w:type="dxa"/>
              <w:bottom w:w="60" w:type="dxa"/>
              <w:start w:w="80" w:type="dxa"/>
              <w:end w:w="80" w:type="dxa"/>
            </w:tcMar>
          </w:tcPr>
          <w:p>
            <w:pPr>
              <w:jc w:val="center"/>
            </w:pPr>
            <w:r>
              <w:rPr>
                <w:rFonts w:ascii="Times New Roman" w:hAnsi="Times New Roman"/>
                <w:b/>
                <w:color w:val="FFFFFF"/>
                <w:sz w:val="19"/>
              </w:rPr>
              <w:t>Variant</w:t>
            </w:r>
          </w:p>
        </w:tc>
        <w:tc>
          <w:tcPr>
            <w:tcW w:type="dxa" w:w="9200"/>
            <w:shd w:val="clear" w:color="auto" w:fill="ffffff"/>
            <w:tcMar>
              <w:top w:w="60" w:type="dxa"/>
              <w:bottom w:w="60" w:type="dxa"/>
              <w:start w:w="80" w:type="dxa"/>
              <w:end w:w="80" w:type="dxa"/>
            </w:tcMar>
          </w:tcPr>
          <w:p>
            <w:pPr>
              <w:jc w:val="center"/>
            </w:pPr>
            <w:r>
              <w:rPr>
                <w:rFonts w:ascii="Cambria" w:hAnsi="Cambria"/>
                <w:b w:val="0"/>
                <w:color w:val="000000"/>
                <w:sz w:val="20"/>
              </w:rPr>
              <w:t>Biomarker Description</w:t>
            </w:r>
          </w:p>
        </w:tc>
      </w:tr>
      <w:tr>
        <w:trPr>
          <w:cantSplit w:val="true"/>
        </w:trPr>
        <w:tc>
          <w:tcPr>
            <w:tcW w:type="dxa" w:w="1266"/>
            <w:tcMar>
              <w:top w:w="60" w:type="dxa"/>
              <w:bottom w:w="60" w:type="dxa"/>
              <w:start w:w="80" w:type="dxa"/>
              <w:end w:w="80" w:type="dxa"/>
            </w:tcMar>
          </w:tcPr>
          <w:p>
            <w:pPr>
              <w:jc w:val="left"/>
            </w:pPr>
            <w:r>
              <w:rPr>
                <w:rFonts w:ascii="Times New Roman" w:hAnsi="Times New Roman"/>
                <w:b w:val="0"/>
                <w:i w:val="0"/>
                <w:color w:val="000000"/>
                <w:sz w:val="19"/>
              </w:rPr>
            </w:r>
          </w:p>
        </w:tc>
        <w:tc>
          <w:tcPr>
            <w:tcW w:type="dxa" w:w="9200"/>
            <w:tcMar>
              <w:top w:w="60" w:type="dxa"/>
              <w:bottom w:w="60" w:type="dxa"/>
              <w:start w:w="80" w:type="dxa"/>
              <w:end w:w="80" w:type="dxa"/>
            </w:tcMar>
          </w:tcPr>
          <w:p>
            <w:pPr>
              <w:jc w:val="left"/>
            </w:pPr>
            <w:r>
              <w:rPr>
                <w:rFonts w:ascii="Times New Roman" w:hAnsi="Times New Roman"/>
                <w:b w:val="0"/>
                <w:i w:val="0"/>
                <w:color w:val="000000"/>
                <w:sz w:val="19"/>
              </w:rPr>
              <w:t>system cancers (2 in 91 cases), leukemia (2 in 250 cases), and B-lymphoblastic leukemia/lymphoma</w:t>
              <w:br/>
              <w:t>(5 in 731 cases)[9,10].</w:t>
              <w:br/>
              <w:t>Potential relevance Currently, no therapies are approved for TERT aberrations. TERT promoter</w:t>
              <w:br/>
              <w:t>mutations are diagnostic of oligodendroglioma IDH-mutant with 1p/19q co-deletion, while the</w:t>
              <w:br/>
              <w:t>absence of promoter mutations combined with an IDH mutation is characteristic of</w:t>
              <w:br/>
              <w:t>astrocytoma[15,24]. Due to its immunogenicity and near-universal expression on cancer cells, TERT</w:t>
              <w:br/>
              <w:t>has been a focus of immunotherapy research, including peptide, dendritic, and DNA vaccines as well</w:t>
              <w:br/>
              <w:t>as T-cell therapy[23].</w:t>
            </w:r>
          </w:p>
        </w:tc>
      </w:tr>
    </w:tbl>
    <w:p>
      <w:pPr>
        <w:spacing w:before="0" w:after="120" w:line="20" w:lineRule="exact"/>
      </w:pPr>
      <w:r>
        <w:rPr>
          <w:sz w:val="2"/>
        </w:rPr>
      </w:r>
    </w:p>
    <w:p>
      <w:pPr>
        <w:keepNext/>
        <w:spacing w:before="318" w:after="80"/>
        <w:jc w:val="left"/>
      </w:pPr>
      <w:r>
        <w:rPr>
          <w:rFonts w:ascii="Cambria" w:hAnsi="Cambria"/>
          <w:b/>
          <w:i w:val="0"/>
          <w:color w:val="1F497D"/>
          <w:sz w:val="24"/>
        </w:rPr>
        <w:t>Therapy &amp; Clinical Trials:</w:t>
      </w:r>
    </w:p>
    <w:p>
      <w:pPr>
        <w:keepNext/>
        <w:spacing w:before="360" w:after="60"/>
        <w:jc w:val="left"/>
      </w:pPr>
      <w:r>
        <w:rPr>
          <w:rFonts w:ascii="Cambria" w:hAnsi="Cambria"/>
          <w:b/>
          <w:i w:val="0"/>
          <w:color w:val="1F497D"/>
          <w:sz w:val="22"/>
        </w:rPr>
        <w:t>IDH1 p.(R132H) c.395G&gt;A</w:t>
      </w:r>
    </w:p>
    <w:p>
      <w:pPr>
        <w:spacing w:before="0" w:after="9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826"/>
            <w:shd w:val="clear" w:color="auto" w:fill="008080"/>
            <w:tcMar>
              <w:top w:w="60" w:type="dxa"/>
              <w:bottom w:w="60" w:type="dxa"/>
              <w:start w:w="80" w:type="dxa"/>
              <w:end w:w="80" w:type="dxa"/>
            </w:tcMar>
          </w:tcPr>
          <w:p>
            <w:pPr>
              <w:jc w:val="center"/>
            </w:pPr>
            <w:r>
              <w:rPr>
                <w:rFonts w:ascii="Cambria" w:hAnsi="Cambria"/>
                <w:b/>
                <w:color w:val="FFFFFF"/>
                <w:sz w:val="22"/>
              </w:rPr>
              <w:t>Therapy</w:t>
            </w:r>
          </w:p>
        </w:tc>
        <w:tc>
          <w:tcPr>
            <w:tcW w:type="dxa" w:w="1886"/>
            <w:shd w:val="clear" w:color="auto" w:fill="008080"/>
            <w:tcMar>
              <w:top w:w="60" w:type="dxa"/>
              <w:bottom w:w="60" w:type="dxa"/>
              <w:start w:w="80" w:type="dxa"/>
              <w:end w:w="80" w:type="dxa"/>
            </w:tcMar>
          </w:tcPr>
          <w:p>
            <w:pPr>
              <w:jc w:val="center"/>
            </w:pPr>
            <w:r>
              <w:rPr>
                <w:rFonts w:ascii="Cambria" w:hAnsi="Cambria"/>
                <w:b/>
                <w:color w:val="FFFFFF"/>
                <w:sz w:val="22"/>
              </w:rPr>
              <w:t>FDA</w:t>
            </w:r>
          </w:p>
        </w:tc>
        <w:tc>
          <w:tcPr>
            <w:tcW w:type="dxa" w:w="1419"/>
            <w:shd w:val="clear" w:color="auto" w:fill="008080"/>
            <w:tcMar>
              <w:top w:w="60" w:type="dxa"/>
              <w:bottom w:w="60" w:type="dxa"/>
              <w:start w:w="80" w:type="dxa"/>
              <w:end w:w="80" w:type="dxa"/>
            </w:tcMar>
          </w:tcPr>
          <w:p>
            <w:pPr>
              <w:jc w:val="center"/>
            </w:pPr>
            <w:r>
              <w:rPr>
                <w:rFonts w:ascii="Cambria" w:hAnsi="Cambria"/>
                <w:b/>
                <w:color w:val="FFFFFF"/>
                <w:sz w:val="22"/>
              </w:rPr>
              <w:t>NCCN</w:t>
            </w:r>
          </w:p>
        </w:tc>
        <w:tc>
          <w:tcPr>
            <w:tcW w:type="dxa" w:w="1325"/>
            <w:shd w:val="clear" w:color="auto" w:fill="008080"/>
            <w:tcMar>
              <w:top w:w="60" w:type="dxa"/>
              <w:bottom w:w="60" w:type="dxa"/>
              <w:start w:w="80" w:type="dxa"/>
              <w:end w:w="80" w:type="dxa"/>
            </w:tcMar>
          </w:tcPr>
          <w:p>
            <w:pPr>
              <w:jc w:val="center"/>
            </w:pPr>
            <w:r>
              <w:rPr>
                <w:rFonts w:ascii="Cambria" w:hAnsi="Cambria"/>
                <w:b/>
                <w:color w:val="FFFFFF"/>
                <w:sz w:val="22"/>
              </w:rPr>
              <w:t>EMA</w:t>
            </w:r>
          </w:p>
        </w:tc>
        <w:tc>
          <w:tcPr>
            <w:tcW w:type="dxa" w:w="1419"/>
            <w:shd w:val="clear" w:color="auto" w:fill="008080"/>
            <w:tcMar>
              <w:top w:w="60" w:type="dxa"/>
              <w:bottom w:w="60" w:type="dxa"/>
              <w:start w:w="80" w:type="dxa"/>
              <w:end w:w="80" w:type="dxa"/>
            </w:tcMar>
          </w:tcPr>
          <w:p>
            <w:pPr>
              <w:jc w:val="center"/>
            </w:pPr>
            <w:r>
              <w:rPr>
                <w:rFonts w:ascii="Cambria" w:hAnsi="Cambria"/>
                <w:b/>
                <w:color w:val="FFFFFF"/>
                <w:sz w:val="22"/>
              </w:rPr>
              <w:t>ESMO</w:t>
            </w:r>
          </w:p>
        </w:tc>
        <w:tc>
          <w:tcPr>
            <w:tcW w:type="dxa" w:w="1590"/>
            <w:shd w:val="clear" w:color="auto" w:fill="008080"/>
            <w:tcMar>
              <w:top w:w="60" w:type="dxa"/>
              <w:bottom w:w="60" w:type="dxa"/>
              <w:start w:w="80" w:type="dxa"/>
              <w:end w:w="80" w:type="dxa"/>
            </w:tcMar>
          </w:tcPr>
          <w:p>
            <w:pPr>
              <w:jc w:val="center"/>
            </w:pPr>
            <w:r>
              <w:rPr>
                <w:rFonts w:ascii="Cambria" w:hAnsi="Cambria"/>
                <w:b/>
                <w:color w:val="FFFFFF"/>
                <w:sz w:val="22"/>
              </w:rPr>
              <w:t>Trials</w:t>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ivosidenib</w:t>
            </w:r>
          </w:p>
        </w:tc>
        <w:tc>
          <w:tcPr>
            <w:tcW w:type="dxa" w:w="1886"/>
            <w:shd w:val="clear" w:color="auto" w:fill="f8f8f8"/>
            <w:tcMar>
              <w:top w:w="60" w:type="dxa"/>
              <w:bottom w:w="60" w:type="dxa"/>
              <w:start w:w="80" w:type="dxa"/>
              <w:end w:w="80" w:type="dxa"/>
            </w:tcMar>
          </w:tcPr>
          <w:p>
            <w:pPr>
              <w:jc w:val="left"/>
            </w:pPr>
            <w:r>
              <w:rPr>
                <w:rFonts w:ascii="Symbol" w:hAnsi="Symbol"/>
                <w:b w:val="0"/>
                <w:i w:val="0"/>
                <w:color w:val="FFC000"/>
                <w:sz w:val="24"/>
              </w:rPr>
              <w:t>✓</w:t>
            </w:r>
          </w:p>
        </w:tc>
        <w:tc>
          <w:tcPr>
            <w:tcW w:type="dxa" w:w="1419"/>
            <w:shd w:val="clear" w:color="auto" w:fill="f8f8f8"/>
            <w:tcMar>
              <w:top w:w="60" w:type="dxa"/>
              <w:bottom w:w="60" w:type="dxa"/>
              <w:start w:w="80" w:type="dxa"/>
              <w:end w:w="80" w:type="dxa"/>
            </w:tcMar>
          </w:tcPr>
          <w:p>
            <w:pPr>
              <w:jc w:val="left"/>
            </w:pPr>
            <w:r>
              <w:rPr>
                <w:rFonts w:ascii="Symbol" w:hAnsi="Symbol"/>
                <w:b w:val="0"/>
                <w:i w:val="0"/>
                <w:color w:val="00B050"/>
                <w:sz w:val="24"/>
              </w:rPr>
              <w:t>✓✓</w:t>
            </w:r>
          </w:p>
        </w:tc>
        <w:tc>
          <w:tcPr>
            <w:tcW w:type="dxa" w:w="1325"/>
            <w:shd w:val="clear" w:color="auto" w:fill="f8f8f8"/>
            <w:tcMar>
              <w:top w:w="60" w:type="dxa"/>
              <w:bottom w:w="60" w:type="dxa"/>
              <w:start w:w="80" w:type="dxa"/>
              <w:end w:w="80" w:type="dxa"/>
            </w:tcMar>
          </w:tcPr>
          <w:p>
            <w:pPr>
              <w:jc w:val="left"/>
            </w:pPr>
            <w:r>
              <w:rPr>
                <w:rFonts w:ascii="Symbol" w:hAnsi="Symbol"/>
                <w:b w:val="0"/>
                <w:i w:val="0"/>
                <w:color w:val="FFC000"/>
                <w:sz w:val="24"/>
              </w:rPr>
              <w:t>✓</w:t>
            </w:r>
          </w:p>
        </w:tc>
        <w:tc>
          <w:tcPr>
            <w:tcW w:type="dxa" w:w="1419"/>
            <w:shd w:val="clear" w:color="auto" w:fill="f8f8f8"/>
            <w:tcMar>
              <w:top w:w="60" w:type="dxa"/>
              <w:bottom w:w="60" w:type="dxa"/>
              <w:start w:w="80" w:type="dxa"/>
              <w:end w:w="80" w:type="dxa"/>
            </w:tcMar>
          </w:tcPr>
          <w:p>
            <w:pPr>
              <w:jc w:val="left"/>
            </w:pPr>
            <w:r>
              <w:rPr>
                <w:rFonts w:ascii="Symbol" w:hAnsi="Symbol"/>
                <w:b w:val="0"/>
                <w:i w:val="0"/>
                <w:color w:val="FFC000"/>
                <w:sz w:val="24"/>
              </w:rPr>
              <w:t>✓</w:t>
            </w:r>
          </w:p>
        </w:tc>
        <w:tc>
          <w:tcPr>
            <w:tcW w:type="dxa" w:w="1590"/>
            <w:shd w:val="clear" w:color="auto" w:fill="f8f8f8"/>
            <w:tcMar>
              <w:top w:w="60" w:type="dxa"/>
              <w:bottom w:w="60" w:type="dxa"/>
              <w:start w:w="80" w:type="dxa"/>
              <w:end w:w="80" w:type="dxa"/>
            </w:tcMar>
          </w:tcPr>
          <w:p>
            <w:pPr>
              <w:jc w:val="right"/>
            </w:pPr>
            <w:r>
              <w:rPr>
                <w:rFonts w:ascii="Times New Roman" w:hAnsi="Times New Roman"/>
                <w:b w:val="0"/>
                <w:i w:val="0"/>
                <w:color w:val="000000"/>
                <w:sz w:val="19"/>
              </w:rPr>
            </w:r>
          </w:p>
        </w:tc>
      </w:tr>
      <w:tr>
        <w:trPr>
          <w:cantSplit w:val="true"/>
        </w:trPr>
        <w:tc>
          <w:tcPr>
            <w:tcW w:type="dxa" w:w="2826"/>
            <w:shd w:val="clear" w:color="auto" w:fill="ffffff"/>
            <w:tcMar>
              <w:top w:w="60" w:type="dxa"/>
              <w:bottom w:w="60" w:type="dxa"/>
              <w:start w:w="80" w:type="dxa"/>
              <w:end w:w="80" w:type="dxa"/>
            </w:tcMar>
          </w:tcPr>
          <w:p>
            <w:pPr>
              <w:jc w:val="left"/>
            </w:pPr>
            <w:r>
              <w:rPr>
                <w:rFonts w:ascii="Cambria" w:hAnsi="Cambria"/>
                <w:b w:val="0"/>
                <w:i w:val="0"/>
                <w:color w:val="000000"/>
                <w:sz w:val="22"/>
              </w:rPr>
              <w:t>vorasidenib</w:t>
            </w:r>
          </w:p>
        </w:tc>
        <w:tc>
          <w:tcPr>
            <w:tcW w:type="dxa" w:w="1886"/>
            <w:shd w:val="clear" w:color="auto" w:fill="ffffff"/>
            <w:tcMar>
              <w:top w:w="60" w:type="dxa"/>
              <w:bottom w:w="60" w:type="dxa"/>
              <w:start w:w="80" w:type="dxa"/>
              <w:end w:w="80" w:type="dxa"/>
            </w:tcMar>
          </w:tcPr>
          <w:p>
            <w:pPr>
              <w:jc w:val="left"/>
            </w:pPr>
            <w:r>
              <w:rPr>
                <w:rFonts w:ascii="Symbol" w:hAnsi="Symbol"/>
                <w:b w:val="0"/>
                <w:i w:val="0"/>
                <w:color w:val="FFC000"/>
                <w:sz w:val="24"/>
              </w:rPr>
              <w:t>✓</w:t>
            </w:r>
          </w:p>
        </w:tc>
        <w:tc>
          <w:tcPr>
            <w:tcW w:type="dxa" w:w="1419"/>
            <w:shd w:val="clear" w:color="auto" w:fill="ffffff"/>
            <w:tcMar>
              <w:top w:w="60" w:type="dxa"/>
              <w:bottom w:w="60" w:type="dxa"/>
              <w:start w:w="80" w:type="dxa"/>
              <w:end w:w="80" w:type="dxa"/>
            </w:tcMar>
          </w:tcPr>
          <w:p>
            <w:pPr>
              <w:jc w:val="left"/>
            </w:pPr>
            <w:r>
              <w:rPr>
                <w:rFonts w:ascii="Symbol" w:hAnsi="Symbol"/>
                <w:b w:val="0"/>
                <w:i w:val="0"/>
                <w:color w:val="00B050"/>
                <w:sz w:val="24"/>
              </w:rPr>
              <w:t>✓✓</w:t>
            </w:r>
          </w:p>
        </w:tc>
        <w:tc>
          <w:tcPr>
            <w:tcW w:type="dxa" w:w="132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fffff"/>
            <w:tcMar>
              <w:top w:w="60" w:type="dxa"/>
              <w:bottom w:w="60" w:type="dxa"/>
              <w:start w:w="80" w:type="dxa"/>
              <w:end w:w="80" w:type="dxa"/>
            </w:tcMar>
          </w:tcPr>
          <w:p>
            <w:pPr>
              <w:jc w:val="right"/>
            </w:pPr>
            <w:r>
              <w:rPr>
                <w:rFonts w:ascii="Times New Roman" w:hAnsi="Times New Roman"/>
                <w:b w:val="0"/>
                <w:i w:val="0"/>
                <w:color w:val="000000"/>
                <w:sz w:val="19"/>
              </w:rPr>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olaparib, durvalumab</w:t>
            </w:r>
          </w:p>
        </w:tc>
        <w:tc>
          <w:tcPr>
            <w:tcW w:type="dxa" w:w="1886"/>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8f8f8"/>
            <w:tcMar>
              <w:top w:w="60" w:type="dxa"/>
              <w:bottom w:w="60" w:type="dxa"/>
              <w:start w:w="80" w:type="dxa"/>
              <w:end w:w="80" w:type="dxa"/>
            </w:tcMar>
          </w:tcPr>
          <w:p>
            <w:pPr>
              <w:jc w:val="right"/>
            </w:pPr>
            <w:r>
              <w:rPr>
                <w:rFonts w:ascii="Cambria" w:hAnsi="Cambria"/>
                <w:b w:val="0"/>
                <w:i w:val="0"/>
                <w:color w:val="000000"/>
                <w:sz w:val="22"/>
              </w:rPr>
              <w:t>II</w:t>
            </w:r>
          </w:p>
        </w:tc>
      </w:tr>
      <w:tr>
        <w:trPr>
          <w:cantSplit w:val="true"/>
        </w:trPr>
        <w:tc>
          <w:tcPr>
            <w:tcW w:type="dxa" w:w="2826"/>
            <w:shd w:val="clear" w:color="auto" w:fill="ffffff"/>
            <w:tcMar>
              <w:top w:w="60" w:type="dxa"/>
              <w:bottom w:w="60" w:type="dxa"/>
              <w:start w:w="80" w:type="dxa"/>
              <w:end w:w="80" w:type="dxa"/>
            </w:tcMar>
          </w:tcPr>
          <w:p>
            <w:pPr>
              <w:jc w:val="left"/>
            </w:pPr>
            <w:r>
              <w:rPr>
                <w:rFonts w:ascii="Cambria" w:hAnsi="Cambria"/>
                <w:b w:val="0"/>
                <w:i w:val="0"/>
                <w:color w:val="000000"/>
                <w:sz w:val="22"/>
              </w:rPr>
              <w:t>olutasidenib, chemotherapy</w:t>
            </w:r>
          </w:p>
        </w:tc>
        <w:tc>
          <w:tcPr>
            <w:tcW w:type="dxa" w:w="1886"/>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fffff"/>
            <w:tcMar>
              <w:top w:w="60" w:type="dxa"/>
              <w:bottom w:w="60" w:type="dxa"/>
              <w:start w:w="80" w:type="dxa"/>
              <w:end w:w="80" w:type="dxa"/>
            </w:tcMar>
          </w:tcPr>
          <w:p>
            <w:pPr>
              <w:jc w:val="right"/>
            </w:pPr>
            <w:r>
              <w:rPr>
                <w:rFonts w:ascii="Cambria" w:hAnsi="Cambria"/>
                <w:b w:val="0"/>
                <w:i w:val="0"/>
                <w:color w:val="000000"/>
                <w:sz w:val="22"/>
              </w:rPr>
              <w:t>II</w:t>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supplement, retifanlimab</w:t>
            </w:r>
          </w:p>
        </w:tc>
        <w:tc>
          <w:tcPr>
            <w:tcW w:type="dxa" w:w="1886"/>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8f8f8"/>
            <w:tcMar>
              <w:top w:w="60" w:type="dxa"/>
              <w:bottom w:w="60" w:type="dxa"/>
              <w:start w:w="80" w:type="dxa"/>
              <w:end w:w="80" w:type="dxa"/>
            </w:tcMar>
          </w:tcPr>
          <w:p>
            <w:pPr>
              <w:jc w:val="right"/>
            </w:pPr>
            <w:r>
              <w:rPr>
                <w:rFonts w:ascii="Cambria" w:hAnsi="Cambria"/>
                <w:b w:val="0"/>
                <w:i w:val="0"/>
                <w:color w:val="000000"/>
                <w:sz w:val="22"/>
              </w:rPr>
              <w:t>II</w:t>
            </w:r>
          </w:p>
        </w:tc>
      </w:tr>
      <w:tr>
        <w:trPr>
          <w:cantSplit w:val="true"/>
        </w:trPr>
        <w:tc>
          <w:tcPr>
            <w:tcW w:type="dxa" w:w="2826"/>
            <w:shd w:val="clear" w:color="auto" w:fill="ffffff"/>
            <w:tcMar>
              <w:top w:w="60" w:type="dxa"/>
              <w:bottom w:w="60" w:type="dxa"/>
              <w:start w:w="80" w:type="dxa"/>
              <w:end w:w="80" w:type="dxa"/>
            </w:tcMar>
          </w:tcPr>
          <w:p>
            <w:pPr>
              <w:jc w:val="left"/>
            </w:pPr>
            <w:r>
              <w:rPr>
                <w:rFonts w:ascii="Cambria" w:hAnsi="Cambria"/>
                <w:b w:val="0"/>
                <w:i w:val="0"/>
                <w:color w:val="000000"/>
                <w:sz w:val="22"/>
              </w:rPr>
              <w:t>talazoparib</w:t>
            </w:r>
          </w:p>
        </w:tc>
        <w:tc>
          <w:tcPr>
            <w:tcW w:type="dxa" w:w="1886"/>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fffff"/>
            <w:tcMar>
              <w:top w:w="60" w:type="dxa"/>
              <w:bottom w:w="60" w:type="dxa"/>
              <w:start w:w="80" w:type="dxa"/>
              <w:end w:w="80" w:type="dxa"/>
            </w:tcMar>
          </w:tcPr>
          <w:p>
            <w:pPr>
              <w:jc w:val="right"/>
            </w:pPr>
            <w:r>
              <w:rPr>
                <w:rFonts w:ascii="Cambria" w:hAnsi="Cambria"/>
                <w:b w:val="0"/>
                <w:i w:val="0"/>
                <w:color w:val="000000"/>
                <w:sz w:val="22"/>
              </w:rPr>
              <w:t>II</w:t>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avutometinib, defactinib</w:t>
            </w:r>
          </w:p>
        </w:tc>
        <w:tc>
          <w:tcPr>
            <w:tcW w:type="dxa" w:w="1886"/>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8f8f8"/>
            <w:tcMar>
              <w:top w:w="60" w:type="dxa"/>
              <w:bottom w:w="60" w:type="dxa"/>
              <w:start w:w="80" w:type="dxa"/>
              <w:end w:w="80" w:type="dxa"/>
            </w:tcMar>
          </w:tcPr>
          <w:p>
            <w:pPr>
              <w:jc w:val="right"/>
            </w:pPr>
            <w:r>
              <w:rPr>
                <w:rFonts w:ascii="Cambria" w:hAnsi="Cambria"/>
                <w:b w:val="0"/>
                <w:i w:val="0"/>
                <w:color w:val="000000"/>
                <w:sz w:val="22"/>
              </w:rPr>
              <w:t>I/II</w:t>
            </w:r>
          </w:p>
        </w:tc>
      </w:tr>
      <w:tr>
        <w:trPr>
          <w:cantSplit w:val="true"/>
        </w:trPr>
        <w:tc>
          <w:tcPr>
            <w:tcW w:type="dxa" w:w="2826"/>
            <w:shd w:val="clear" w:color="auto" w:fill="ffffff"/>
            <w:tcMar>
              <w:top w:w="60" w:type="dxa"/>
              <w:bottom w:w="60" w:type="dxa"/>
              <w:start w:w="80" w:type="dxa"/>
              <w:end w:w="80" w:type="dxa"/>
            </w:tcMar>
          </w:tcPr>
          <w:p>
            <w:pPr>
              <w:jc w:val="left"/>
            </w:pPr>
            <w:r>
              <w:rPr>
                <w:rFonts w:ascii="Cambria" w:hAnsi="Cambria"/>
                <w:b w:val="0"/>
                <w:i w:val="0"/>
                <w:color w:val="000000"/>
                <w:sz w:val="22"/>
              </w:rPr>
              <w:t>AZD-9574, chemotherapy</w:t>
            </w:r>
          </w:p>
        </w:tc>
        <w:tc>
          <w:tcPr>
            <w:tcW w:type="dxa" w:w="1886"/>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fffff"/>
            <w:tcMar>
              <w:top w:w="60" w:type="dxa"/>
              <w:bottom w:w="60" w:type="dxa"/>
              <w:start w:w="80" w:type="dxa"/>
              <w:end w:w="80" w:type="dxa"/>
            </w:tcMar>
          </w:tcPr>
          <w:p>
            <w:pPr>
              <w:jc w:val="right"/>
            </w:pPr>
            <w:r>
              <w:rPr>
                <w:rFonts w:ascii="Cambria" w:hAnsi="Cambria"/>
                <w:b w:val="0"/>
                <w:i w:val="0"/>
                <w:color w:val="000000"/>
                <w:sz w:val="22"/>
              </w:rPr>
              <w:t>I/II</w:t>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NEO-212</w:t>
            </w:r>
          </w:p>
        </w:tc>
        <w:tc>
          <w:tcPr>
            <w:tcW w:type="dxa" w:w="1886"/>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8f8f8"/>
            <w:tcMar>
              <w:top w:w="60" w:type="dxa"/>
              <w:bottom w:w="60" w:type="dxa"/>
              <w:start w:w="80" w:type="dxa"/>
              <w:end w:w="80" w:type="dxa"/>
            </w:tcMar>
          </w:tcPr>
          <w:p>
            <w:pPr>
              <w:jc w:val="right"/>
            </w:pPr>
            <w:r>
              <w:rPr>
                <w:rFonts w:ascii="Cambria" w:hAnsi="Cambria"/>
                <w:b w:val="0"/>
                <w:i w:val="0"/>
                <w:color w:val="000000"/>
                <w:sz w:val="22"/>
              </w:rPr>
              <w:t>I/II</w:t>
            </w:r>
          </w:p>
        </w:tc>
      </w:tr>
      <w:tr>
        <w:trPr>
          <w:cantSplit w:val="true"/>
        </w:trPr>
        <w:tc>
          <w:tcPr>
            <w:tcW w:type="dxa" w:w="2826"/>
            <w:shd w:val="clear" w:color="auto" w:fill="ffffff"/>
            <w:tcMar>
              <w:top w:w="60" w:type="dxa"/>
              <w:bottom w:w="60" w:type="dxa"/>
              <w:start w:w="80" w:type="dxa"/>
              <w:end w:w="80" w:type="dxa"/>
            </w:tcMar>
          </w:tcPr>
          <w:p>
            <w:pPr>
              <w:jc w:val="left"/>
            </w:pPr>
            <w:r>
              <w:rPr>
                <w:rFonts w:ascii="Cambria" w:hAnsi="Cambria"/>
                <w:b w:val="0"/>
                <w:i w:val="0"/>
                <w:color w:val="000000"/>
                <w:sz w:val="22"/>
              </w:rPr>
              <w:t>ribociclib, chemotherapy</w:t>
            </w:r>
          </w:p>
        </w:tc>
        <w:tc>
          <w:tcPr>
            <w:tcW w:type="dxa" w:w="1886"/>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fffff"/>
            <w:tcMar>
              <w:top w:w="60" w:type="dxa"/>
              <w:bottom w:w="60" w:type="dxa"/>
              <w:start w:w="80" w:type="dxa"/>
              <w:end w:w="80" w:type="dxa"/>
            </w:tcMar>
          </w:tcPr>
          <w:p>
            <w:pPr>
              <w:jc w:val="right"/>
            </w:pPr>
            <w:r>
              <w:rPr>
                <w:rFonts w:ascii="Cambria" w:hAnsi="Cambria"/>
                <w:b w:val="0"/>
                <w:i w:val="0"/>
                <w:color w:val="000000"/>
                <w:sz w:val="22"/>
              </w:rPr>
              <w:t>I/II</w:t>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vorasidenib, chemotherapy</w:t>
            </w:r>
          </w:p>
        </w:tc>
        <w:tc>
          <w:tcPr>
            <w:tcW w:type="dxa" w:w="1886"/>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8f8f8"/>
            <w:tcMar>
              <w:top w:w="60" w:type="dxa"/>
              <w:bottom w:w="60" w:type="dxa"/>
              <w:start w:w="80" w:type="dxa"/>
              <w:end w:w="80" w:type="dxa"/>
            </w:tcMar>
          </w:tcPr>
          <w:p>
            <w:pPr>
              <w:jc w:val="right"/>
            </w:pPr>
            <w:r>
              <w:rPr>
                <w:rFonts w:ascii="Cambria" w:hAnsi="Cambria"/>
                <w:b w:val="0"/>
                <w:i w:val="0"/>
                <w:color w:val="000000"/>
                <w:sz w:val="22"/>
              </w:rPr>
              <w:t>I/II</w:t>
            </w:r>
          </w:p>
        </w:tc>
      </w:tr>
      <w:tr>
        <w:trPr>
          <w:cantSplit w:val="true"/>
        </w:trPr>
        <w:tc>
          <w:tcPr>
            <w:tcW w:type="dxa" w:w="2826"/>
            <w:shd w:val="clear" w:color="auto" w:fill="ffffff"/>
            <w:tcMar>
              <w:top w:w="60" w:type="dxa"/>
              <w:bottom w:w="60" w:type="dxa"/>
              <w:start w:w="80" w:type="dxa"/>
              <w:end w:w="80" w:type="dxa"/>
            </w:tcMar>
          </w:tcPr>
          <w:p>
            <w:pPr>
              <w:jc w:val="left"/>
            </w:pPr>
            <w:r>
              <w:rPr>
                <w:rFonts w:ascii="Cambria" w:hAnsi="Cambria"/>
                <w:b w:val="0"/>
                <w:i w:val="0"/>
                <w:color w:val="000000"/>
                <w:sz w:val="22"/>
              </w:rPr>
              <w:t>zotiraciclib</w:t>
            </w:r>
          </w:p>
        </w:tc>
        <w:tc>
          <w:tcPr>
            <w:tcW w:type="dxa" w:w="1886"/>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fffff"/>
            <w:tcMar>
              <w:top w:w="60" w:type="dxa"/>
              <w:bottom w:w="60" w:type="dxa"/>
              <w:start w:w="80" w:type="dxa"/>
              <w:end w:w="80" w:type="dxa"/>
            </w:tcMar>
          </w:tcPr>
          <w:p>
            <w:pPr>
              <w:jc w:val="right"/>
            </w:pPr>
            <w:r>
              <w:rPr>
                <w:rFonts w:ascii="Cambria" w:hAnsi="Cambria"/>
                <w:b w:val="0"/>
                <w:i w:val="0"/>
                <w:color w:val="000000"/>
                <w:sz w:val="22"/>
              </w:rPr>
              <w:t>I/II</w:t>
            </w:r>
          </w:p>
        </w:tc>
      </w:tr>
      <w:tr>
        <w:trPr>
          <w:cantSplit w:val="true"/>
        </w:trPr>
        <w:tc>
          <w:tcPr>
            <w:tcW w:type="dxa" w:w="2826"/>
            <w:shd w:val="clear" w:color="auto" w:fill="f8f8f8"/>
            <w:tcMar>
              <w:top w:w="60" w:type="dxa"/>
              <w:bottom w:w="60" w:type="dxa"/>
              <w:start w:w="80" w:type="dxa"/>
              <w:end w:w="80" w:type="dxa"/>
            </w:tcMar>
          </w:tcPr>
          <w:p>
            <w:pPr>
              <w:jc w:val="left"/>
            </w:pPr>
            <w:r>
              <w:rPr>
                <w:rFonts w:ascii="Cambria" w:hAnsi="Cambria"/>
                <w:b w:val="0"/>
                <w:i w:val="0"/>
                <w:color w:val="000000"/>
                <w:sz w:val="22"/>
              </w:rPr>
              <w:t>ABBV-706 Pag</w:t>
            </w:r>
          </w:p>
        </w:tc>
        <w:tc>
          <w:tcPr>
            <w:tcW w:type="dxa" w:w="1886"/>
            <w:shd w:val="clear" w:color="auto" w:fill="f8f8f8"/>
            <w:tcMar>
              <w:top w:w="60" w:type="dxa"/>
              <w:bottom w:w="60" w:type="dxa"/>
              <w:start w:w="80" w:type="dxa"/>
              <w:end w:w="80" w:type="dxa"/>
            </w:tcMar>
          </w:tcPr>
          <w:p>
            <w:pPr>
              <w:jc w:val="left"/>
            </w:pPr>
            <w:r>
              <w:rPr>
                <w:rFonts w:ascii="Cambria" w:hAnsi="Cambria"/>
                <w:b w:val="0"/>
                <w:i w:val="0"/>
                <w:color w:val="808080"/>
                <w:sz w:val="24"/>
              </w:rPr>
              <w:t>e 7 of X15</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25"/>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1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590"/>
            <w:shd w:val="clear" w:color="auto" w:fill="f8f8f8"/>
            <w:tcMar>
              <w:top w:w="60" w:type="dxa"/>
              <w:bottom w:w="60" w:type="dxa"/>
              <w:start w:w="80" w:type="dxa"/>
              <w:end w:w="80" w:type="dxa"/>
            </w:tcMar>
          </w:tcPr>
          <w:p>
            <w:pPr>
              <w:jc w:val="right"/>
            </w:pPr>
            <w:r>
              <w:rPr>
                <w:rFonts w:ascii="Cambria" w:hAnsi="Cambria"/>
                <w:b w:val="0"/>
                <w:i w:val="0"/>
                <w:color w:val="000000"/>
                <w:sz w:val="22"/>
              </w:rPr>
              <w:t>I</w:t>
            </w:r>
          </w:p>
        </w:tc>
      </w:tr>
    </w:tbl>
    <w:p>
      <w:pPr>
        <w:spacing w:before="0" w:after="120" w:line="20" w:lineRule="exact"/>
      </w:pPr>
      <w:r>
        <w:rPr>
          <w:sz w:val="2"/>
        </w:rPr>
      </w:r>
    </w:p>
    <w:p>
      <w:pPr>
        <w:sectPr>
          <w:headerReference w:type="default" r:id="rId23"/>
          <w:footerReference w:type="default" r:id="rId2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191"/>
            <w:shd w:val="clear" w:color="auto" w:fill="ffffff"/>
            <w:tcMar>
              <w:top w:w="60" w:type="dxa"/>
              <w:bottom w:w="60" w:type="dxa"/>
              <w:start w:w="80" w:type="dxa"/>
              <w:end w:w="80" w:type="dxa"/>
            </w:tcMar>
          </w:tcPr>
          <w:p>
            <w:pPr>
              <w:jc w:val="center"/>
            </w:pPr>
            <w:r>
              <w:rPr>
                <w:rFonts w:ascii="Cambria" w:hAnsi="Cambria"/>
                <w:b w:val="0"/>
                <w:color w:val="000000"/>
                <w:sz w:val="22"/>
              </w:rPr>
              <w:t>Therapy</w:t>
            </w:r>
          </w:p>
        </w:tc>
        <w:tc>
          <w:tcPr>
            <w:tcW w:type="dxa" w:w="1357"/>
            <w:shd w:val="clear" w:color="auto" w:fill="ffffff"/>
            <w:tcMar>
              <w:top w:w="60" w:type="dxa"/>
              <w:bottom w:w="60" w:type="dxa"/>
              <w:start w:w="80" w:type="dxa"/>
              <w:end w:w="80" w:type="dxa"/>
            </w:tcMar>
          </w:tcPr>
          <w:p>
            <w:pPr>
              <w:jc w:val="center"/>
            </w:pPr>
            <w:r>
              <w:rPr>
                <w:rFonts w:ascii="Cambria" w:hAnsi="Cambria"/>
                <w:b w:val="0"/>
                <w:color w:val="808080"/>
                <w:sz w:val="24"/>
              </w:rPr>
              <w:t>FDA</w:t>
            </w:r>
          </w:p>
        </w:tc>
        <w:tc>
          <w:tcPr>
            <w:tcW w:type="dxa" w:w="1459"/>
            <w:shd w:val="clear" w:color="auto" w:fill="ffffff"/>
            <w:tcMar>
              <w:top w:w="60" w:type="dxa"/>
              <w:bottom w:w="60" w:type="dxa"/>
              <w:start w:w="80" w:type="dxa"/>
              <w:end w:w="80" w:type="dxa"/>
            </w:tcMar>
          </w:tcPr>
          <w:p>
            <w:pPr>
              <w:jc w:val="center"/>
            </w:pPr>
            <w:r>
              <w:rPr>
                <w:rFonts w:ascii="Cambria" w:hAnsi="Cambria"/>
                <w:b w:val="0"/>
                <w:color w:val="808080"/>
                <w:sz w:val="24"/>
              </w:rPr>
              <w:t>NCCN</w:t>
            </w:r>
          </w:p>
        </w:tc>
        <w:tc>
          <w:tcPr>
            <w:tcW w:type="dxa" w:w="1357"/>
            <w:shd w:val="clear" w:color="auto" w:fill="ffffff"/>
            <w:tcMar>
              <w:top w:w="60" w:type="dxa"/>
              <w:bottom w:w="60" w:type="dxa"/>
              <w:start w:w="80" w:type="dxa"/>
              <w:end w:w="80" w:type="dxa"/>
            </w:tcMar>
          </w:tcPr>
          <w:p>
            <w:pPr>
              <w:jc w:val="center"/>
            </w:pPr>
            <w:r>
              <w:rPr>
                <w:rFonts w:ascii="Cambria" w:hAnsi="Cambria"/>
                <w:b w:val="0"/>
                <w:color w:val="808080"/>
                <w:sz w:val="24"/>
              </w:rPr>
              <w:t>EMA</w:t>
            </w:r>
          </w:p>
        </w:tc>
        <w:tc>
          <w:tcPr>
            <w:tcW w:type="dxa" w:w="1459"/>
            <w:shd w:val="clear" w:color="auto" w:fill="ffffff"/>
            <w:tcMar>
              <w:top w:w="60" w:type="dxa"/>
              <w:bottom w:w="60" w:type="dxa"/>
              <w:start w:w="80" w:type="dxa"/>
              <w:end w:w="80" w:type="dxa"/>
            </w:tcMar>
          </w:tcPr>
          <w:p>
            <w:pPr>
              <w:jc w:val="center"/>
            </w:pPr>
            <w:r>
              <w:rPr>
                <w:rFonts w:ascii="Cambria" w:hAnsi="Cambria"/>
                <w:b w:val="0"/>
                <w:color w:val="808080"/>
                <w:sz w:val="24"/>
              </w:rPr>
              <w:t>ESMO</w:t>
            </w:r>
          </w:p>
        </w:tc>
        <w:tc>
          <w:tcPr>
            <w:tcW w:type="dxa" w:w="1643"/>
            <w:shd w:val="clear" w:color="auto" w:fill="ffffff"/>
            <w:tcMar>
              <w:top w:w="60" w:type="dxa"/>
              <w:bottom w:w="60" w:type="dxa"/>
              <w:start w:w="80" w:type="dxa"/>
              <w:end w:w="80" w:type="dxa"/>
            </w:tcMar>
          </w:tcPr>
          <w:p>
            <w:pPr>
              <w:jc w:val="center"/>
            </w:pPr>
            <w:r>
              <w:rPr>
                <w:rFonts w:ascii="Cambria" w:hAnsi="Cambria"/>
                <w:b w:val="0"/>
                <w:color w:val="000000"/>
                <w:sz w:val="22"/>
              </w:rPr>
              <w:t>Trials</w:t>
            </w:r>
          </w:p>
        </w:tc>
      </w:tr>
      <w:tr>
        <w:trPr>
          <w:cantSplit w:val="true"/>
        </w:trPr>
        <w:tc>
          <w:tcPr>
            <w:tcW w:type="dxa" w:w="3191"/>
            <w:shd w:val="clear" w:color="auto" w:fill="f8f8f8"/>
            <w:tcMar>
              <w:top w:w="60" w:type="dxa"/>
              <w:bottom w:w="60" w:type="dxa"/>
              <w:start w:w="80" w:type="dxa"/>
              <w:end w:w="80" w:type="dxa"/>
            </w:tcMar>
          </w:tcPr>
          <w:p>
            <w:pPr>
              <w:jc w:val="left"/>
            </w:pPr>
            <w:r>
              <w:rPr>
                <w:rFonts w:ascii="Cambria" w:hAnsi="Cambria"/>
                <w:b w:val="0"/>
                <w:i w:val="0"/>
                <w:color w:val="000000"/>
                <w:sz w:val="22"/>
              </w:rPr>
              <w:t>amivantamab</w:t>
            </w:r>
          </w:p>
        </w:tc>
        <w:tc>
          <w:tcPr>
            <w:tcW w:type="dxa" w:w="135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5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643"/>
            <w:shd w:val="clear" w:color="auto" w:fill="f8f8f8"/>
            <w:tcMar>
              <w:top w:w="60" w:type="dxa"/>
              <w:bottom w:w="60" w:type="dxa"/>
              <w:start w:w="80" w:type="dxa"/>
              <w:end w:w="80" w:type="dxa"/>
            </w:tcMar>
          </w:tcPr>
          <w:p>
            <w:pPr>
              <w:jc w:val="right"/>
            </w:pPr>
            <w:r>
              <w:rPr>
                <w:rFonts w:ascii="Cambria" w:hAnsi="Cambria"/>
                <w:b w:val="0"/>
                <w:i w:val="0"/>
                <w:color w:val="000000"/>
                <w:sz w:val="22"/>
              </w:rPr>
              <w:t>I</w:t>
            </w:r>
          </w:p>
        </w:tc>
      </w:tr>
      <w:tr>
        <w:trPr>
          <w:cantSplit w:val="true"/>
        </w:trPr>
        <w:tc>
          <w:tcPr>
            <w:tcW w:type="dxa" w:w="3191"/>
            <w:shd w:val="clear" w:color="auto" w:fill="ffffff"/>
            <w:tcMar>
              <w:top w:w="60" w:type="dxa"/>
              <w:bottom w:w="60" w:type="dxa"/>
              <w:start w:w="80" w:type="dxa"/>
              <w:end w:w="80" w:type="dxa"/>
            </w:tcMar>
          </w:tcPr>
          <w:p>
            <w:pPr>
              <w:jc w:val="left"/>
            </w:pPr>
            <w:r>
              <w:rPr>
                <w:rFonts w:ascii="Cambria" w:hAnsi="Cambria"/>
                <w:b w:val="0"/>
                <w:i w:val="0"/>
                <w:color w:val="000000"/>
                <w:sz w:val="22"/>
              </w:rPr>
              <w:t>ASKC-202</w:t>
            </w:r>
          </w:p>
        </w:tc>
        <w:tc>
          <w:tcPr>
            <w:tcW w:type="dxa" w:w="135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5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643"/>
            <w:shd w:val="clear" w:color="auto" w:fill="ffffff"/>
            <w:tcMar>
              <w:top w:w="60" w:type="dxa"/>
              <w:bottom w:w="60" w:type="dxa"/>
              <w:start w:w="80" w:type="dxa"/>
              <w:end w:w="80" w:type="dxa"/>
            </w:tcMar>
          </w:tcPr>
          <w:p>
            <w:pPr>
              <w:jc w:val="right"/>
            </w:pPr>
            <w:r>
              <w:rPr>
                <w:rFonts w:ascii="Cambria" w:hAnsi="Cambria"/>
                <w:b w:val="0"/>
                <w:i w:val="0"/>
                <w:color w:val="000000"/>
                <w:sz w:val="22"/>
              </w:rPr>
              <w:t>I</w:t>
            </w:r>
          </w:p>
        </w:tc>
      </w:tr>
      <w:tr>
        <w:trPr>
          <w:cantSplit w:val="true"/>
        </w:trPr>
        <w:tc>
          <w:tcPr>
            <w:tcW w:type="dxa" w:w="3191"/>
            <w:shd w:val="clear" w:color="auto" w:fill="f8f8f8"/>
            <w:tcMar>
              <w:top w:w="60" w:type="dxa"/>
              <w:bottom w:w="60" w:type="dxa"/>
              <w:start w:w="80" w:type="dxa"/>
              <w:end w:w="80" w:type="dxa"/>
            </w:tcMar>
          </w:tcPr>
          <w:p>
            <w:pPr>
              <w:jc w:val="left"/>
            </w:pPr>
            <w:r>
              <w:rPr>
                <w:rFonts w:ascii="Cambria" w:hAnsi="Cambria"/>
                <w:b w:val="0"/>
                <w:i w:val="0"/>
                <w:color w:val="000000"/>
                <w:sz w:val="22"/>
              </w:rPr>
              <w:t>chemotherapy, pamiparib</w:t>
            </w:r>
          </w:p>
        </w:tc>
        <w:tc>
          <w:tcPr>
            <w:tcW w:type="dxa" w:w="135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5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643"/>
            <w:shd w:val="clear" w:color="auto" w:fill="f8f8f8"/>
            <w:tcMar>
              <w:top w:w="60" w:type="dxa"/>
              <w:bottom w:w="60" w:type="dxa"/>
              <w:start w:w="80" w:type="dxa"/>
              <w:end w:w="80" w:type="dxa"/>
            </w:tcMar>
          </w:tcPr>
          <w:p>
            <w:pPr>
              <w:jc w:val="right"/>
            </w:pPr>
            <w:r>
              <w:rPr>
                <w:rFonts w:ascii="Cambria" w:hAnsi="Cambria"/>
                <w:b w:val="0"/>
                <w:i w:val="0"/>
                <w:color w:val="000000"/>
                <w:sz w:val="22"/>
              </w:rPr>
              <w:t>I</w:t>
            </w:r>
          </w:p>
        </w:tc>
      </w:tr>
      <w:tr>
        <w:trPr>
          <w:cantSplit w:val="true"/>
        </w:trPr>
        <w:tc>
          <w:tcPr>
            <w:tcW w:type="dxa" w:w="3191"/>
            <w:shd w:val="clear" w:color="auto" w:fill="ffffff"/>
            <w:tcMar>
              <w:top w:w="60" w:type="dxa"/>
              <w:bottom w:w="60" w:type="dxa"/>
              <w:start w:w="80" w:type="dxa"/>
              <w:end w:w="80" w:type="dxa"/>
            </w:tcMar>
          </w:tcPr>
          <w:p>
            <w:pPr>
              <w:jc w:val="left"/>
            </w:pPr>
            <w:r>
              <w:rPr>
                <w:rFonts w:ascii="Cambria" w:hAnsi="Cambria"/>
                <w:b w:val="0"/>
                <w:i w:val="0"/>
                <w:color w:val="000000"/>
                <w:sz w:val="22"/>
              </w:rPr>
              <w:t>MT-001 (Meton Pharmaceuticals)</w:t>
            </w:r>
          </w:p>
        </w:tc>
        <w:tc>
          <w:tcPr>
            <w:tcW w:type="dxa" w:w="135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5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643"/>
            <w:shd w:val="clear" w:color="auto" w:fill="ffffff"/>
            <w:tcMar>
              <w:top w:w="60" w:type="dxa"/>
              <w:bottom w:w="60" w:type="dxa"/>
              <w:start w:w="80" w:type="dxa"/>
              <w:end w:w="80" w:type="dxa"/>
            </w:tcMar>
          </w:tcPr>
          <w:p>
            <w:pPr>
              <w:jc w:val="right"/>
            </w:pPr>
            <w:r>
              <w:rPr>
                <w:rFonts w:ascii="Cambria" w:hAnsi="Cambria"/>
                <w:b w:val="0"/>
                <w:i w:val="0"/>
                <w:color w:val="000000"/>
                <w:sz w:val="22"/>
              </w:rPr>
              <w:t>I</w:t>
            </w:r>
          </w:p>
        </w:tc>
      </w:tr>
      <w:tr>
        <w:trPr>
          <w:cantSplit w:val="true"/>
        </w:trPr>
        <w:tc>
          <w:tcPr>
            <w:tcW w:type="dxa" w:w="3191"/>
            <w:shd w:val="clear" w:color="auto" w:fill="f8f8f8"/>
            <w:tcMar>
              <w:top w:w="60" w:type="dxa"/>
              <w:bottom w:w="60" w:type="dxa"/>
              <w:start w:w="80" w:type="dxa"/>
              <w:end w:w="80" w:type="dxa"/>
            </w:tcMar>
          </w:tcPr>
          <w:p>
            <w:pPr>
              <w:jc w:val="left"/>
            </w:pPr>
            <w:r>
              <w:rPr>
                <w:rFonts w:ascii="Cambria" w:hAnsi="Cambria"/>
                <w:b w:val="0"/>
                <w:i w:val="0"/>
                <w:color w:val="000000"/>
                <w:sz w:val="22"/>
              </w:rPr>
              <w:t>MVR-C5252</w:t>
            </w:r>
          </w:p>
        </w:tc>
        <w:tc>
          <w:tcPr>
            <w:tcW w:type="dxa" w:w="135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357"/>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8f8f8"/>
            <w:tcMar>
              <w:top w:w="60" w:type="dxa"/>
              <w:bottom w:w="60" w:type="dxa"/>
              <w:start w:w="80" w:type="dxa"/>
              <w:end w:w="80" w:type="dxa"/>
            </w:tcMar>
          </w:tcPr>
          <w:p>
            <w:pPr>
              <w:jc w:val="left"/>
            </w:pPr>
            <w:r>
              <w:rPr>
                <w:rFonts w:ascii="Cambria" w:hAnsi="Cambria"/>
                <w:b w:val="0"/>
                <w:i w:val="0"/>
                <w:color w:val="808080"/>
                <w:sz w:val="24"/>
              </w:rPr>
              <w:t>X</w:t>
            </w:r>
          </w:p>
        </w:tc>
        <w:tc>
          <w:tcPr>
            <w:tcW w:type="dxa" w:w="1643"/>
            <w:shd w:val="clear" w:color="auto" w:fill="f8f8f8"/>
            <w:tcMar>
              <w:top w:w="60" w:type="dxa"/>
              <w:bottom w:w="60" w:type="dxa"/>
              <w:start w:w="80" w:type="dxa"/>
              <w:end w:w="80" w:type="dxa"/>
            </w:tcMar>
          </w:tcPr>
          <w:p>
            <w:pPr>
              <w:jc w:val="right"/>
            </w:pPr>
            <w:r>
              <w:rPr>
                <w:rFonts w:ascii="Cambria" w:hAnsi="Cambria"/>
                <w:b w:val="0"/>
                <w:i w:val="0"/>
                <w:color w:val="000000"/>
                <w:sz w:val="22"/>
              </w:rPr>
              <w:t>I</w:t>
            </w:r>
          </w:p>
        </w:tc>
      </w:tr>
      <w:tr>
        <w:trPr>
          <w:cantSplit w:val="true"/>
        </w:trPr>
        <w:tc>
          <w:tcPr>
            <w:tcW w:type="dxa" w:w="3191"/>
            <w:shd w:val="clear" w:color="auto" w:fill="ffffff"/>
            <w:tcMar>
              <w:top w:w="60" w:type="dxa"/>
              <w:bottom w:w="60" w:type="dxa"/>
              <w:start w:w="80" w:type="dxa"/>
              <w:end w:w="80" w:type="dxa"/>
            </w:tcMar>
          </w:tcPr>
          <w:p>
            <w:pPr>
              <w:jc w:val="left"/>
            </w:pPr>
            <w:r>
              <w:rPr>
                <w:rFonts w:ascii="Cambria" w:hAnsi="Cambria"/>
                <w:b w:val="0"/>
                <w:i w:val="0"/>
                <w:color w:val="000000"/>
                <w:sz w:val="22"/>
              </w:rPr>
              <w:t>tasadenoturev</w:t>
            </w:r>
          </w:p>
        </w:tc>
        <w:tc>
          <w:tcPr>
            <w:tcW w:type="dxa" w:w="135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357"/>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459"/>
            <w:shd w:val="clear" w:color="auto" w:fill="ffffff"/>
            <w:tcMar>
              <w:top w:w="60" w:type="dxa"/>
              <w:bottom w:w="60" w:type="dxa"/>
              <w:start w:w="80" w:type="dxa"/>
              <w:end w:w="80" w:type="dxa"/>
            </w:tcMar>
          </w:tcPr>
          <w:p>
            <w:pPr>
              <w:jc w:val="left"/>
            </w:pPr>
            <w:r>
              <w:rPr>
                <w:rFonts w:ascii="Cambria" w:hAnsi="Cambria"/>
                <w:b w:val="0"/>
                <w:i w:val="0"/>
                <w:color w:val="808080"/>
                <w:sz w:val="24"/>
              </w:rPr>
              <w:t>X</w:t>
            </w:r>
          </w:p>
        </w:tc>
        <w:tc>
          <w:tcPr>
            <w:tcW w:type="dxa" w:w="1643"/>
            <w:shd w:val="clear" w:color="auto" w:fill="ffffff"/>
            <w:tcMar>
              <w:top w:w="60" w:type="dxa"/>
              <w:bottom w:w="60" w:type="dxa"/>
              <w:start w:w="80" w:type="dxa"/>
              <w:end w:w="80" w:type="dxa"/>
            </w:tcMar>
          </w:tcPr>
          <w:p>
            <w:pPr>
              <w:jc w:val="right"/>
            </w:pPr>
            <w:r>
              <w:rPr>
                <w:rFonts w:ascii="Cambria" w:hAnsi="Cambria"/>
                <w:b w:val="0"/>
                <w:i w:val="0"/>
                <w:color w:val="000000"/>
                <w:sz w:val="22"/>
              </w:rPr>
              <w:t>I</w:t>
            </w:r>
          </w:p>
        </w:tc>
      </w:tr>
      <w:tr>
        <w:trPr>
          <w:cantSplit w:val="true"/>
        </w:trPr>
        <w:tc>
          <w:tcPr>
            <w:tcW w:type="dxa" w:w="3191"/>
            <w:tcMar>
              <w:top w:w="60" w:type="dxa"/>
              <w:bottom w:w="60" w:type="dxa"/>
              <w:start w:w="80" w:type="dxa"/>
              <w:end w:w="80" w:type="dxa"/>
            </w:tcMar>
          </w:tcPr>
          <w:p>
            <w:pPr>
              <w:jc w:val="left"/>
            </w:pPr>
            <w:r>
              <w:rPr>
                <w:rFonts w:ascii="Times New Roman" w:hAnsi="Times New Roman"/>
                <w:b w:val="0"/>
                <w:i w:val="0"/>
                <w:color w:val="000000"/>
                <w:sz w:val="19"/>
              </w:rPr>
              <w:t>TGFβR2KO/IL13Rα2 CAR T-cells</w:t>
            </w:r>
          </w:p>
        </w:tc>
        <w:tc>
          <w:tcPr>
            <w:tcW w:type="dxa" w:w="1357"/>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59"/>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357"/>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459"/>
            <w:tcMar>
              <w:top w:w="60" w:type="dxa"/>
              <w:bottom w:w="60" w:type="dxa"/>
              <w:start w:w="80" w:type="dxa"/>
              <w:end w:w="80" w:type="dxa"/>
            </w:tcMar>
          </w:tcPr>
          <w:p>
            <w:pPr>
              <w:jc w:val="left"/>
            </w:pPr>
            <w:r>
              <w:rPr>
                <w:rFonts w:ascii="Times New Roman" w:hAnsi="Times New Roman"/>
                <w:b w:val="0"/>
                <w:i w:val="0"/>
                <w:color w:val="000000"/>
                <w:sz w:val="19"/>
              </w:rPr>
              <w:t>X</w:t>
            </w:r>
          </w:p>
        </w:tc>
        <w:tc>
          <w:tcPr>
            <w:tcW w:type="dxa" w:w="1643"/>
            <w:tcMar>
              <w:top w:w="60" w:type="dxa"/>
              <w:bottom w:w="60" w:type="dxa"/>
              <w:start w:w="80" w:type="dxa"/>
              <w:end w:w="80" w:type="dxa"/>
            </w:tcMar>
          </w:tcPr>
          <w:p>
            <w:pPr>
              <w:jc w:val="left"/>
            </w:pPr>
            <w:r>
              <w:rPr>
                <w:rFonts w:ascii="Times New Roman" w:hAnsi="Times New Roman"/>
                <w:b w:val="0"/>
                <w:i w:val="0"/>
                <w:color w:val="000000"/>
                <w:sz w:val="19"/>
              </w:rPr>
              <w:t>I</w:t>
            </w:r>
          </w:p>
        </w:tc>
      </w:tr>
    </w:tbl>
    <w:p>
      <w:pPr>
        <w:spacing w:before="0" w:after="120" w:line="20" w:lineRule="exact"/>
      </w:pPr>
      <w:r>
        <w:rPr>
          <w:sz w:val="2"/>
        </w:rPr>
      </w:r>
    </w:p>
    <w:p>
      <w:pPr>
        <w:spacing w:before="0" w:after="6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Note</w:t>
            </w:r>
          </w:p>
        </w:tc>
        <w:tc>
          <w:tcPr>
            <w:tcW w:type="dxa" w:w="3168"/>
            <w:tcMar>
              <w:top w:w="20" w:type="dxa"/>
              <w:bottom w:w="20" w:type="dxa"/>
              <w:start w:w="40" w:type="dxa"/>
              <w:end w:w="40" w:type="dxa"/>
            </w:tcMar>
          </w:tcPr>
          <w:p>
            <w:r>
              <w:rPr>
                <w:rFonts w:ascii="Times New Roman" w:hAnsi="Times New Roman"/>
                <w:color w:val="000000"/>
                <w:sz w:val="20"/>
              </w:rPr>
              <w:t>✓ : In this Cancer Type,  ✓ : In Other Cancer Type,  ✓ ✓ : both In this and Other Cancer Type,  X  : No</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328" w:after="60"/>
        <w:jc w:val="left"/>
      </w:pPr>
      <w:r>
        <w:rPr>
          <w:rFonts w:ascii="Cambria" w:hAnsi="Cambria"/>
          <w:b/>
          <w:i w:val="0"/>
          <w:color w:val="1F497D"/>
          <w:sz w:val="22"/>
        </w:rPr>
        <w:t>Test Description</w:t>
      </w:r>
    </w:p>
    <w:p>
      <w:pPr>
        <w:spacing w:before="128" w:after="80" w:line="276" w:lineRule="auto"/>
        <w:jc w:val="left"/>
      </w:pPr>
      <w:r>
        <w:rPr>
          <w:rFonts w:ascii="Cambria" w:hAnsi="Cambria"/>
          <w:color w:val="000000"/>
          <w:sz w:val="22"/>
          <w:highlight w:val="yellow"/>
        </w:rPr>
        <w:t>TEST NAME</w:t>
      </w:r>
      <w:r>
        <w:rPr>
          <w:rFonts w:ascii="Cambria" w:hAnsi="Cambria"/>
          <w:color w:val="000000"/>
          <w:sz w:val="22"/>
        </w:rPr>
        <w:t xml:space="preserv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2"/>
        </w:rPr>
        <w:t>The </w:t>
      </w:r>
      <w:r>
        <w:rPr>
          <w:rFonts w:ascii="Cambria" w:hAnsi="Cambria"/>
          <w:color w:val="000000"/>
          <w:sz w:val="22"/>
          <w:highlight w:val="yellow"/>
        </w:rPr>
        <w:t xml:space="preserve">TEST NAME</w:t>
      </w:r>
      <w:r>
        <w:rPr>
          <w:rFonts w:ascii="Cambria" w:hAnsi="Cambria"/>
          <w:color w:val="000000"/>
          <w:sz w:val="22"/>
        </w:rPr>
        <w:t xml:space="preserve"> assay analyses 89 unique genes ( 62 DNA + 27 RNA) for single gene and multiple gene biomarker insights, detects single gene biomarkers from all variant types including  SNVs, indels, CNVs, known and novel fusions, and splice variants , analyze complex multi-gene biomarkers for mutational signatures, microsatellite instability ( MSI ) for immunotherapy research, MGMT methylation  status &amp; FISH for  1p19q co-deletion .</w:t>
      </w:r>
    </w:p>
    <w:p>
      <w:pPr>
        <w:spacing w:before="360" w:after="80" w:line="276" w:lineRule="auto"/>
        <w:jc w:val="left"/>
      </w:pPr>
      <w:r>
        <w:rPr>
          <w:rFonts w:ascii="Cambria" w:hAnsi="Cambria"/>
          <w:color w:val="000000"/>
          <w:sz w:val="22"/>
        </w:rPr>
        <w:t>The performance of the panel was verified using both commercially sourced reference controls and FFPE samples.</w:t>
      </w:r>
    </w:p>
    <w:p>
      <w:pPr>
        <w:spacing w:before="360" w:after="80" w:line="276" w:lineRule="auto"/>
        <w:jc w:val="left"/>
      </w:pPr>
      <w:r>
        <w:rPr>
          <w:rFonts w:ascii="Cambria" w:hAnsi="Cambria"/>
          <w:color w:val="000000"/>
          <w:sz w:val="22"/>
        </w:rPr>
        <w:t>Test Methodology Extraction &amp; Library Preparation: DNA &amp; RNA extracted from FFPE tissue block sample is used for targeted gene capture using a custom designed hybrid capture panel. In process quality controls were determined for prepared library.</w:t>
      </w:r>
    </w:p>
    <w:p>
      <w:pPr>
        <w:spacing w:before="0" w:after="29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Sequencing</w:t>
            </w:r>
          </w:p>
        </w:tc>
        <w:tc>
          <w:tcPr>
            <w:tcW w:type="dxa" w:w="3168"/>
            <w:tcMar>
              <w:top w:w="20" w:type="dxa"/>
              <w:bottom w:w="20" w:type="dxa"/>
              <w:start w:w="40" w:type="dxa"/>
              <w:end w:w="40" w:type="dxa"/>
            </w:tcMar>
          </w:tcPr>
          <w:p>
            <w:r>
              <w:rPr>
                <w:rFonts w:ascii="Times New Roman" w:hAnsi="Times New Roman"/>
                <w:color w:val="000000"/>
                <w:sz w:val="20"/>
              </w:rPr>
              <w:t>The   libraries   were   sequenced   at   mean   depth:   &gt;1000x   on   Illumina   Novaseq-   next   generation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25"/>
          <w:footerReference w:type="default" r:id="rId2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Data   Analysis</w:t>
            </w:r>
          </w:p>
        </w:tc>
        <w:tc>
          <w:tcPr>
            <w:tcW w:type="dxa" w:w="3168"/>
            <w:tcMar>
              <w:top w:w="20" w:type="dxa"/>
              <w:bottom w:w="20" w:type="dxa"/>
              <w:start w:w="40" w:type="dxa"/>
              <w:end w:w="40" w:type="dxa"/>
            </w:tcMar>
          </w:tcPr>
          <w:p>
            <w:r>
              <w:rPr>
                <w:rFonts w:ascii="Times New Roman" w:hAnsi="Times New Roman"/>
                <w:color w:val="000000"/>
                <w:sz w:val="20"/>
              </w:rPr>
              <w:t>Sequencing   data   are   analyzed   using   a   customized   and   validated   bioinformatics   pipeline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18" w:after="80" w:line="276" w:lineRule="auto"/>
        <w:jc w:val="left"/>
      </w:pPr>
      <w:r>
        <w:rPr>
          <w:rFonts w:ascii="Cambria" w:hAnsi="Cambria"/>
          <w:color w:val="000000"/>
          <w:sz w:val="22"/>
        </w:rPr>
        <w:t>Limit of Detection (LOD): The LOD for SNVs and InDels is 5% Variant allele Frequency (VAF) and for Fusions is ≥10 supporting reads.</w:t>
      </w:r>
    </w:p>
    <w:p>
      <w:pPr>
        <w:keepNext/>
        <w:spacing w:before="360" w:after="80"/>
        <w:jc w:val="left"/>
      </w:pPr>
      <w:r>
        <w:rPr>
          <w:rFonts w:ascii="Cambria" w:hAnsi="Cambria"/>
          <w:b/>
          <w:i w:val="0"/>
          <w:color w:val="000000"/>
          <w:sz w:val="22"/>
        </w:rPr>
        <w:t>MLPA:</w:t>
      </w:r>
    </w:p>
    <w:p>
      <w:pPr>
        <w:spacing w:before="118" w:after="80" w:line="276" w:lineRule="auto"/>
        <w:jc w:val="left"/>
      </w:pPr>
      <w:r>
        <w:rPr>
          <w:rFonts w:ascii="Cambria" w:hAnsi="Cambria"/>
          <w:color w:val="000000"/>
          <w:sz w:val="22"/>
        </w:rPr>
        <w:t>MGMT Methylation Analysis is based on the MS-MLPA technology (Methylation Specific Multiplex Ligation- dependent Probe Amplification) and employs the SALSA® MLPA® probe mixes available from MRC (Holland).</w:t>
      </w:r>
    </w:p>
    <w:p>
      <w:pPr>
        <w:keepNext/>
        <w:spacing w:before="360" w:after="80"/>
        <w:jc w:val="left"/>
      </w:pPr>
      <w:r>
        <w:rPr>
          <w:rFonts w:ascii="Cambria" w:hAnsi="Cambria"/>
          <w:b/>
          <w:i w:val="0"/>
          <w:color w:val="000000"/>
          <w:sz w:val="22"/>
        </w:rPr>
        <w:t>FISH :</w:t>
      </w:r>
    </w:p>
    <w:p>
      <w:pPr>
        <w:spacing w:before="118" w:after="80" w:line="276" w:lineRule="auto"/>
        <w:jc w:val="left"/>
      </w:pPr>
      <w:r>
        <w:rPr>
          <w:rFonts w:ascii="Cambria" w:hAnsi="Cambria"/>
          <w:color w:val="000000"/>
          <w:sz w:val="22"/>
        </w:rPr>
        <w:t>1p36 and 19q13 – co-deletion By Fluorescence in situ Hybridization (FISH).</w:t>
      </w:r>
    </w:p>
    <w:p>
      <w:pPr>
        <w:spacing w:before="118" w:after="80" w:line="276" w:lineRule="auto"/>
        <w:jc w:val="left"/>
      </w:pPr>
      <w:r>
        <w:rPr>
          <w:rFonts w:ascii="Cambria" w:hAnsi="Cambria"/>
          <w:color w:val="000000"/>
          <w:sz w:val="22"/>
        </w:rPr>
        <w:t>Healthcare 1p Dual color gene detection Probes Orange: 1p36, Green: 1q25.</w:t>
      </w:r>
    </w:p>
    <w:p>
      <w:pPr>
        <w:spacing w:before="118" w:after="80" w:line="276" w:lineRule="auto"/>
        <w:jc w:val="left"/>
      </w:pPr>
      <w:r>
        <w:rPr>
          <w:rFonts w:ascii="Cambria" w:hAnsi="Cambria"/>
          <w:color w:val="000000"/>
          <w:sz w:val="22"/>
        </w:rPr>
        <w:t>Healthcare 19q Dual color gene detection Probes Orange: 19q13, Green: 19p13</w:t>
      </w:r>
    </w:p>
    <w:p>
      <w:pPr>
        <w:spacing w:before="87" w:after="120"/>
        <w:jc w:val="center"/>
      </w:pPr>
      <w:r>
        <w:drawing>
          <wp:inline xmlns:a="http://schemas.openxmlformats.org/drawingml/2006/main" xmlns:pic="http://schemas.openxmlformats.org/drawingml/2006/picture">
            <wp:extent cx="5486400" cy="2396586"/>
            <wp:docPr id="3" name="Picture 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396586"/>
                    </a:xfrm>
                    <a:prstGeom prst="rect"/>
                  </pic:spPr>
                </pic:pic>
              </a:graphicData>
            </a:graphic>
          </wp:inline>
        </w:drawing>
      </w:r>
    </w:p>
    <w:p>
      <w:pPr>
        <w:keepNext/>
        <w:spacing w:before="360" w:after="60"/>
        <w:jc w:val="left"/>
      </w:pPr>
      <w:r>
        <w:rPr>
          <w:rFonts w:ascii="Cambria" w:hAnsi="Cambria"/>
          <w:b/>
          <w:i w:val="0"/>
          <w:color w:val="1F497D"/>
          <w:sz w:val="22"/>
        </w:rPr>
        <w:t>Related Biomarker Information MGMT Methylation:</w:t>
      </w:r>
    </w:p>
    <w:p>
      <w:pPr>
        <w:sectPr>
          <w:headerReference w:type="default" r:id="rId27"/>
          <w:footerReference w:type="default" r:id="rId28"/>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2"/>
        </w:rPr>
        <w:t>Epigenetic silencing of the MGMT (O6‐methylguanine–DNA methyltransferase) DNA repair gene by promoter methylation compromises DNA repair mechanism and has been associated with better response to treatment and longer overall survival in glioma patients treated with alkylating agents.</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Biology of the process</w:t>
            </w:r>
          </w:p>
        </w:tc>
        <w:tc>
          <w:tcPr>
            <w:tcW w:type="dxa" w:w="3168"/>
            <w:tcMar>
              <w:top w:w="20" w:type="dxa"/>
              <w:bottom w:w="20" w:type="dxa"/>
              <w:start w:w="40" w:type="dxa"/>
              <w:end w:w="40" w:type="dxa"/>
            </w:tcMar>
          </w:tcPr>
          <w:p>
            <w:r>
              <w:rPr>
                <w:rFonts w:ascii="Times New Roman" w:hAnsi="Times New Roman"/>
                <w:color w:val="000000"/>
                <w:sz w:val="20"/>
              </w:rPr>
              <w:t>MGMT is a DNA repair enzyme that reverses alkylation of guanine by transferring the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left"/>
      </w:pPr>
      <w:r>
        <w:rPr>
          <w:rFonts w:ascii="Cambria" w:hAnsi="Cambria"/>
          <w:color w:val="000000"/>
          <w:sz w:val="22"/>
        </w:rPr>
        <w:t>Clinical indications for MGMT promoter methylation testing include high grade glioma (anaplastic astrocytoma or glioblastoma) patient being considered for therapy with an alkylating agent, or glioma patient being considered for temozolomide therapy.</w:t>
      </w:r>
    </w:p>
    <w:p>
      <w:pPr>
        <w:keepNext/>
        <w:spacing w:before="360" w:after="60"/>
        <w:jc w:val="left"/>
      </w:pPr>
      <w:r>
        <w:rPr>
          <w:rFonts w:ascii="Cambria" w:hAnsi="Cambria"/>
          <w:b/>
          <w:i w:val="0"/>
          <w:color w:val="000000"/>
          <w:sz w:val="22"/>
        </w:rPr>
        <w:t>FISH 1p/19q co-deletion:</w:t>
      </w:r>
    </w:p>
    <w:p>
      <w:pPr>
        <w:spacing w:before="118" w:after="80" w:line="276" w:lineRule="auto"/>
        <w:jc w:val="left"/>
      </w:pPr>
      <w:r>
        <w:rPr>
          <w:rFonts w:ascii="Cambria" w:hAnsi="Cambria"/>
          <w:color w:val="000000"/>
          <w:sz w:val="22"/>
        </w:rPr>
        <w:t>The presence of 1p/19q co-deletion predicts a better response to chemotherapy (such as temozolomide) and radiotherapy, which are standard treatments for oligodendrogliomas.</w:t>
      </w:r>
    </w:p>
    <w:p>
      <w:pPr>
        <w:spacing w:before="118" w:after="80" w:line="276" w:lineRule="auto"/>
        <w:jc w:val="left"/>
      </w:pPr>
      <w:r>
        <w:rPr>
          <w:rFonts w:ascii="Cambria" w:hAnsi="Cambria"/>
          <w:color w:val="000000"/>
          <w:sz w:val="22"/>
        </w:rPr>
        <w:t>Patients with 1p/19q co-deletion generally have a better prognosis, meaning a longer survival and slower disease progression. The World Health Organization (WHO) classification of gliomas considers 1p/19q co- deletion status essential for a complete diagnosis of oligodendrogliomas.</w:t>
      </w:r>
    </w:p>
    <w:p>
      <w:pPr>
        <w:keepNext/>
        <w:spacing w:before="360" w:after="60"/>
        <w:jc w:val="left"/>
      </w:pPr>
      <w:r>
        <w:rPr>
          <w:rFonts w:ascii="Cambria" w:hAnsi="Cambria"/>
          <w:b/>
          <w:i w:val="0"/>
          <w:color w:val="1F497D"/>
          <w:sz w:val="22"/>
        </w:rPr>
        <w:t>Notes</w:t>
      </w:r>
    </w:p>
    <w:p>
      <w:pPr>
        <w:spacing w:before="128" w:after="80" w:line="276" w:lineRule="auto"/>
        <w:jc w:val="left"/>
      </w:pPr>
      <w:r>
        <w:rPr>
          <w:rFonts w:ascii="Cambria" w:hAnsi="Cambria"/>
          <w:color w:val="000000"/>
          <w:sz w:val="22"/>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2"/>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 Page 10 of 15</w:t>
      </w:r>
    </w:p>
    <w:p>
      <w:pPr>
        <w:sectPr>
          <w:headerReference w:type="default" r:id="rId30"/>
          <w:footerReference w:type="default" r:id="rId31"/>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2"/>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2"/>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2"/>
        </w:rPr>
        <w:t>All variant classifications and related clinical information are based on the latest evidence from peer- 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2"/>
        </w:rPr>
        <w:t>This test is performed on tumor tissue without a matched normal (e.g., blood) sample. Therefore, some variants may be of germline origin. While the assay is designed and validated for somatic variant detection, it does not differentiate between somatic and germline variants. If indicated, germline testing and genetic counselling are recommended.</w:t>
      </w:r>
    </w:p>
    <w:p>
      <w:pPr>
        <w:spacing w:before="360" w:after="80" w:line="276" w:lineRule="auto"/>
        <w:jc w:val="left"/>
      </w:pPr>
      <w:r>
        <w:rPr>
          <w:rFonts w:ascii="Cambria" w:hAnsi="Cambria"/>
          <w:color w:val="000000"/>
          <w:sz w:val="22"/>
        </w:rPr>
        <w:t>FFPE-derived samples often pose challenges due to degradation. Poor-quality DNA or RNA may fail QC thresholds at various stages such as extraction, library preparation, or bioinformatics, and may result in assay failure or compromised results, such as low gene coverage or shallow variant depth. TMB score may be influenced by cytosine deamination artifacts (C&gt;T transitions), especially in poorly fixed tissues.</w:t>
      </w:r>
    </w:p>
    <w:p>
      <w:pPr>
        <w:spacing w:before="360" w:after="80" w:line="276" w:lineRule="auto"/>
        <w:jc w:val="left"/>
      </w:pPr>
      <w:r>
        <w:rPr>
          <w:rFonts w:ascii="Cambria" w:hAnsi="Cambria"/>
          <w:color w:val="000000"/>
          <w:sz w:val="22"/>
        </w:rPr>
        <w:t>Variants with allele frequencies between 3–5%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2"/>
        </w:rPr>
        <w:t>CNVs/gene amplifications have &gt;80% detection sensitivity in this assay. Confirmation using orthogonal methods such as FISH/DDPCR is recommended when clinically indicated.</w:t>
      </w:r>
    </w:p>
    <w:p>
      <w:pPr>
        <w:spacing w:before="360" w:after="80" w:line="276" w:lineRule="auto"/>
        <w:jc w:val="left"/>
      </w:pPr>
      <w:r>
        <w:rPr>
          <w:rFonts w:ascii="Cambria" w:hAnsi="Cambria"/>
          <w:color w:val="000000"/>
          <w:sz w:val="22"/>
        </w:rPr>
        <w:t>Variants in non-coding regions or deep intronic sequences are not assessed in this assay.</w:t>
      </w:r>
    </w:p>
    <w:p>
      <w:pPr>
        <w:keepNext/>
        <w:spacing w:before="118" w:after="60"/>
        <w:jc w:val="left"/>
      </w:pPr>
      <w:r>
        <w:rPr>
          <w:rFonts w:ascii="Cambria" w:hAnsi="Cambria"/>
          <w:b/>
          <w:i/>
          <w:color w:val="000000"/>
          <w:sz w:val="22"/>
        </w:rPr>
        <w:t>This assay is under the scope of NABL as </w:t>
      </w:r>
      <w:r>
        <w:rPr>
          <w:rFonts w:ascii="Cambria" w:hAnsi="Cambria"/>
          <w:b/>
          <w:i/>
          <w:color w:val="000000"/>
          <w:sz w:val="22"/>
          <w:highlight w:val="yellow"/>
        </w:rPr>
        <w:t xml:space="preserve">TEST NAME</w:t>
      </w:r>
      <w:r>
        <w:rPr>
          <w:rFonts w:ascii="Cambria" w:hAnsi="Cambria"/>
          <w:b/>
          <w:i/>
          <w:color w:val="000000"/>
          <w:sz w:val="22"/>
        </w:rPr>
        <w:t xml:space="preserve">. Page 11 of 15</w:t>
      </w:r>
    </w:p>
    <w:p>
      <w:pPr>
        <w:sectPr>
          <w:headerReference w:type="default" r:id="rId32"/>
          <w:footerReference w:type="default" r:id="rId33"/>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2"/>
              </w:rPr>
              <w:t>DNA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AKT1</w:t>
            </w:r>
          </w:p>
        </w:tc>
        <w:tc>
          <w:tcPr>
            <w:tcW w:type="dxa" w:w="2004"/>
            <w:tcMar>
              <w:top w:w="60" w:type="dxa"/>
              <w:bottom w:w="60" w:type="dxa"/>
              <w:start w:w="80" w:type="dxa"/>
              <w:end w:w="80" w:type="dxa"/>
            </w:tcMar>
          </w:tcPr>
          <w:p>
            <w:pPr>
              <w:jc w:val="left"/>
            </w:pPr>
            <w:r>
              <w:rPr>
                <w:rFonts w:ascii="Cambria" w:hAnsi="Cambria"/>
                <w:b w:val="0"/>
                <w:i w:val="0"/>
                <w:color w:val="000000"/>
                <w:sz w:val="20"/>
              </w:rPr>
              <w:t>APC</w:t>
            </w:r>
          </w:p>
        </w:tc>
        <w:tc>
          <w:tcPr>
            <w:tcW w:type="dxa" w:w="2004"/>
            <w:tcMar>
              <w:top w:w="60" w:type="dxa"/>
              <w:bottom w:w="60" w:type="dxa"/>
              <w:start w:w="80" w:type="dxa"/>
              <w:end w:w="80" w:type="dxa"/>
            </w:tcMar>
          </w:tcPr>
          <w:p>
            <w:pPr>
              <w:jc w:val="center"/>
            </w:pPr>
            <w:r>
              <w:rPr>
                <w:rFonts w:ascii="Cambria" w:hAnsi="Cambria"/>
                <w:b w:val="0"/>
                <w:i w:val="0"/>
                <w:color w:val="000000"/>
                <w:sz w:val="20"/>
              </w:rPr>
              <w:t>ATRX</w:t>
            </w:r>
          </w:p>
        </w:tc>
        <w:tc>
          <w:tcPr>
            <w:tcW w:type="dxa" w:w="2004"/>
            <w:tcMar>
              <w:top w:w="60" w:type="dxa"/>
              <w:bottom w:w="60" w:type="dxa"/>
              <w:start w:w="80" w:type="dxa"/>
              <w:end w:w="80" w:type="dxa"/>
            </w:tcMar>
          </w:tcPr>
          <w:p>
            <w:pPr>
              <w:jc w:val="left"/>
            </w:pPr>
            <w:r>
              <w:rPr>
                <w:rFonts w:ascii="Cambria" w:hAnsi="Cambria"/>
                <w:b w:val="0"/>
                <w:i w:val="0"/>
                <w:color w:val="000000"/>
                <w:sz w:val="20"/>
              </w:rPr>
              <w:t>BAP1</w:t>
            </w:r>
          </w:p>
        </w:tc>
        <w:tc>
          <w:tcPr>
            <w:tcW w:type="dxa" w:w="2004"/>
            <w:tcMar>
              <w:top w:w="60" w:type="dxa"/>
              <w:bottom w:w="60" w:type="dxa"/>
              <w:start w:w="80" w:type="dxa"/>
              <w:end w:w="80" w:type="dxa"/>
            </w:tcMar>
          </w:tcPr>
          <w:p>
            <w:pPr>
              <w:jc w:val="right"/>
            </w:pPr>
            <w:r>
              <w:rPr>
                <w:rFonts w:ascii="Cambria" w:hAnsi="Cambria"/>
                <w:b w:val="0"/>
                <w:i w:val="0"/>
                <w:color w:val="000000"/>
                <w:sz w:val="20"/>
              </w:rPr>
              <w:t>BCOR</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BCORL1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BRAF</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CDK6</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CDKN2A</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CDKN2B</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CIC</w:t>
            </w:r>
          </w:p>
        </w:tc>
        <w:tc>
          <w:tcPr>
            <w:tcW w:type="dxa" w:w="2004"/>
            <w:tcMar>
              <w:top w:w="60" w:type="dxa"/>
              <w:bottom w:w="60" w:type="dxa"/>
              <w:start w:w="80" w:type="dxa"/>
              <w:end w:w="80" w:type="dxa"/>
            </w:tcMar>
          </w:tcPr>
          <w:p>
            <w:pPr>
              <w:jc w:val="left"/>
            </w:pPr>
            <w:r>
              <w:rPr>
                <w:rFonts w:ascii="Cambria" w:hAnsi="Cambria"/>
                <w:b w:val="0"/>
                <w:i w:val="0"/>
                <w:color w:val="000000"/>
                <w:sz w:val="20"/>
              </w:rPr>
              <w:t>CTNNB1</w:t>
            </w:r>
          </w:p>
        </w:tc>
        <w:tc>
          <w:tcPr>
            <w:tcW w:type="dxa" w:w="2004"/>
            <w:tcMar>
              <w:top w:w="60" w:type="dxa"/>
              <w:bottom w:w="60" w:type="dxa"/>
              <w:start w:w="80" w:type="dxa"/>
              <w:end w:w="80" w:type="dxa"/>
            </w:tcMar>
          </w:tcPr>
          <w:p>
            <w:pPr>
              <w:jc w:val="center"/>
            </w:pPr>
            <w:r>
              <w:rPr>
                <w:rFonts w:ascii="Cambria" w:hAnsi="Cambria"/>
                <w:b w:val="0"/>
                <w:i w:val="0"/>
                <w:color w:val="000000"/>
                <w:sz w:val="20"/>
              </w:rPr>
              <w:t>DICER1</w:t>
            </w:r>
          </w:p>
        </w:tc>
        <w:tc>
          <w:tcPr>
            <w:tcW w:type="dxa" w:w="2004"/>
            <w:tcMar>
              <w:top w:w="60" w:type="dxa"/>
              <w:bottom w:w="60" w:type="dxa"/>
              <w:start w:w="80" w:type="dxa"/>
              <w:end w:w="80" w:type="dxa"/>
            </w:tcMar>
          </w:tcPr>
          <w:p>
            <w:pPr>
              <w:jc w:val="left"/>
            </w:pPr>
            <w:r>
              <w:rPr>
                <w:rFonts w:ascii="Cambria" w:hAnsi="Cambria"/>
                <w:b w:val="0"/>
                <w:i w:val="0"/>
                <w:color w:val="000000"/>
                <w:sz w:val="20"/>
              </w:rPr>
              <w:t>EED</w:t>
            </w:r>
          </w:p>
        </w:tc>
        <w:tc>
          <w:tcPr>
            <w:tcW w:type="dxa" w:w="2004"/>
            <w:tcMar>
              <w:top w:w="60" w:type="dxa"/>
              <w:bottom w:w="60" w:type="dxa"/>
              <w:start w:w="80" w:type="dxa"/>
              <w:end w:w="80" w:type="dxa"/>
            </w:tcMar>
          </w:tcPr>
          <w:p>
            <w:pPr>
              <w:jc w:val="right"/>
            </w:pPr>
            <w:r>
              <w:rPr>
                <w:rFonts w:ascii="Cambria" w:hAnsi="Cambria"/>
                <w:b w:val="0"/>
                <w:i w:val="0"/>
                <w:color w:val="000000"/>
                <w:sz w:val="20"/>
              </w:rPr>
              <w:t>EGFR</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EPCAM</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ERBB2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ERBB4</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FGFR1</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FGFR2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FGFR3</w:t>
            </w:r>
          </w:p>
        </w:tc>
        <w:tc>
          <w:tcPr>
            <w:tcW w:type="dxa" w:w="2004"/>
            <w:tcMar>
              <w:top w:w="60" w:type="dxa"/>
              <w:bottom w:w="60" w:type="dxa"/>
              <w:start w:w="80" w:type="dxa"/>
              <w:end w:w="80" w:type="dxa"/>
            </w:tcMar>
          </w:tcPr>
          <w:p>
            <w:pPr>
              <w:jc w:val="left"/>
            </w:pPr>
            <w:r>
              <w:rPr>
                <w:rFonts w:ascii="Cambria" w:hAnsi="Cambria"/>
                <w:b w:val="0"/>
                <w:i w:val="0"/>
                <w:color w:val="000000"/>
                <w:sz w:val="20"/>
              </w:rPr>
              <w:t>FUBP1</w:t>
            </w:r>
          </w:p>
        </w:tc>
        <w:tc>
          <w:tcPr>
            <w:tcW w:type="dxa" w:w="2004"/>
            <w:tcMar>
              <w:top w:w="60" w:type="dxa"/>
              <w:bottom w:w="60" w:type="dxa"/>
              <w:start w:w="80" w:type="dxa"/>
              <w:end w:w="80" w:type="dxa"/>
            </w:tcMar>
          </w:tcPr>
          <w:p>
            <w:pPr>
              <w:jc w:val="center"/>
            </w:pPr>
            <w:r>
              <w:rPr>
                <w:rFonts w:ascii="Cambria" w:hAnsi="Cambria"/>
                <w:b w:val="0"/>
                <w:i w:val="0"/>
                <w:color w:val="000000"/>
                <w:sz w:val="20"/>
              </w:rPr>
              <w:t>GNA11</w:t>
            </w:r>
          </w:p>
        </w:tc>
        <w:tc>
          <w:tcPr>
            <w:tcW w:type="dxa" w:w="2004"/>
            <w:tcMar>
              <w:top w:w="60" w:type="dxa"/>
              <w:bottom w:w="60" w:type="dxa"/>
              <w:start w:w="80" w:type="dxa"/>
              <w:end w:w="80" w:type="dxa"/>
            </w:tcMar>
          </w:tcPr>
          <w:p>
            <w:pPr>
              <w:jc w:val="left"/>
            </w:pPr>
            <w:r>
              <w:rPr>
                <w:rFonts w:ascii="Cambria" w:hAnsi="Cambria"/>
                <w:b w:val="0"/>
                <w:i w:val="0"/>
                <w:color w:val="000000"/>
                <w:sz w:val="20"/>
              </w:rPr>
              <w:t>GNAQ</w:t>
            </w:r>
          </w:p>
        </w:tc>
        <w:tc>
          <w:tcPr>
            <w:tcW w:type="dxa" w:w="2004"/>
            <w:tcMar>
              <w:top w:w="60" w:type="dxa"/>
              <w:bottom w:w="60" w:type="dxa"/>
              <w:start w:w="80" w:type="dxa"/>
              <w:end w:w="80" w:type="dxa"/>
            </w:tcMar>
          </w:tcPr>
          <w:p>
            <w:pPr>
              <w:jc w:val="right"/>
            </w:pPr>
            <w:r>
              <w:rPr>
                <w:rFonts w:ascii="Cambria" w:hAnsi="Cambria"/>
                <w:b w:val="0"/>
                <w:i w:val="0"/>
                <w:color w:val="000000"/>
                <w:sz w:val="20"/>
              </w:rPr>
              <w:t>H3F3A</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HIST1H3C</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HRAS</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IDH1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IDH2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KDM6A</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KRAS</w:t>
            </w:r>
          </w:p>
        </w:tc>
        <w:tc>
          <w:tcPr>
            <w:tcW w:type="dxa" w:w="2004"/>
            <w:tcMar>
              <w:top w:w="60" w:type="dxa"/>
              <w:bottom w:w="60" w:type="dxa"/>
              <w:start w:w="80" w:type="dxa"/>
              <w:end w:w="80" w:type="dxa"/>
            </w:tcMar>
          </w:tcPr>
          <w:p>
            <w:pPr>
              <w:jc w:val="left"/>
            </w:pPr>
            <w:r>
              <w:rPr>
                <w:rFonts w:ascii="Cambria" w:hAnsi="Cambria"/>
                <w:b w:val="0"/>
                <w:i w:val="0"/>
                <w:color w:val="000000"/>
                <w:sz w:val="20"/>
              </w:rPr>
              <w:t>MAP2K1</w:t>
            </w:r>
          </w:p>
        </w:tc>
        <w:tc>
          <w:tcPr>
            <w:tcW w:type="dxa" w:w="2004"/>
            <w:tcMar>
              <w:top w:w="60" w:type="dxa"/>
              <w:bottom w:w="60" w:type="dxa"/>
              <w:start w:w="80" w:type="dxa"/>
              <w:end w:w="80" w:type="dxa"/>
            </w:tcMar>
          </w:tcPr>
          <w:p>
            <w:pPr>
              <w:jc w:val="center"/>
            </w:pPr>
            <w:r>
              <w:rPr>
                <w:rFonts w:ascii="Cambria" w:hAnsi="Cambria"/>
                <w:b w:val="0"/>
                <w:i w:val="0"/>
                <w:color w:val="000000"/>
                <w:sz w:val="20"/>
              </w:rPr>
              <w:t>MET</w:t>
            </w:r>
          </w:p>
        </w:tc>
        <w:tc>
          <w:tcPr>
            <w:tcW w:type="dxa" w:w="2004"/>
            <w:tcMar>
              <w:top w:w="60" w:type="dxa"/>
              <w:bottom w:w="60" w:type="dxa"/>
              <w:start w:w="80" w:type="dxa"/>
              <w:end w:w="80" w:type="dxa"/>
            </w:tcMar>
          </w:tcPr>
          <w:p>
            <w:pPr>
              <w:jc w:val="left"/>
            </w:pPr>
            <w:r>
              <w:rPr>
                <w:rFonts w:ascii="Cambria" w:hAnsi="Cambria"/>
                <w:b w:val="0"/>
                <w:i w:val="0"/>
                <w:color w:val="000000"/>
                <w:sz w:val="20"/>
              </w:rPr>
              <w:t>MLH1</w:t>
            </w:r>
          </w:p>
        </w:tc>
        <w:tc>
          <w:tcPr>
            <w:tcW w:type="dxa" w:w="2004"/>
            <w:tcMar>
              <w:top w:w="60" w:type="dxa"/>
              <w:bottom w:w="60" w:type="dxa"/>
              <w:start w:w="80" w:type="dxa"/>
              <w:end w:w="80" w:type="dxa"/>
            </w:tcMar>
          </w:tcPr>
          <w:p>
            <w:pPr>
              <w:jc w:val="right"/>
            </w:pPr>
            <w:r>
              <w:rPr>
                <w:rFonts w:ascii="Cambria" w:hAnsi="Cambria"/>
                <w:b w:val="0"/>
                <w:i w:val="0"/>
                <w:color w:val="000000"/>
                <w:sz w:val="20"/>
              </w:rPr>
              <w:t>MSH2</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MSH6</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MYC</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MYCN</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NF1</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NF2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NOTCH1</w:t>
            </w:r>
          </w:p>
        </w:tc>
        <w:tc>
          <w:tcPr>
            <w:tcW w:type="dxa" w:w="2004"/>
            <w:tcMar>
              <w:top w:w="60" w:type="dxa"/>
              <w:bottom w:w="60" w:type="dxa"/>
              <w:start w:w="80" w:type="dxa"/>
              <w:end w:w="80" w:type="dxa"/>
            </w:tcMar>
          </w:tcPr>
          <w:p>
            <w:pPr>
              <w:jc w:val="left"/>
            </w:pPr>
            <w:r>
              <w:rPr>
                <w:rFonts w:ascii="Cambria" w:hAnsi="Cambria"/>
                <w:b w:val="0"/>
                <w:i w:val="0"/>
                <w:color w:val="000000"/>
                <w:sz w:val="20"/>
              </w:rPr>
              <w:t>NRAS</w:t>
            </w:r>
          </w:p>
        </w:tc>
        <w:tc>
          <w:tcPr>
            <w:tcW w:type="dxa" w:w="2004"/>
            <w:tcMar>
              <w:top w:w="60" w:type="dxa"/>
              <w:bottom w:w="60" w:type="dxa"/>
              <w:start w:w="80" w:type="dxa"/>
              <w:end w:w="80" w:type="dxa"/>
            </w:tcMar>
          </w:tcPr>
          <w:p>
            <w:pPr>
              <w:jc w:val="center"/>
            </w:pPr>
            <w:r>
              <w:rPr>
                <w:rFonts w:ascii="Cambria" w:hAnsi="Cambria"/>
                <w:b w:val="0"/>
                <w:i w:val="0"/>
                <w:color w:val="000000"/>
                <w:sz w:val="20"/>
              </w:rPr>
              <w:t>PDGFRA</w:t>
            </w:r>
          </w:p>
        </w:tc>
        <w:tc>
          <w:tcPr>
            <w:tcW w:type="dxa" w:w="2004"/>
            <w:tcMar>
              <w:top w:w="60" w:type="dxa"/>
              <w:bottom w:w="60" w:type="dxa"/>
              <w:start w:w="80" w:type="dxa"/>
              <w:end w:w="80" w:type="dxa"/>
            </w:tcMar>
          </w:tcPr>
          <w:p>
            <w:pPr>
              <w:jc w:val="left"/>
            </w:pPr>
            <w:r>
              <w:rPr>
                <w:rFonts w:ascii="Cambria" w:hAnsi="Cambria"/>
                <w:b w:val="0"/>
                <w:i w:val="0"/>
                <w:color w:val="000000"/>
                <w:sz w:val="20"/>
              </w:rPr>
              <w:t>PIK3CA</w:t>
            </w:r>
          </w:p>
        </w:tc>
        <w:tc>
          <w:tcPr>
            <w:tcW w:type="dxa" w:w="2004"/>
            <w:tcMar>
              <w:top w:w="60" w:type="dxa"/>
              <w:bottom w:w="60" w:type="dxa"/>
              <w:start w:w="80" w:type="dxa"/>
              <w:end w:w="80" w:type="dxa"/>
            </w:tcMar>
          </w:tcPr>
          <w:p>
            <w:pPr>
              <w:jc w:val="right"/>
            </w:pPr>
            <w:r>
              <w:rPr>
                <w:rFonts w:ascii="Cambria" w:hAnsi="Cambria"/>
                <w:b w:val="0"/>
                <w:i w:val="0"/>
                <w:color w:val="000000"/>
                <w:sz w:val="20"/>
              </w:rPr>
              <w:t>PMS2</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PTCH1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PTEN</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RB1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SETD2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SF3B1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SMAD4</w:t>
            </w:r>
          </w:p>
        </w:tc>
        <w:tc>
          <w:tcPr>
            <w:tcW w:type="dxa" w:w="2004"/>
            <w:tcMar>
              <w:top w:w="60" w:type="dxa"/>
              <w:bottom w:w="60" w:type="dxa"/>
              <w:start w:w="80" w:type="dxa"/>
              <w:end w:w="80" w:type="dxa"/>
            </w:tcMar>
          </w:tcPr>
          <w:p>
            <w:pPr>
              <w:jc w:val="left"/>
            </w:pPr>
            <w:r>
              <w:rPr>
                <w:rFonts w:ascii="Cambria" w:hAnsi="Cambria"/>
                <w:b w:val="0"/>
                <w:i w:val="0"/>
                <w:color w:val="000000"/>
                <w:sz w:val="20"/>
              </w:rPr>
              <w:t>SMARCA4</w:t>
            </w:r>
          </w:p>
        </w:tc>
        <w:tc>
          <w:tcPr>
            <w:tcW w:type="dxa" w:w="2004"/>
            <w:tcMar>
              <w:top w:w="60" w:type="dxa"/>
              <w:bottom w:w="60" w:type="dxa"/>
              <w:start w:w="80" w:type="dxa"/>
              <w:end w:w="80" w:type="dxa"/>
            </w:tcMar>
          </w:tcPr>
          <w:p>
            <w:pPr>
              <w:jc w:val="center"/>
            </w:pPr>
            <w:r>
              <w:rPr>
                <w:rFonts w:ascii="Cambria" w:hAnsi="Cambria"/>
                <w:b w:val="0"/>
                <w:i w:val="0"/>
                <w:color w:val="000000"/>
                <w:sz w:val="20"/>
              </w:rPr>
              <w:t>SMARCB1</w:t>
            </w:r>
          </w:p>
        </w:tc>
        <w:tc>
          <w:tcPr>
            <w:tcW w:type="dxa" w:w="2004"/>
            <w:tcMar>
              <w:top w:w="60" w:type="dxa"/>
              <w:bottom w:w="60" w:type="dxa"/>
              <w:start w:w="80" w:type="dxa"/>
              <w:end w:w="80" w:type="dxa"/>
            </w:tcMar>
          </w:tcPr>
          <w:p>
            <w:pPr>
              <w:jc w:val="left"/>
            </w:pPr>
            <w:r>
              <w:rPr>
                <w:rFonts w:ascii="Cambria" w:hAnsi="Cambria"/>
                <w:b w:val="0"/>
                <w:i w:val="0"/>
                <w:color w:val="000000"/>
                <w:sz w:val="20"/>
              </w:rPr>
              <w:t>SMO</w:t>
            </w:r>
          </w:p>
        </w:tc>
        <w:tc>
          <w:tcPr>
            <w:tcW w:type="dxa" w:w="2004"/>
            <w:tcMar>
              <w:top w:w="60" w:type="dxa"/>
              <w:bottom w:w="60" w:type="dxa"/>
              <w:start w:w="80" w:type="dxa"/>
              <w:end w:w="80" w:type="dxa"/>
            </w:tcMar>
          </w:tcPr>
          <w:p>
            <w:pPr>
              <w:jc w:val="right"/>
            </w:pPr>
            <w:r>
              <w:rPr>
                <w:rFonts w:ascii="Cambria" w:hAnsi="Cambria"/>
                <w:b w:val="0"/>
                <w:i w:val="0"/>
                <w:color w:val="000000"/>
                <w:sz w:val="20"/>
              </w:rPr>
              <w:t>SRC</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SUFU</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SUZ12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TERT</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TP53</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TSC1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TSC2</w:t>
            </w:r>
          </w:p>
        </w:tc>
        <w:tc>
          <w:tcPr>
            <w:tcW w:type="dxa" w:w="2004"/>
            <w:tcMar>
              <w:top w:w="60" w:type="dxa"/>
              <w:bottom w:w="60" w:type="dxa"/>
              <w:start w:w="80" w:type="dxa"/>
              <w:end w:w="80" w:type="dxa"/>
            </w:tcMar>
          </w:tcPr>
          <w:p>
            <w:pPr>
              <w:jc w:val="left"/>
            </w:pPr>
            <w:r>
              <w:rPr>
                <w:rFonts w:ascii="Cambria" w:hAnsi="Cambria"/>
                <w:b w:val="0"/>
                <w:i w:val="0"/>
                <w:color w:val="000000"/>
                <w:sz w:val="20"/>
              </w:rPr>
              <w:t>VHL</w:t>
            </w:r>
          </w:p>
        </w:tc>
        <w:tc>
          <w:tcPr>
            <w:tcW w:type="dxa" w:w="2004"/>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2"/>
              </w:rPr>
              <w:t>RNA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BRAF</w:t>
            </w:r>
          </w:p>
        </w:tc>
        <w:tc>
          <w:tcPr>
            <w:tcW w:type="dxa" w:w="2004"/>
            <w:tcMar>
              <w:top w:w="60" w:type="dxa"/>
              <w:bottom w:w="60" w:type="dxa"/>
              <w:start w:w="80" w:type="dxa"/>
              <w:end w:w="80" w:type="dxa"/>
            </w:tcMar>
          </w:tcPr>
          <w:p>
            <w:pPr>
              <w:jc w:val="center"/>
            </w:pPr>
            <w:r>
              <w:rPr>
                <w:rFonts w:ascii="Cambria" w:hAnsi="Cambria"/>
                <w:b w:val="0"/>
                <w:i w:val="0"/>
                <w:color w:val="000000"/>
                <w:sz w:val="20"/>
              </w:rPr>
              <w:t>CIC</w:t>
            </w:r>
          </w:p>
        </w:tc>
        <w:tc>
          <w:tcPr>
            <w:tcW w:type="dxa" w:w="2004"/>
            <w:tcMar>
              <w:top w:w="60" w:type="dxa"/>
              <w:bottom w:w="60" w:type="dxa"/>
              <w:start w:w="80" w:type="dxa"/>
              <w:end w:w="80" w:type="dxa"/>
            </w:tcMar>
          </w:tcPr>
          <w:p>
            <w:pPr>
              <w:jc w:val="left"/>
            </w:pPr>
            <w:r>
              <w:rPr>
                <w:rFonts w:ascii="Cambria" w:hAnsi="Cambria"/>
                <w:b w:val="0"/>
                <w:i w:val="0"/>
                <w:color w:val="000000"/>
                <w:sz w:val="20"/>
              </w:rPr>
              <w:t>EGFR</w:t>
            </w:r>
          </w:p>
        </w:tc>
        <w:tc>
          <w:tcPr>
            <w:tcW w:type="dxa" w:w="2004"/>
            <w:tcMar>
              <w:top w:w="60" w:type="dxa"/>
              <w:bottom w:w="60" w:type="dxa"/>
              <w:start w:w="80" w:type="dxa"/>
              <w:end w:w="80" w:type="dxa"/>
            </w:tcMar>
          </w:tcPr>
          <w:p>
            <w:pPr>
              <w:jc w:val="right"/>
            </w:pPr>
            <w:r>
              <w:rPr>
                <w:rFonts w:ascii="Cambria" w:hAnsi="Cambria"/>
                <w:b w:val="0"/>
                <w:i w:val="0"/>
                <w:color w:val="000000"/>
                <w:sz w:val="20"/>
              </w:rPr>
              <w:t>EML4</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ETV6</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EWSR1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FGFR1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FGFR2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FGFR3</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FUS</w:t>
            </w:r>
          </w:p>
        </w:tc>
        <w:tc>
          <w:tcPr>
            <w:tcW w:type="dxa" w:w="2004"/>
            <w:tcMar>
              <w:top w:w="60" w:type="dxa"/>
              <w:bottom w:w="60" w:type="dxa"/>
              <w:start w:w="80" w:type="dxa"/>
              <w:end w:w="80" w:type="dxa"/>
            </w:tcMar>
          </w:tcPr>
          <w:p>
            <w:pPr>
              <w:jc w:val="left"/>
            </w:pPr>
            <w:r>
              <w:rPr>
                <w:rFonts w:ascii="Cambria" w:hAnsi="Cambria"/>
                <w:b w:val="0"/>
                <w:i w:val="0"/>
                <w:color w:val="000000"/>
                <w:sz w:val="20"/>
              </w:rPr>
              <w:t>KIAA1549</w:t>
            </w:r>
          </w:p>
        </w:tc>
        <w:tc>
          <w:tcPr>
            <w:tcW w:type="dxa" w:w="2004"/>
            <w:tcMar>
              <w:top w:w="60" w:type="dxa"/>
              <w:bottom w:w="60" w:type="dxa"/>
              <w:start w:w="80" w:type="dxa"/>
              <w:end w:w="80" w:type="dxa"/>
            </w:tcMar>
          </w:tcPr>
          <w:p>
            <w:pPr>
              <w:jc w:val="center"/>
            </w:pPr>
            <w:r>
              <w:rPr>
                <w:rFonts w:ascii="Cambria" w:hAnsi="Cambria"/>
                <w:b w:val="0"/>
                <w:i w:val="0"/>
                <w:color w:val="000000"/>
                <w:sz w:val="20"/>
              </w:rPr>
              <w:t>MAML2</w:t>
            </w:r>
          </w:p>
        </w:tc>
        <w:tc>
          <w:tcPr>
            <w:tcW w:type="dxa" w:w="2004"/>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right"/>
            </w:pPr>
            <w:r>
              <w:rPr>
                <w:rFonts w:ascii="Cambria" w:hAnsi="Cambria"/>
                <w:b w:val="0"/>
                <w:i w:val="0"/>
                <w:color w:val="000000"/>
                <w:sz w:val="20"/>
              </w:rPr>
              <w:t>MN1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MYB</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MYBL1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NTRK1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NTRK2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NTRK3</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PRKCA</w:t>
            </w:r>
          </w:p>
        </w:tc>
        <w:tc>
          <w:tcPr>
            <w:tcW w:type="dxa" w:w="2004"/>
            <w:tcMar>
              <w:top w:w="60" w:type="dxa"/>
              <w:bottom w:w="60" w:type="dxa"/>
              <w:start w:w="80" w:type="dxa"/>
              <w:end w:w="80" w:type="dxa"/>
            </w:tcMar>
          </w:tcPr>
          <w:p>
            <w:pPr>
              <w:jc w:val="left"/>
            </w:pPr>
            <w:r>
              <w:rPr>
                <w:rFonts w:ascii="Cambria" w:hAnsi="Cambria"/>
                <w:b w:val="0"/>
                <w:i w:val="0"/>
                <w:color w:val="000000"/>
                <w:sz w:val="20"/>
              </w:rPr>
              <w:t>RAF1</w:t>
            </w:r>
          </w:p>
        </w:tc>
        <w:tc>
          <w:tcPr>
            <w:tcW w:type="dxa" w:w="2004"/>
            <w:tcMar>
              <w:top w:w="60" w:type="dxa"/>
              <w:bottom w:w="60" w:type="dxa"/>
              <w:start w:w="80" w:type="dxa"/>
              <w:end w:w="80" w:type="dxa"/>
            </w:tcMar>
          </w:tcPr>
          <w:p>
            <w:pPr>
              <w:jc w:val="center"/>
            </w:pPr>
            <w:r>
              <w:rPr>
                <w:rFonts w:ascii="Cambria" w:hAnsi="Cambria"/>
                <w:b w:val="0"/>
                <w:i w:val="0"/>
                <w:color w:val="000000"/>
                <w:sz w:val="20"/>
              </w:rPr>
              <w:t>ROS1</w:t>
            </w:r>
          </w:p>
        </w:tc>
        <w:tc>
          <w:tcPr>
            <w:tcW w:type="dxa" w:w="2004"/>
            <w:tcMar>
              <w:top w:w="60" w:type="dxa"/>
              <w:bottom w:w="60" w:type="dxa"/>
              <w:start w:w="80" w:type="dxa"/>
              <w:end w:w="80" w:type="dxa"/>
            </w:tcMar>
          </w:tcPr>
          <w:p>
            <w:pPr>
              <w:jc w:val="left"/>
            </w:pPr>
            <w:r>
              <w:rPr>
                <w:rFonts w:ascii="Cambria" w:hAnsi="Cambria"/>
                <w:b w:val="0"/>
                <w:i w:val="0"/>
                <w:color w:val="000000"/>
                <w:sz w:val="20"/>
              </w:rPr>
              <w:t>STAT6</w:t>
            </w:r>
          </w:p>
        </w:tc>
        <w:tc>
          <w:tcPr>
            <w:tcW w:type="dxa" w:w="2004"/>
            <w:tcMar>
              <w:top w:w="60" w:type="dxa"/>
              <w:bottom w:w="60" w:type="dxa"/>
              <w:start w:w="80" w:type="dxa"/>
              <w:end w:w="80" w:type="dxa"/>
            </w:tcMar>
          </w:tcPr>
          <w:p>
            <w:pPr>
              <w:jc w:val="right"/>
            </w:pPr>
            <w:r>
              <w:rPr>
                <w:rFonts w:ascii="Cambria" w:hAnsi="Cambria"/>
                <w:b w:val="0"/>
                <w:i w:val="0"/>
                <w:color w:val="000000"/>
                <w:sz w:val="20"/>
              </w:rPr>
              <w:t>TACC3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TFG</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YAP1</w:t>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307"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008080"/>
            <w:tcMar>
              <w:top w:w="60" w:type="dxa"/>
              <w:bottom w:w="60" w:type="dxa"/>
              <w:start w:w="80" w:type="dxa"/>
              <w:end w:w="80" w:type="dxa"/>
            </w:tcMar>
          </w:tcPr>
          <w:p>
            <w:pPr>
              <w:jc w:val="center"/>
            </w:pPr>
            <w:r>
              <w:rPr>
                <w:rFonts w:ascii="Cambria" w:hAnsi="Cambria"/>
                <w:b/>
                <w:color w:val="FFFFFF"/>
                <w:sz w:val="22"/>
              </w:rPr>
              <w:t>MSI</w:t>
            </w:r>
          </w:p>
        </w:tc>
        <w:tc>
          <w:tcPr>
            <w:tcW w:type="dxa" w:w="4798"/>
            <w:shd w:val="clear" w:color="auto" w:fill="008080"/>
            <w:tcMar>
              <w:top w:w="60" w:type="dxa"/>
              <w:bottom w:w="60" w:type="dxa"/>
              <w:start w:w="80" w:type="dxa"/>
              <w:end w:w="80" w:type="dxa"/>
            </w:tcMar>
          </w:tcPr>
          <w:p>
            <w:pPr>
              <w:jc w:val="center"/>
            </w:pPr>
            <w:r>
              <w:rPr>
                <w:rFonts w:ascii="Cambria" w:hAnsi="Cambria"/>
                <w:b/>
                <w:color w:val="FFFFFF"/>
                <w:sz w:val="22"/>
              </w:rPr>
              <w:t>% of Unstable Loci</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2"/>
              </w:rPr>
              <w:t>MSI - Stable</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2"/>
              </w:rPr>
              <w:t>0-19%</w:t>
            </w:r>
          </w:p>
        </w:tc>
      </w:tr>
      <w:tr>
        <w:trPr>
          <w:cantSplit w:val="true"/>
        </w:trPr>
        <w:tc>
          <w:tcPr>
            <w:tcW w:type="dxa" w:w="5668"/>
            <w:shd w:val="clear" w:color="auto" w:fill="f8fafc"/>
            <w:tcMar>
              <w:top w:w="60" w:type="dxa"/>
              <w:bottom w:w="60" w:type="dxa"/>
              <w:start w:w="80" w:type="dxa"/>
              <w:end w:w="80" w:type="dxa"/>
            </w:tcMar>
          </w:tcPr>
          <w:p>
            <w:pPr>
              <w:jc w:val="left"/>
            </w:pPr>
            <w:r>
              <w:rPr>
                <w:rFonts w:ascii="Cambria" w:hAnsi="Cambria"/>
                <w:b w:val="0"/>
                <w:i w:val="0"/>
                <w:color w:val="000000"/>
                <w:sz w:val="22"/>
              </w:rPr>
              <w:t>MSI - Low / Intermediate</w:t>
            </w:r>
          </w:p>
        </w:tc>
        <w:tc>
          <w:tcPr>
            <w:tcW w:type="dxa" w:w="4798"/>
            <w:shd w:val="clear" w:color="auto" w:fill="f8fafc"/>
            <w:tcMar>
              <w:top w:w="60" w:type="dxa"/>
              <w:bottom w:w="60" w:type="dxa"/>
              <w:start w:w="80" w:type="dxa"/>
              <w:end w:w="80" w:type="dxa"/>
            </w:tcMar>
          </w:tcPr>
          <w:p>
            <w:pPr>
              <w:jc w:val="right"/>
            </w:pPr>
            <w:r>
              <w:rPr>
                <w:rFonts w:ascii="Cambria" w:hAnsi="Cambria"/>
                <w:b w:val="0"/>
                <w:i w:val="0"/>
                <w:color w:val="000000"/>
                <w:sz w:val="22"/>
              </w:rPr>
              <w:t>20-30%</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2"/>
              </w:rPr>
              <w:t>MSI - High</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2"/>
              </w:rPr>
              <w:t>&gt;30%</w:t>
            </w:r>
          </w:p>
        </w:tc>
      </w:tr>
    </w:tbl>
    <w:p>
      <w:pPr>
        <w:spacing w:before="0" w:after="120" w:line="20" w:lineRule="exact"/>
      </w:pPr>
      <w:r>
        <w:rPr>
          <w:sz w:val="2"/>
        </w:rPr>
      </w:r>
    </w:p>
    <w:p>
      <w:pPr>
        <w:spacing w:before="0" w:after="30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6212"/>
            <w:shd w:val="clear" w:color="auto" w:fill="008080"/>
            <w:tcMar>
              <w:top w:w="60" w:type="dxa"/>
              <w:bottom w:w="60" w:type="dxa"/>
              <w:start w:w="80" w:type="dxa"/>
              <w:end w:w="80" w:type="dxa"/>
            </w:tcMar>
          </w:tcPr>
          <w:p>
            <w:pPr>
              <w:jc w:val="center"/>
            </w:pPr>
            <w:r>
              <w:rPr>
                <w:rFonts w:ascii="Cambria" w:hAnsi="Cambria"/>
                <w:b/>
                <w:color w:val="FFFFFF"/>
                <w:sz w:val="22"/>
              </w:rPr>
              <w:t>MGMT Methylation</w:t>
            </w:r>
          </w:p>
        </w:tc>
        <w:tc>
          <w:tcPr>
            <w:tcW w:type="dxa" w:w="4254"/>
            <w:shd w:val="clear" w:color="auto" w:fill="008080"/>
            <w:tcMar>
              <w:top w:w="60" w:type="dxa"/>
              <w:bottom w:w="60" w:type="dxa"/>
              <w:start w:w="80" w:type="dxa"/>
              <w:end w:w="80" w:type="dxa"/>
            </w:tcMar>
          </w:tcPr>
          <w:p>
            <w:pPr>
              <w:jc w:val="center"/>
            </w:pPr>
            <w:r>
              <w:rPr>
                <w:rFonts w:ascii="Times New Roman" w:hAnsi="Times New Roman"/>
                <w:b/>
                <w:color w:val="FFFFFF"/>
                <w:sz w:val="19"/>
              </w:rPr>
              <w:t>Column 2</w:t>
            </w:r>
          </w:p>
        </w:tc>
      </w:tr>
      <w:tr>
        <w:trPr>
          <w:cantSplit w:val="true"/>
        </w:trPr>
        <w:tc>
          <w:tcPr>
            <w:tcW w:type="dxa" w:w="6212"/>
            <w:shd w:val="clear" w:color="auto" w:fill="ececec"/>
            <w:tcMar>
              <w:top w:w="60" w:type="dxa"/>
              <w:bottom w:w="60" w:type="dxa"/>
              <w:start w:w="80" w:type="dxa"/>
              <w:end w:w="80" w:type="dxa"/>
            </w:tcMar>
          </w:tcPr>
          <w:p>
            <w:pPr>
              <w:jc w:val="left"/>
            </w:pPr>
            <w:r>
              <w:rPr>
                <w:rFonts w:ascii="Cambria" w:hAnsi="Cambria"/>
                <w:b w:val="0"/>
                <w:i w:val="0"/>
                <w:color w:val="000000"/>
                <w:sz w:val="22"/>
              </w:rPr>
              <w:t>Methylation ratio of a probe in test sample &gt; baseline</w:t>
            </w:r>
          </w:p>
        </w:tc>
        <w:tc>
          <w:tcPr>
            <w:tcW w:type="dxa" w:w="4254"/>
            <w:shd w:val="clear" w:color="auto" w:fill="ececec"/>
            <w:tcMar>
              <w:top w:w="60" w:type="dxa"/>
              <w:bottom w:w="60" w:type="dxa"/>
              <w:start w:w="80" w:type="dxa"/>
              <w:end w:w="80" w:type="dxa"/>
            </w:tcMar>
          </w:tcPr>
          <w:p>
            <w:pPr>
              <w:jc w:val="right"/>
            </w:pPr>
            <w:r>
              <w:rPr>
                <w:rFonts w:ascii="Cambria" w:hAnsi="Cambria"/>
                <w:b w:val="0"/>
                <w:i w:val="0"/>
                <w:color w:val="000000"/>
                <w:sz w:val="22"/>
              </w:rPr>
              <w:t>Methylation is increased</w:t>
            </w:r>
          </w:p>
        </w:tc>
      </w:tr>
      <w:tr>
        <w:trPr>
          <w:cantSplit w:val="true"/>
        </w:trPr>
        <w:tc>
          <w:tcPr>
            <w:tcW w:type="dxa" w:w="6212"/>
            <w:shd w:val="clear" w:color="auto" w:fill="f8fafc"/>
            <w:tcMar>
              <w:top w:w="60" w:type="dxa"/>
              <w:bottom w:w="60" w:type="dxa"/>
              <w:start w:w="80" w:type="dxa"/>
              <w:end w:w="80" w:type="dxa"/>
            </w:tcMar>
          </w:tcPr>
          <w:p>
            <w:pPr>
              <w:jc w:val="left"/>
            </w:pPr>
            <w:r>
              <w:rPr>
                <w:rFonts w:ascii="Cambria" w:hAnsi="Cambria"/>
                <w:b w:val="0"/>
                <w:i w:val="0"/>
                <w:color w:val="000000"/>
                <w:sz w:val="22"/>
              </w:rPr>
              <w:t>Methylation ratio of a probe in test sample ≤baseline</w:t>
            </w:r>
          </w:p>
        </w:tc>
        <w:tc>
          <w:tcPr>
            <w:tcW w:type="dxa" w:w="4254"/>
            <w:shd w:val="clear" w:color="auto" w:fill="f8fafc"/>
            <w:tcMar>
              <w:top w:w="60" w:type="dxa"/>
              <w:bottom w:w="60" w:type="dxa"/>
              <w:start w:w="80" w:type="dxa"/>
              <w:end w:w="80" w:type="dxa"/>
            </w:tcMar>
          </w:tcPr>
          <w:p>
            <w:pPr>
              <w:jc w:val="right"/>
            </w:pPr>
            <w:r>
              <w:rPr>
                <w:rFonts w:ascii="Cambria" w:hAnsi="Cambria"/>
                <w:b w:val="0"/>
                <w:i w:val="0"/>
                <w:color w:val="000000"/>
                <w:sz w:val="22"/>
              </w:rPr>
              <w:t>Methylation is not increased</w:t>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23"/>
            <w:shd w:val="clear" w:color="auto" w:fill="008080"/>
            <w:tcMar>
              <w:top w:w="60" w:type="dxa"/>
              <w:bottom w:w="60" w:type="dxa"/>
              <w:start w:w="80" w:type="dxa"/>
              <w:end w:w="80" w:type="dxa"/>
            </w:tcMar>
          </w:tcPr>
          <w:p>
            <w:pPr>
              <w:jc w:val="center"/>
            </w:pPr>
            <w:r>
              <w:rPr>
                <w:rFonts w:ascii="Cambria" w:hAnsi="Cambria"/>
                <w:b/>
                <w:color w:val="FFFFFF"/>
                <w:sz w:val="22"/>
              </w:rPr>
              <w:t>FISH 1p19q Co-Deletion</w:t>
            </w:r>
          </w:p>
        </w:tc>
        <w:tc>
          <w:tcPr>
            <w:tcW w:type="dxa" w:w="4843"/>
            <w:shd w:val="clear" w:color="auto" w:fill="008080"/>
            <w:tcMar>
              <w:top w:w="60" w:type="dxa"/>
              <w:bottom w:w="60" w:type="dxa"/>
              <w:start w:w="80" w:type="dxa"/>
              <w:end w:w="80" w:type="dxa"/>
            </w:tcMar>
          </w:tcPr>
          <w:p>
            <w:pPr>
              <w:jc w:val="center"/>
            </w:pPr>
            <w:r>
              <w:rPr>
                <w:rFonts w:ascii="Arial" w:hAnsi="Arial"/>
                <w:b w:val="0"/>
                <w:color w:val="000000"/>
                <w:sz w:val="16"/>
              </w:rPr>
              <w:t>Page 12 of 15</w:t>
            </w:r>
          </w:p>
        </w:tc>
      </w:tr>
      <w:tr>
        <w:trPr>
          <w:cantSplit w:val="true"/>
        </w:trPr>
        <w:tc>
          <w:tcPr>
            <w:tcW w:type="dxa" w:w="5623"/>
            <w:shd w:val="clear" w:color="auto" w:fill="ececec"/>
            <w:tcMar>
              <w:top w:w="60" w:type="dxa"/>
              <w:bottom w:w="60" w:type="dxa"/>
              <w:start w:w="80" w:type="dxa"/>
              <w:end w:w="80" w:type="dxa"/>
            </w:tcMar>
          </w:tcPr>
          <w:p>
            <w:pPr>
              <w:jc w:val="left"/>
            </w:pPr>
            <w:r>
              <w:rPr>
                <w:rFonts w:ascii="Cambria" w:hAnsi="Cambria"/>
                <w:b w:val="0"/>
                <w:i w:val="0"/>
                <w:color w:val="000000"/>
                <w:sz w:val="22"/>
              </w:rPr>
              <w:t>Negative</w:t>
            </w:r>
          </w:p>
        </w:tc>
        <w:tc>
          <w:tcPr>
            <w:tcW w:type="dxa" w:w="4843"/>
            <w:shd w:val="clear" w:color="auto" w:fill="ececec"/>
            <w:tcMar>
              <w:top w:w="60" w:type="dxa"/>
              <w:bottom w:w="60" w:type="dxa"/>
              <w:start w:w="80" w:type="dxa"/>
              <w:end w:w="80" w:type="dxa"/>
            </w:tcMar>
          </w:tcPr>
          <w:p>
            <w:pPr>
              <w:jc w:val="right"/>
            </w:pPr>
            <w:r>
              <w:rPr>
                <w:rFonts w:ascii="Cambria" w:hAnsi="Cambria"/>
                <w:b w:val="0"/>
                <w:i w:val="0"/>
                <w:color w:val="000000"/>
                <w:sz w:val="22"/>
              </w:rPr>
              <w:t>If ratio is &gt;0.80</w:t>
            </w:r>
          </w:p>
        </w:tc>
      </w:tr>
    </w:tbl>
    <w:p>
      <w:pPr>
        <w:spacing w:before="0" w:after="120" w:line="20" w:lineRule="exact"/>
      </w:pPr>
      <w:r>
        <w:rPr>
          <w:sz w:val="2"/>
        </w:rPr>
      </w:r>
    </w:p>
    <w:p>
      <w:pPr>
        <w:sectPr>
          <w:headerReference w:type="default" r:id="rId34"/>
          <w:footerReference w:type="default" r:id="rId35"/>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23"/>
            <w:shd w:val="clear" w:color="auto" w:fill="1f497d"/>
            <w:tcMar>
              <w:top w:w="60" w:type="dxa"/>
              <w:bottom w:w="60" w:type="dxa"/>
              <w:start w:w="80" w:type="dxa"/>
              <w:end w:w="80" w:type="dxa"/>
            </w:tcMar>
          </w:tcPr>
          <w:p>
            <w:pPr>
              <w:jc w:val="center"/>
            </w:pPr>
            <w:r>
              <w:rPr>
                <w:rFonts w:ascii="Cambria" w:hAnsi="Cambria"/>
                <w:b w:val="0"/>
                <w:color w:val="000000"/>
                <w:sz w:val="22"/>
              </w:rPr>
              <w:t>FISH 1p19q Co-Deletion</w:t>
            </w:r>
          </w:p>
        </w:tc>
        <w:tc>
          <w:tcPr>
            <w:tcW w:type="dxa" w:w="4843"/>
            <w:shd w:val="clear" w:color="auto" w:fill="1f497d"/>
            <w:tcMar>
              <w:top w:w="60" w:type="dxa"/>
              <w:bottom w:w="60" w:type="dxa"/>
              <w:start w:w="80" w:type="dxa"/>
              <w:end w:w="80" w:type="dxa"/>
            </w:tcMar>
          </w:tcPr>
          <w:p>
            <w:pPr>
              <w:jc w:val="center"/>
            </w:pPr>
            <w:r>
              <w:rPr>
                <w:rFonts w:ascii="Cambria" w:hAnsi="Cambria"/>
                <w:b w:val="0"/>
                <w:color w:val="000000"/>
                <w:sz w:val="22"/>
              </w:rPr>
              <w:t>Page 12 of 15</w:t>
            </w:r>
          </w:p>
        </w:tc>
      </w:tr>
      <w:tr>
        <w:trPr>
          <w:cantSplit w:val="true"/>
        </w:trPr>
        <w:tc>
          <w:tcPr>
            <w:tcW w:type="dxa" w:w="5623"/>
            <w:tcMar>
              <w:top w:w="60" w:type="dxa"/>
              <w:bottom w:w="60" w:type="dxa"/>
              <w:start w:w="80" w:type="dxa"/>
              <w:end w:w="80" w:type="dxa"/>
            </w:tcMar>
          </w:tcPr>
          <w:p>
            <w:pPr>
              <w:jc w:val="left"/>
            </w:pPr>
            <w:r>
              <w:rPr>
                <w:rFonts w:ascii="Times New Roman" w:hAnsi="Times New Roman"/>
                <w:b w:val="0"/>
                <w:i w:val="0"/>
                <w:color w:val="000000"/>
                <w:sz w:val="19"/>
              </w:rPr>
              <w:t>Positive</w:t>
            </w:r>
          </w:p>
        </w:tc>
        <w:tc>
          <w:tcPr>
            <w:tcW w:type="dxa" w:w="4843"/>
            <w:tcMar>
              <w:top w:w="60" w:type="dxa"/>
              <w:bottom w:w="60" w:type="dxa"/>
              <w:start w:w="80" w:type="dxa"/>
              <w:end w:w="80" w:type="dxa"/>
            </w:tcMar>
          </w:tcPr>
          <w:p>
            <w:pPr>
              <w:jc w:val="left"/>
            </w:pPr>
            <w:r>
              <w:rPr>
                <w:rFonts w:ascii="Times New Roman" w:hAnsi="Times New Roman"/>
                <w:b w:val="0"/>
                <w:i w:val="0"/>
                <w:color w:val="000000"/>
                <w:sz w:val="19"/>
              </w:rPr>
              <w:t>If ratio is &lt;0.80</w:t>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70"/>
            <w:shd w:val="clear" w:color="auto" w:fill="008080"/>
            <w:tcMar>
              <w:top w:w="60" w:type="dxa"/>
              <w:bottom w:w="60" w:type="dxa"/>
              <w:start w:w="80" w:type="dxa"/>
              <w:end w:w="80" w:type="dxa"/>
            </w:tcMar>
          </w:tcPr>
          <w:p>
            <w:pPr>
              <w:jc w:val="center"/>
            </w:pPr>
            <w:r>
              <w:rPr>
                <w:rFonts w:ascii="Cambria" w:hAnsi="Cambria"/>
                <w:b/>
                <w:color w:val="FFFFFF"/>
                <w:sz w:val="22"/>
              </w:rPr>
              <w:t>Tier</w:t>
            </w:r>
          </w:p>
        </w:tc>
        <w:tc>
          <w:tcPr>
            <w:tcW w:type="dxa" w:w="8995"/>
            <w:shd w:val="clear" w:color="auto" w:fill="008080"/>
            <w:tcMar>
              <w:top w:w="60" w:type="dxa"/>
              <w:bottom w:w="60" w:type="dxa"/>
              <w:start w:w="80" w:type="dxa"/>
              <w:end w:w="80" w:type="dxa"/>
            </w:tcMar>
          </w:tcPr>
          <w:p>
            <w:pPr>
              <w:jc w:val="center"/>
            </w:pPr>
            <w:r>
              <w:rPr>
                <w:rFonts w:ascii="Cambria" w:hAnsi="Cambria"/>
                <w:b/>
                <w:color w:val="FFFFFF"/>
                <w:sz w:val="22"/>
              </w:rPr>
              <w:t>Interpretation</w:t>
            </w:r>
          </w:p>
        </w:tc>
      </w:tr>
      <w:tr>
        <w:trPr>
          <w:cantSplit w:val="true"/>
        </w:trPr>
        <w:tc>
          <w:tcPr>
            <w:tcW w:type="dxa" w:w="1470"/>
            <w:shd w:val="clear" w:color="auto" w:fill="ececec"/>
            <w:tcMar>
              <w:top w:w="60" w:type="dxa"/>
              <w:bottom w:w="60" w:type="dxa"/>
              <w:start w:w="80" w:type="dxa"/>
              <w:end w:w="80" w:type="dxa"/>
            </w:tcMar>
          </w:tcPr>
          <w:p>
            <w:pPr>
              <w:jc w:val="left"/>
            </w:pPr>
            <w:r>
              <w:rPr>
                <w:rFonts w:ascii="Cambria" w:hAnsi="Cambria"/>
                <w:b/>
                <w:i w:val="0"/>
                <w:color w:val="000000"/>
                <w:sz w:val="22"/>
              </w:rPr>
              <w:t>Tier IA</w:t>
            </w:r>
          </w:p>
        </w:tc>
        <w:tc>
          <w:tcPr>
            <w:tcW w:type="dxa" w:w="8995"/>
            <w:shd w:val="clear" w:color="auto" w:fill="ececec"/>
            <w:tcMar>
              <w:top w:w="60" w:type="dxa"/>
              <w:bottom w:w="60" w:type="dxa"/>
              <w:start w:w="80" w:type="dxa"/>
              <w:end w:w="80" w:type="dxa"/>
            </w:tcMar>
          </w:tcPr>
          <w:p>
            <w:pPr>
              <w:jc w:val="left"/>
            </w:pPr>
            <w:r>
              <w:rPr>
                <w:rFonts w:ascii="Cambria" w:hAnsi="Cambria"/>
                <w:b w:val="0"/>
                <w:i w:val="0"/>
                <w:color w:val="000000"/>
                <w:sz w:val="22"/>
              </w:rPr>
              <w:t>Variants of Strong Clinical Significance: Biomarkers that predict response or resistance to</w:t>
              <w:br/>
              <w:t>US FDA-approved therapies for a specific type of tumor or have been included in</w:t>
              <w:br/>
              <w:t>professional guidelines as therapeutic, diagnostic, and/or prognostic biomarkers for</w:t>
              <w:br/>
              <w:t>specific types of tumors.</w:t>
            </w:r>
          </w:p>
        </w:tc>
      </w:tr>
      <w:tr>
        <w:trPr>
          <w:cantSplit w:val="true"/>
        </w:trPr>
        <w:tc>
          <w:tcPr>
            <w:tcW w:type="dxa" w:w="1470"/>
            <w:shd w:val="clear" w:color="auto" w:fill="f8fafc"/>
            <w:tcMar>
              <w:top w:w="60" w:type="dxa"/>
              <w:bottom w:w="60" w:type="dxa"/>
              <w:start w:w="80" w:type="dxa"/>
              <w:end w:w="80" w:type="dxa"/>
            </w:tcMar>
          </w:tcPr>
          <w:p>
            <w:pPr>
              <w:jc w:val="left"/>
            </w:pPr>
            <w:r>
              <w:rPr>
                <w:rFonts w:ascii="Cambria" w:hAnsi="Cambria"/>
                <w:b/>
                <w:i w:val="0"/>
                <w:color w:val="000000"/>
                <w:sz w:val="22"/>
              </w:rPr>
              <w:t>Tier IB</w:t>
            </w:r>
          </w:p>
        </w:tc>
        <w:tc>
          <w:tcPr>
            <w:tcW w:type="dxa" w:w="8995"/>
            <w:shd w:val="clear" w:color="auto" w:fill="f8fafc"/>
            <w:tcMar>
              <w:top w:w="60" w:type="dxa"/>
              <w:bottom w:w="60" w:type="dxa"/>
              <w:start w:w="80" w:type="dxa"/>
              <w:end w:w="80" w:type="dxa"/>
            </w:tcMar>
          </w:tcPr>
          <w:p>
            <w:pPr>
              <w:jc w:val="left"/>
            </w:pPr>
            <w:r>
              <w:rPr>
                <w:rFonts w:ascii="Cambria" w:hAnsi="Cambria"/>
                <w:b w:val="0"/>
                <w:i w:val="0"/>
                <w:color w:val="000000"/>
                <w:sz w:val="22"/>
              </w:rPr>
              <w:t>Variants of Strong Clinical Significance: Biomarkers that predict response or resistance to</w:t>
              <w:br/>
              <w:t>a therapy based on well-powered studies with consensus from experts in the field, or</w:t>
              <w:br/>
              <w:t>have diagnostic and/or prognostic significance of certain diseases based on well-powered</w:t>
              <w:br/>
              <w:t>studies with expert consensus.</w:t>
            </w:r>
          </w:p>
        </w:tc>
      </w:tr>
      <w:tr>
        <w:trPr>
          <w:cantSplit w:val="true"/>
        </w:trPr>
        <w:tc>
          <w:tcPr>
            <w:tcW w:type="dxa" w:w="1470"/>
            <w:shd w:val="clear" w:color="auto" w:fill="ececec"/>
            <w:tcMar>
              <w:top w:w="60" w:type="dxa"/>
              <w:bottom w:w="60" w:type="dxa"/>
              <w:start w:w="80" w:type="dxa"/>
              <w:end w:w="80" w:type="dxa"/>
            </w:tcMar>
          </w:tcPr>
          <w:p>
            <w:pPr>
              <w:jc w:val="left"/>
            </w:pPr>
            <w:r>
              <w:rPr>
                <w:rFonts w:ascii="Cambria" w:hAnsi="Cambria"/>
                <w:b/>
                <w:i w:val="0"/>
                <w:color w:val="000000"/>
                <w:sz w:val="22"/>
              </w:rPr>
              <w:t>Tier IIC</w:t>
            </w:r>
          </w:p>
        </w:tc>
        <w:tc>
          <w:tcPr>
            <w:tcW w:type="dxa" w:w="8995"/>
            <w:shd w:val="clear" w:color="auto" w:fill="ececec"/>
            <w:tcMar>
              <w:top w:w="60" w:type="dxa"/>
              <w:bottom w:w="60" w:type="dxa"/>
              <w:start w:w="80" w:type="dxa"/>
              <w:end w:w="80" w:type="dxa"/>
            </w:tcMar>
          </w:tcPr>
          <w:p>
            <w:pPr>
              <w:jc w:val="left"/>
            </w:pPr>
            <w:r>
              <w:rPr>
                <w:rFonts w:ascii="Cambria" w:hAnsi="Cambria"/>
                <w:b w:val="0"/>
                <w:i w:val="0"/>
                <w:color w:val="000000"/>
                <w:sz w:val="22"/>
              </w:rPr>
              <w:t>Variants of Potential Clinical Significance: biomarkers that predict response or resistance</w:t>
              <w:br/>
              <w:t>to therapies approved by FDA or professional societies for a different tumor type (i.e., off-</w:t>
              <w:br/>
              <w:t>label use of a drug), serve as inclusion criteria for clinical trials, or have diagnostic and/or</w:t>
              <w:br/>
              <w:t>prognostic significance based on the results of multiple small studies.</w:t>
            </w:r>
          </w:p>
        </w:tc>
      </w:tr>
      <w:tr>
        <w:trPr>
          <w:cantSplit w:val="true"/>
        </w:trPr>
        <w:tc>
          <w:tcPr>
            <w:tcW w:type="dxa" w:w="1470"/>
            <w:shd w:val="clear" w:color="auto" w:fill="f8fafc"/>
            <w:tcMar>
              <w:top w:w="60" w:type="dxa"/>
              <w:bottom w:w="60" w:type="dxa"/>
              <w:start w:w="80" w:type="dxa"/>
              <w:end w:w="80" w:type="dxa"/>
            </w:tcMar>
          </w:tcPr>
          <w:p>
            <w:pPr>
              <w:jc w:val="left"/>
            </w:pPr>
            <w:r>
              <w:rPr>
                <w:rFonts w:ascii="Cambria" w:hAnsi="Cambria"/>
                <w:b/>
                <w:i w:val="0"/>
                <w:color w:val="000000"/>
                <w:sz w:val="22"/>
              </w:rPr>
              <w:t>Tier IID</w:t>
            </w:r>
          </w:p>
        </w:tc>
        <w:tc>
          <w:tcPr>
            <w:tcW w:type="dxa" w:w="8995"/>
            <w:shd w:val="clear" w:color="auto" w:fill="f8fafc"/>
            <w:tcMar>
              <w:top w:w="60" w:type="dxa"/>
              <w:bottom w:w="60" w:type="dxa"/>
              <w:start w:w="80" w:type="dxa"/>
              <w:end w:w="80" w:type="dxa"/>
            </w:tcMar>
          </w:tcPr>
          <w:p>
            <w:pPr>
              <w:jc w:val="left"/>
            </w:pPr>
            <w:r>
              <w:rPr>
                <w:rFonts w:ascii="Cambria" w:hAnsi="Cambria"/>
                <w:b w:val="0"/>
                <w:i w:val="0"/>
                <w:color w:val="000000"/>
                <w:sz w:val="22"/>
              </w:rPr>
              <w:t>Variants of Potential Clinical Significance: Biomarkers that show plausible therapeutic</w:t>
              <w:br/>
              <w:t>significance based on preclinical studies or may assist disease diagnosis and/or prognosis</w:t>
              <w:br/>
              <w:t>themselves or along with other biomarkers based on small studies or multiple case</w:t>
              <w:br/>
              <w:t>reports with no consensus.</w:t>
            </w:r>
          </w:p>
        </w:tc>
      </w:tr>
      <w:tr>
        <w:trPr>
          <w:cantSplit w:val="true"/>
        </w:trPr>
        <w:tc>
          <w:tcPr>
            <w:tcW w:type="dxa" w:w="1470"/>
            <w:shd w:val="clear" w:color="auto" w:fill="ececec"/>
            <w:tcMar>
              <w:top w:w="60" w:type="dxa"/>
              <w:bottom w:w="60" w:type="dxa"/>
              <w:start w:w="80" w:type="dxa"/>
              <w:end w:w="80" w:type="dxa"/>
            </w:tcMar>
          </w:tcPr>
          <w:p>
            <w:pPr>
              <w:jc w:val="left"/>
            </w:pPr>
            <w:r>
              <w:rPr>
                <w:rFonts w:ascii="Cambria" w:hAnsi="Cambria"/>
                <w:b/>
                <w:i w:val="0"/>
                <w:color w:val="000000"/>
                <w:sz w:val="22"/>
              </w:rPr>
              <w:t>Tier III</w:t>
            </w:r>
          </w:p>
        </w:tc>
        <w:tc>
          <w:tcPr>
            <w:tcW w:type="dxa" w:w="8995"/>
            <w:shd w:val="clear" w:color="auto" w:fill="ececec"/>
            <w:tcMar>
              <w:top w:w="60" w:type="dxa"/>
              <w:bottom w:w="60" w:type="dxa"/>
              <w:start w:w="80" w:type="dxa"/>
              <w:end w:w="80" w:type="dxa"/>
            </w:tcMar>
          </w:tcPr>
          <w:p>
            <w:pPr>
              <w:jc w:val="left"/>
            </w:pPr>
            <w:r>
              <w:rPr>
                <w:rFonts w:ascii="Cambria" w:hAnsi="Cambria"/>
                <w:b w:val="0"/>
                <w:i w:val="0"/>
                <w:color w:val="000000"/>
                <w:sz w:val="22"/>
              </w:rPr>
              <w:t>Variants of Unknown clinical significance (VUS): Not observed at a significant allele</w:t>
              <w:br/>
              <w:t>frequency in the general or specific subpopulation or pancancer or tumor specific variant</w:t>
              <w:br/>
              <w:t>databases. No convincing published evidence of cancer Association</w:t>
            </w:r>
          </w:p>
        </w:tc>
      </w:tr>
    </w:tbl>
    <w:p>
      <w:pPr>
        <w:spacing w:before="0" w:after="120" w:line="20" w:lineRule="exact"/>
      </w:pPr>
      <w:r>
        <w:rPr>
          <w:sz w:val="2"/>
        </w:rPr>
      </w:r>
    </w:p>
    <w:p>
      <w:pPr>
        <w:keepNext/>
        <w:spacing w:before="333" w:after="60"/>
        <w:jc w:val="left"/>
      </w:pPr>
      <w:r>
        <w:rPr>
          <w:rFonts w:ascii="Cambria" w:hAnsi="Cambria"/>
          <w:b/>
          <w:i w:val="0"/>
          <w:color w:val="1F497D"/>
          <w:sz w:val="22"/>
        </w:rPr>
        <w:t>References:</w:t>
      </w:r>
    </w:p>
    <w:p>
      <w:pPr>
        <w:spacing w:before="155" w:after="80" w:line="276" w:lineRule="auto"/>
        <w:jc w:val="left"/>
      </w:pPr>
      <w:r>
        <w:rPr>
          <w:rFonts w:ascii="Cambria" w:hAnsi="Cambria"/>
          <w:color w:val="000000"/>
          <w:sz w:val="20"/>
        </w:rPr>
        <w:t>1. Molenaar et al. Wild-type and mutated IDH1/2 enzymes and therapy responses. Oncogene. 2018 Apr;37(15):1949-1960. PMID: 29367755</w:t>
      </w:r>
    </w:p>
    <w:p>
      <w:pPr>
        <w:spacing w:before="150" w:after="80" w:line="276" w:lineRule="auto"/>
        <w:jc w:val="left"/>
      </w:pPr>
      <w:r>
        <w:rPr>
          <w:rFonts w:ascii="Cambria" w:hAnsi="Cambria"/>
          <w:color w:val="000000"/>
          <w:sz w:val="20"/>
        </w:rPr>
        <w:t>2. Yan et al. IDH1 and IDH2 mutations in gliomas. N. Engl. J. Med. 2009 Feb 19;360(8):765-73. PMID: 19228619</w:t>
      </w:r>
    </w:p>
    <w:p>
      <w:pPr>
        <w:spacing w:before="150" w:after="80" w:line="276" w:lineRule="auto"/>
        <w:jc w:val="left"/>
      </w:pPr>
      <w:r>
        <w:rPr>
          <w:rFonts w:ascii="Cambria" w:hAnsi="Cambria"/>
          <w:color w:val="000000"/>
          <w:sz w:val="20"/>
        </w:rPr>
        <w:t>3. Lu et al. Isocitrate dehydrogenase 1 mutation subtypes at site 132 and their translational potential in glioma. CNS Oncol. 2018 Jan;7(1):41-50. PMID: 29303363</w:t>
      </w:r>
    </w:p>
    <w:p>
      <w:pPr>
        <w:spacing w:before="150" w:after="80" w:line="276" w:lineRule="auto"/>
        <w:jc w:val="left"/>
      </w:pPr>
      <w:r>
        <w:rPr>
          <w:rFonts w:ascii="Cambria" w:hAnsi="Cambria"/>
          <w:color w:val="000000"/>
          <w:sz w:val="20"/>
        </w:rPr>
        <w:t>4. Dang et al. Cancer-associated IDH1 mutations produce 2-hydroxyglutarate. Nature. 2009 Dec 10;462(7274):739-44. PMID: 19935646 Page 13 of 15</w:t>
      </w:r>
    </w:p>
    <w:p>
      <w:pPr>
        <w:sectPr>
          <w:headerReference w:type="default" r:id="rId36"/>
          <w:footerReference w:type="default" r:id="rId37"/>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5. Ward et al. The common feature of leukemia-associated IDH1 and IDH2 mutations is a neomorphic enzyme activity converting alpha-ketoglutarate to 2-hydroxyglutarate. Cancer Cell. 2010 Mar 16;17(3):225-34. PMID: 20171147</w:t>
      </w:r>
    </w:p>
    <w:p>
      <w:pPr>
        <w:spacing w:before="150" w:after="80" w:line="276" w:lineRule="auto"/>
        <w:jc w:val="left"/>
      </w:pPr>
      <w:r>
        <w:rPr>
          <w:rFonts w:ascii="Cambria" w:hAnsi="Cambria"/>
          <w:color w:val="000000"/>
          <w:sz w:val="20"/>
        </w:rPr>
        <w:t>6. Paschka et al. IDH1 and IDH2 mutations are frequent genetic alterations in acute myeloid leukemia and confer adverse prognosis in cytogenetically normal acute myeloid leukemia with NPM1 mutation without FLT3 internal tandem duplication. J. Clin. Oncol. 2010 Aug 1;28(22):3636-43. PMID: 20567020</w:t>
      </w:r>
    </w:p>
    <w:p>
      <w:pPr>
        <w:spacing w:before="150" w:after="80" w:line="276" w:lineRule="auto"/>
        <w:jc w:val="left"/>
      </w:pPr>
      <w:r>
        <w:rPr>
          <w:rFonts w:ascii="Cambria" w:hAnsi="Cambria"/>
          <w:color w:val="000000"/>
          <w:sz w:val="20"/>
        </w:rPr>
        <w:t>7. Chou et al. The prognostic impact and stability of Isocitrate dehydrogenase 2 mutation in adult patients with acute myeloid leukemia. Leukemia. 2011 Feb;25(2):246-53. PMID: 21079611</w:t>
      </w:r>
    </w:p>
    <w:p>
      <w:pPr>
        <w:spacing w:before="150" w:after="80" w:line="276" w:lineRule="auto"/>
        <w:jc w:val="left"/>
      </w:pPr>
      <w:r>
        <w:rPr>
          <w:rFonts w:ascii="Cambria" w:hAnsi="Cambria"/>
          <w:color w:val="000000"/>
          <w:sz w:val="20"/>
        </w:rPr>
        <w:t>8. Marcucci et al. IDH1 and IDH2 gene mutations identify novel molecular subsets within de novo cytogenetically normal acute myeloid leukemia: a Cancer and Leukemia Group B study. J. Clin. Oncol. 2010 May 10;28(14):2348-55. PMID: 20368543</w:t>
      </w:r>
    </w:p>
    <w:p>
      <w:pPr>
        <w:spacing w:before="150" w:after="80" w:line="276" w:lineRule="auto"/>
        <w:jc w:val="left"/>
      </w:pPr>
      <w:r>
        <w:rPr>
          <w:rFonts w:ascii="Cambria" w:hAnsi="Cambria"/>
          <w:color w:val="000000"/>
          <w:sz w:val="20"/>
        </w:rPr>
        <w:t>9. Weinstein et al. The Cancer Genome Atlas Pan-Cancer analysis project. Nat. Genet. 2013 Oct;45(10):1113-20. PMID: 24071849</w:t>
      </w:r>
    </w:p>
    <w:p>
      <w:pPr>
        <w:spacing w:before="150" w:after="80" w:line="276" w:lineRule="auto"/>
        <w:jc w:val="left"/>
      </w:pPr>
      <w:r>
        <w:rPr>
          <w:rFonts w:ascii="Cambria" w:hAnsi="Cambria"/>
          <w:color w:val="000000"/>
          <w:sz w:val="20"/>
        </w:rPr>
        <w:t>10. Cerami et al. The cBio cancer genomics portal: an open platform for exploring multidimensional cancer genomics data. Cancer Discov. 2012 May;2(5):401-4. PMID: 22588877</w:t>
      </w:r>
    </w:p>
    <w:p>
      <w:pPr>
        <w:spacing w:before="150" w:after="80" w:line="276" w:lineRule="auto"/>
        <w:jc w:val="left"/>
      </w:pPr>
      <w:r>
        <w:rPr>
          <w:rFonts w:ascii="Cambria" w:hAnsi="Cambria"/>
          <w:color w:val="000000"/>
          <w:sz w:val="20"/>
        </w:rPr>
        <w:t>11. https://www.accessdata.fda.gov/drugsatfda_docs/label/2025/218784s002lbl.pdf</w:t>
      </w:r>
    </w:p>
    <w:p>
      <w:pPr>
        <w:spacing w:before="150" w:after="80" w:line="276" w:lineRule="auto"/>
        <w:jc w:val="left"/>
      </w:pPr>
      <w:r>
        <w:rPr>
          <w:rFonts w:ascii="Cambria" w:hAnsi="Cambria"/>
          <w:color w:val="000000"/>
          <w:sz w:val="20"/>
        </w:rPr>
        <w:t>12. https://www.accessdata.fda.gov/drugsatfda_docs/label/2022/215814s000lbl.pdf</w:t>
      </w:r>
    </w:p>
    <w:p>
      <w:pPr>
        <w:spacing w:before="150" w:after="80" w:line="276" w:lineRule="auto"/>
        <w:jc w:val="left"/>
      </w:pPr>
      <w:r>
        <w:rPr>
          <w:rFonts w:ascii="Cambria" w:hAnsi="Cambria"/>
          <w:color w:val="000000"/>
          <w:sz w:val="20"/>
        </w:rPr>
        <w:t>13. https://www.accessdata.fda.gov/drugsatfda_docs/label/2023/211192s011lbl.pdf</w:t>
      </w:r>
    </w:p>
    <w:p>
      <w:pPr>
        <w:spacing w:before="150" w:after="80" w:line="276" w:lineRule="auto"/>
        <w:jc w:val="left"/>
      </w:pPr>
      <w:r>
        <w:rPr>
          <w:rFonts w:ascii="Cambria" w:hAnsi="Cambria"/>
          <w:color w:val="000000"/>
          <w:sz w:val="20"/>
        </w:rPr>
        <w:t>14. Abou et al. The role of enasidenib in the treatment of mutant IDH2 acute myeloid leukemia. Ther Adv Hematol. 2018 Jul;9(7):163-173. PMID: 30013764</w:t>
      </w:r>
    </w:p>
    <w:p>
      <w:pPr>
        <w:keepNext/>
        <w:spacing w:before="150" w:after="60"/>
        <w:jc w:val="left"/>
      </w:pPr>
      <w:r>
        <w:rPr>
          <w:rFonts w:ascii="Cambria" w:hAnsi="Cambria"/>
          <w:b/>
          <w:i/>
          <w:color w:val="000000"/>
          <w:sz w:val="20"/>
        </w:rPr>
        <w:t>15. NCCN Guidelines&amp;amp;reg; - NCCN-Central Nervous System Cancers [Version 5.2024]</w:t>
      </w:r>
    </w:p>
    <w:p>
      <w:pPr>
        <w:spacing w:before="150" w:after="80" w:line="276" w:lineRule="auto"/>
        <w:jc w:val="left"/>
      </w:pPr>
      <w:r>
        <w:rPr>
          <w:rFonts w:ascii="Cambria" w:hAnsi="Cambria"/>
          <w:color w:val="000000"/>
          <w:sz w:val="20"/>
        </w:rPr>
        <w:t>16. Cancer Genome Atlas Research Network. Comprehensive, Integrative Genomic Analysis of Diffuse Lower-Grade Gliomas. N Engl J Med. 2015 Jun 25;372(26):2481-98. doi: 10.1056/NEJMoa1402121. Epub 2015 Jun 10. PMID: 26061751</w:t>
      </w:r>
    </w:p>
    <w:p>
      <w:pPr>
        <w:spacing w:before="150" w:after="80" w:line="276" w:lineRule="auto"/>
        <w:jc w:val="left"/>
      </w:pPr>
      <w:r>
        <w:rPr>
          <w:rFonts w:ascii="Cambria" w:hAnsi="Cambria"/>
          <w:color w:val="000000"/>
          <w:sz w:val="20"/>
        </w:rPr>
        <w:t>17. Houillier et al. IDH1 or IDH2 mutations predict longer survival and response to temozolomide in low-grade gliomas. Neurology. 2010 Oct 26;75(17):1560-6. PMID: 20975057</w:t>
      </w:r>
    </w:p>
    <w:p>
      <w:pPr>
        <w:spacing w:before="150" w:after="80" w:line="276" w:lineRule="auto"/>
        <w:jc w:val="left"/>
      </w:pPr>
      <w:r>
        <w:rPr>
          <w:rFonts w:ascii="Cambria" w:hAnsi="Cambria"/>
          <w:color w:val="000000"/>
          <w:sz w:val="20"/>
        </w:rPr>
        <w:t>18. Vannucchi et al. Mutations and prognosis in primary myelofibrosis. Leukemia. 2013 Sep;27(9):1861-9. PMID: 23619563</w:t>
      </w:r>
    </w:p>
    <w:p>
      <w:pPr>
        <w:spacing w:before="150" w:after="80" w:line="276" w:lineRule="auto"/>
        <w:jc w:val="left"/>
      </w:pPr>
      <w:r>
        <w:rPr>
          <w:rFonts w:ascii="Cambria" w:hAnsi="Cambria"/>
          <w:color w:val="000000"/>
          <w:sz w:val="20"/>
        </w:rPr>
        <w:t>19. Tefferi et al. IDH1 and IDH2 mutation studies in 1473 patients with chronic-, fibrotic- or blast-phase essential thrombocythemia, polycythemia vera or myelofibrosis. Leukemia. 2010 Jul;24(7):1302-9. PMID: 20508616</w:t>
      </w:r>
    </w:p>
    <w:p>
      <w:pPr>
        <w:spacing w:before="150" w:after="80" w:line="276" w:lineRule="auto"/>
        <w:jc w:val="left"/>
      </w:pPr>
      <w:r>
        <w:rPr>
          <w:rFonts w:ascii="Cambria" w:hAnsi="Cambria"/>
          <w:color w:val="000000"/>
          <w:sz w:val="20"/>
        </w:rPr>
        <w:t>20. Louis et al. The 2021 WHO Classification of Tumors of the Central Nervous System: a summary. Neuro Oncol. 2021 Aug 2;23(8):1231-1251. PMID: 34185076</w:t>
      </w:r>
    </w:p>
    <w:p>
      <w:pPr>
        <w:spacing w:before="150" w:after="80" w:line="276" w:lineRule="auto"/>
        <w:jc w:val="left"/>
      </w:pPr>
      <w:r>
        <w:rPr>
          <w:rFonts w:ascii="Cambria" w:hAnsi="Cambria"/>
          <w:color w:val="000000"/>
          <w:sz w:val="20"/>
        </w:rPr>
        <w:t>21. Yuan et al. Mechanisms underlying the activation of TERT transcription and telomerase activity in human cancer: old actors and new players. Oncogene. 2019 Aug;38(34):6172-6183. PMID: 31285550 Page 14 of 15</w:t>
      </w:r>
    </w:p>
    <w:p>
      <w:pPr>
        <w:sectPr>
          <w:headerReference w:type="default" r:id="rId38"/>
          <w:footerReference w:type="default" r:id="rId39"/>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22. Colebatch et al. TERT gene: its function and dysregulation in cancer. J Clin Pathol. 2019 Apr;72(4):281-284. PMID: 30696697</w:t>
      </w:r>
    </w:p>
    <w:p>
      <w:pPr>
        <w:spacing w:before="150" w:after="80" w:line="276" w:lineRule="auto"/>
        <w:jc w:val="left"/>
      </w:pPr>
      <w:r>
        <w:rPr>
          <w:rFonts w:ascii="Cambria" w:hAnsi="Cambria"/>
          <w:color w:val="000000"/>
          <w:sz w:val="20"/>
        </w:rPr>
        <w:t>23. Mizukoshi et al. Telomerase-Targeted Cancer Immunotherapy. Int J Mol Sci. 2019 Apr 12;20(8). PMID: 31013796</w:t>
      </w:r>
    </w:p>
    <w:p>
      <w:pPr>
        <w:spacing w:before="150" w:after="80" w:line="276" w:lineRule="auto"/>
        <w:jc w:val="left"/>
      </w:pPr>
      <w:r>
        <w:rPr>
          <w:rFonts w:ascii="Calibri" w:hAnsi="Calibri"/>
          <w:color w:val="000000"/>
          <w:sz w:val="20"/>
        </w:rPr>
        <w:t>24. Arita et al. TERT promoter mutation confers favorable prognosis regardless of 1p/19q status in adult diffuse gliomas with IDH1/2 mutations. Acta Neuropathol Commun. 2020 Nov 23;8(1):201. PMID: 33228806</w:t>
      </w:r>
    </w:p>
    <w:p>
      <w:pPr>
        <w:spacing w:before="284" w:after="80" w:line="276" w:lineRule="auto"/>
        <w:jc w:val="center"/>
      </w:pPr>
      <w:r>
        <w:rPr>
          <w:rFonts w:ascii="Calibri" w:hAnsi="Calibri"/>
          <w:color w:val="000000"/>
          <w:sz w:val="22"/>
        </w:rPr>
        <w:t>------------------ End Of Report ------------------</w:t>
      </w:r>
    </w:p>
    <w:sectPr w:rsidR="00FC693F" w:rsidRPr="0006063C" w:rsidSect="00034616">
      <w:headerReference w:type="default" r:id="rId40"/>
      <w:footerReference w:type="default" r:id="rId41"/>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image" Target="media/image3.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footer" Target="footer16.xml"/><Relationship Id="rId45"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