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2600131590</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BLOOD IN CCF DNA TUBE</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MRS. G. INDIRA (RPR2604140002)</w:t>
            </w:r>
          </w:p>
        </w:tc>
        <w:tc>
          <w:tcPr>
            <w:tcW w:type="dxa" w:w="1440"/>
            <w:tcMar>
              <w:top w:w="20" w:type="dxa"/>
              <w:bottom w:w="20" w:type="dxa"/>
              <w:start w:w="40" w:type="dxa"/>
              <w:end w:w="40" w:type="dxa"/>
            </w:tcMar>
          </w:tcPr>
          <w:p>
            <w:r>
              <w:rPr>
                <w:rFonts w:ascii="Times New Roman" w:hAnsi="Times New Roman"/>
                <w:b/>
                <w:color w:val="1F497D"/>
                <w:sz w:val="20"/>
              </w:rPr>
              <w:t>Date &amp; Time Collected</w:t>
            </w:r>
          </w:p>
        </w:tc>
        <w:tc>
          <w:tcPr>
            <w:tcW w:type="dxa" w:w="3168"/>
            <w:tcMar>
              <w:top w:w="20" w:type="dxa"/>
              <w:bottom w:w="20" w:type="dxa"/>
              <w:start w:w="40" w:type="dxa"/>
              <w:end w:w="40" w:type="dxa"/>
            </w:tcMar>
          </w:tcPr>
          <w:p>
            <w:r>
              <w:rPr>
                <w:rFonts w:ascii="Times New Roman" w:hAnsi="Times New Roman"/>
                <w:color w:val="000000"/>
                <w:sz w:val="20"/>
              </w:rPr>
              <w:t>14-Apr-2026 12:00 AM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Female/68 Years</w:t>
            </w:r>
          </w:p>
        </w:tc>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18-Apr-2026 10:50 AM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30-Apr-2026 05:56 PM</w:t>
            </w:r>
          </w:p>
        </w:tc>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keepNext/>
        <w:spacing w:before="78" w:after="80"/>
        <w:jc w:val="center"/>
      </w:pPr>
      <w:r>
        <w:rPr>
          <w:rFonts w:ascii="Cambria" w:hAnsi="Cambria"/>
          <w:b/>
          <w:i/>
          <w:color w:val="000000"/>
          <w:sz w:val="28"/>
          <w:highlight w:val="yellow"/>
        </w:rPr>
        <w:t>TEST NAME</w:t>
      </w:r>
    </w:p>
    <w:p>
      <w:pPr>
        <w:spacing w:before="289" w:after="80" w:line="276" w:lineRule="auto"/>
        <w:jc w:val="left"/>
      </w:pPr>
      <w:r>
        <w:rPr>
          <w:rFonts w:ascii="Cambria" w:hAnsi="Cambria"/>
          <w:color w:val="000000"/>
          <w:sz w:val="20"/>
        </w:rPr>
        <w:t>Clinical Indication: NA</w:t>
      </w:r>
    </w:p>
    <w:p>
      <w:pPr>
        <w:keepNext/>
        <w:shd w:val="clear" w:color="auto" w:fill="008000"/>
        <w:spacing w:before="160" w:after="160"/>
        <w:jc w:val="center"/>
      </w:pPr>
      <w:r>
        <w:rPr>
          <w:rFonts w:ascii="Cambria" w:hAnsi="Cambria"/>
          <w:b/>
          <w:color w:val="FFFFFF"/>
          <w:sz w:val="26"/>
        </w:rPr>
        <w:t>Negative</w:t>
        <w:br/>
      </w:r>
      <w:r>
        <w:rPr>
          <w:rFonts w:ascii="Cambria" w:hAnsi="Cambria"/>
          <w:b w:val="0"/>
          <w:color w:val="FFFFFF"/>
          <w:sz w:val="19"/>
        </w:rPr>
        <w:t>(No clinically significant Variants detected)</w:t>
      </w:r>
    </w:p>
    <w:p>
      <w:pPr>
        <w:keepNext/>
        <w:spacing w:before="360" w:after="60"/>
        <w:jc w:val="left"/>
      </w:pPr>
      <w:r>
        <w:rPr>
          <w:rFonts w:ascii="Cambria" w:hAnsi="Cambria"/>
          <w:b/>
          <w:i w:val="0"/>
          <w:color w:val="1F497D"/>
          <w:sz w:val="20"/>
        </w:rPr>
        <w:t>Key Findings: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120"/>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2668"/>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850"/>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542"/>
            <w:shd w:val="clear" w:color="auto" w:fill="008080"/>
            <w:tcMar>
              <w:top w:w="60" w:type="dxa"/>
              <w:bottom w:w="60" w:type="dxa"/>
              <w:start w:w="80" w:type="dxa"/>
              <w:end w:w="80" w:type="dxa"/>
            </w:tcMar>
          </w:tcPr>
          <w:p>
            <w:pPr>
              <w:jc w:val="center"/>
            </w:pPr>
            <w:r>
              <w:rPr>
                <w:rFonts w:ascii="Cambria" w:hAnsi="Cambria"/>
                <w:b/>
                <w:color w:val="FFFFFF"/>
                <w:sz w:val="20"/>
              </w:rPr>
              <w:t>Exon</w:t>
            </w:r>
          </w:p>
        </w:tc>
        <w:tc>
          <w:tcPr>
            <w:tcW w:type="dxa" w:w="2286"/>
            <w:shd w:val="clear" w:color="auto" w:fill="008080"/>
            <w:tcMar>
              <w:top w:w="60" w:type="dxa"/>
              <w:bottom w:w="60" w:type="dxa"/>
              <w:start w:w="80" w:type="dxa"/>
              <w:end w:w="80" w:type="dxa"/>
            </w:tcMar>
          </w:tcPr>
          <w:p>
            <w:pPr>
              <w:jc w:val="center"/>
            </w:pPr>
            <w:r>
              <w:rPr>
                <w:rFonts w:ascii="Cambria" w:hAnsi="Cambria"/>
                <w:b/>
                <w:color w:val="FFFFFF"/>
                <w:sz w:val="20"/>
              </w:rPr>
              <w:t>Coverage/VAF</w:t>
            </w:r>
          </w:p>
        </w:tc>
      </w:tr>
      <w:tr>
        <w:trPr>
          <w:cantSplit w:val="true"/>
        </w:trPr>
        <w:tc>
          <w:tcPr>
            <w:tcW w:type="dxa" w:w="2120"/>
            <w:shd w:val="clear" w:color="auto" w:fill="ffffff"/>
            <w:tcMar>
              <w:top w:w="60" w:type="dxa"/>
              <w:bottom w:w="60" w:type="dxa"/>
              <w:start w:w="80" w:type="dxa"/>
              <w:end w:w="80" w:type="dxa"/>
            </w:tcMar>
          </w:tcPr>
          <w:p>
            <w:pPr>
              <w:jc w:val="left"/>
            </w:pPr>
            <w:r>
              <w:rPr>
                <w:rFonts w:ascii="Cambria" w:hAnsi="Cambria"/>
                <w:b/>
                <w:i w:val="0"/>
                <w:color w:val="000000"/>
                <w:sz w:val="20"/>
              </w:rPr>
              <w:t>-Negative-</w:t>
            </w:r>
          </w:p>
        </w:tc>
        <w:tc>
          <w:tcPr>
            <w:tcW w:type="dxa" w:w="2668"/>
            <w:tcMar>
              <w:top w:w="60" w:type="dxa"/>
              <w:bottom w:w="60" w:type="dxa"/>
              <w:start w:w="80" w:type="dxa"/>
              <w:end w:w="80" w:type="dxa"/>
            </w:tcMar>
          </w:tcPr>
          <w:p>
            <w:pPr>
              <w:jc w:val="left"/>
            </w:pPr>
            <w:r>
              <w:rPr>
                <w:rFonts w:ascii="Times New Roman" w:hAnsi="Times New Roman"/>
                <w:b w:val="0"/>
                <w:i w:val="0"/>
                <w:color w:val="000000"/>
                <w:sz w:val="19"/>
              </w:rPr>
            </w:r>
          </w:p>
        </w:tc>
        <w:tc>
          <w:tcPr>
            <w:tcW w:type="dxa" w:w="1850"/>
            <w:tcMar>
              <w:top w:w="60" w:type="dxa"/>
              <w:bottom w:w="60" w:type="dxa"/>
              <w:start w:w="80" w:type="dxa"/>
              <w:end w:w="80" w:type="dxa"/>
            </w:tcMar>
          </w:tcPr>
          <w:p>
            <w:pPr>
              <w:jc w:val="left"/>
            </w:pPr>
            <w:r>
              <w:rPr>
                <w:rFonts w:ascii="Times New Roman" w:hAnsi="Times New Roman"/>
                <w:b w:val="0"/>
                <w:i w:val="0"/>
                <w:color w:val="000000"/>
                <w:sz w:val="19"/>
              </w:rPr>
            </w:r>
          </w:p>
        </w:tc>
        <w:tc>
          <w:tcPr>
            <w:tcW w:type="dxa" w:w="1542"/>
            <w:tcMar>
              <w:top w:w="60" w:type="dxa"/>
              <w:bottom w:w="60" w:type="dxa"/>
              <w:start w:w="80" w:type="dxa"/>
              <w:end w:w="80" w:type="dxa"/>
            </w:tcMar>
          </w:tcPr>
          <w:p>
            <w:pPr>
              <w:jc w:val="left"/>
            </w:pPr>
            <w:r>
              <w:rPr>
                <w:rFonts w:ascii="Times New Roman" w:hAnsi="Times New Roman"/>
                <w:b w:val="0"/>
                <w:i w:val="0"/>
                <w:color w:val="000000"/>
                <w:sz w:val="19"/>
              </w:rPr>
            </w:r>
          </w:p>
        </w:tc>
        <w:tc>
          <w:tcPr>
            <w:tcW w:type="dxa" w:w="2286"/>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26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595"/>
            <w:shd w:val="clear" w:color="auto" w:fill="008080"/>
            <w:tcMar>
              <w:top w:w="60" w:type="dxa"/>
              <w:bottom w:w="60" w:type="dxa"/>
              <w:start w:w="80" w:type="dxa"/>
              <w:end w:w="80" w:type="dxa"/>
            </w:tcMar>
          </w:tcPr>
          <w:p>
            <w:pPr>
              <w:jc w:val="center"/>
            </w:pPr>
            <w:r>
              <w:rPr>
                <w:rFonts w:ascii="Cambria" w:hAnsi="Cambria"/>
                <w:b/>
                <w:color w:val="FFFFFF"/>
                <w:sz w:val="20"/>
              </w:rPr>
              <w:t>Fusion Genes</w:t>
            </w:r>
          </w:p>
        </w:tc>
        <w:tc>
          <w:tcPr>
            <w:tcW w:type="dxa" w:w="3435"/>
            <w:shd w:val="clear" w:color="auto" w:fill="008080"/>
            <w:tcMar>
              <w:top w:w="60" w:type="dxa"/>
              <w:bottom w:w="60" w:type="dxa"/>
              <w:start w:w="80" w:type="dxa"/>
              <w:end w:w="80" w:type="dxa"/>
            </w:tcMar>
          </w:tcPr>
          <w:p>
            <w:pPr>
              <w:jc w:val="center"/>
            </w:pPr>
            <w:r>
              <w:rPr>
                <w:rFonts w:ascii="Cambria" w:hAnsi="Cambria"/>
                <w:b/>
                <w:color w:val="FFFFFF"/>
                <w:sz w:val="20"/>
              </w:rPr>
              <w:t>Breakpoints</w:t>
            </w:r>
          </w:p>
        </w:tc>
        <w:tc>
          <w:tcPr>
            <w:tcW w:type="dxa" w:w="3435"/>
            <w:shd w:val="clear" w:color="auto" w:fill="008080"/>
            <w:tcMar>
              <w:top w:w="60" w:type="dxa"/>
              <w:bottom w:w="60" w:type="dxa"/>
              <w:start w:w="80" w:type="dxa"/>
              <w:end w:w="80" w:type="dxa"/>
            </w:tcMar>
          </w:tcPr>
          <w:p>
            <w:pPr>
              <w:jc w:val="center"/>
            </w:pPr>
            <w:r>
              <w:rPr>
                <w:rFonts w:ascii="Cambria" w:hAnsi="Cambria"/>
                <w:b/>
                <w:color w:val="FFFFFF"/>
                <w:sz w:val="20"/>
              </w:rPr>
              <w:t>Total Reads</w:t>
            </w:r>
          </w:p>
        </w:tc>
      </w:tr>
      <w:tr>
        <w:trPr>
          <w:cantSplit w:val="true"/>
        </w:trPr>
        <w:tc>
          <w:tcPr>
            <w:tcW w:type="dxa" w:w="3595"/>
            <w:shd w:val="clear" w:color="auto" w:fill="ffffff"/>
            <w:tcMar>
              <w:top w:w="60" w:type="dxa"/>
              <w:bottom w:w="60" w:type="dxa"/>
              <w:start w:w="80" w:type="dxa"/>
              <w:end w:w="80" w:type="dxa"/>
            </w:tcMar>
          </w:tcPr>
          <w:p>
            <w:pPr>
              <w:jc w:val="left"/>
            </w:pPr>
            <w:r>
              <w:rPr>
                <w:rFonts w:ascii="Cambria" w:hAnsi="Cambria"/>
                <w:b/>
                <w:i w:val="0"/>
                <w:color w:val="000000"/>
                <w:sz w:val="20"/>
              </w:rPr>
              <w:t>-Negative-</w:t>
            </w:r>
          </w:p>
        </w:tc>
        <w:tc>
          <w:tcPr>
            <w:tcW w:type="dxa" w:w="3435"/>
            <w:tcMar>
              <w:top w:w="60" w:type="dxa"/>
              <w:bottom w:w="60" w:type="dxa"/>
              <w:start w:w="80" w:type="dxa"/>
              <w:end w:w="80" w:type="dxa"/>
            </w:tcMar>
          </w:tcPr>
          <w:p>
            <w:pPr>
              <w:jc w:val="left"/>
            </w:pPr>
            <w:r>
              <w:rPr>
                <w:rFonts w:ascii="Times New Roman" w:hAnsi="Times New Roman"/>
                <w:b w:val="0"/>
                <w:i w:val="0"/>
                <w:color w:val="000000"/>
                <w:sz w:val="19"/>
              </w:rPr>
            </w:r>
          </w:p>
        </w:tc>
        <w:tc>
          <w:tcPr>
            <w:tcW w:type="dxa" w:w="3435"/>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278"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793"/>
            <w:shd w:val="clear" w:color="auto" w:fill="008080"/>
            <w:tcMar>
              <w:top w:w="60" w:type="dxa"/>
              <w:bottom w:w="60" w:type="dxa"/>
              <w:start w:w="80" w:type="dxa"/>
              <w:end w:w="80" w:type="dxa"/>
            </w:tcMar>
          </w:tcPr>
          <w:p>
            <w:pPr>
              <w:jc w:val="center"/>
            </w:pPr>
            <w:r>
              <w:rPr>
                <w:rFonts w:ascii="Cambria" w:hAnsi="Cambria"/>
                <w:b/>
                <w:color w:val="FFFFFF"/>
                <w:sz w:val="20"/>
              </w:rPr>
              <w:t>CNV Type</w:t>
            </w:r>
          </w:p>
        </w:tc>
        <w:tc>
          <w:tcPr>
            <w:tcW w:type="dxa" w:w="2681"/>
            <w:shd w:val="clear" w:color="auto" w:fill="008080"/>
            <w:tcMar>
              <w:top w:w="60" w:type="dxa"/>
              <w:bottom w:w="60" w:type="dxa"/>
              <w:start w:w="80" w:type="dxa"/>
              <w:end w:w="80" w:type="dxa"/>
            </w:tcMar>
          </w:tcPr>
          <w:p>
            <w:pPr>
              <w:jc w:val="center"/>
            </w:pPr>
            <w:r>
              <w:rPr>
                <w:rFonts w:ascii="Cambria" w:hAnsi="Cambria"/>
                <w:b/>
                <w:color w:val="FFFFFF"/>
                <w:sz w:val="20"/>
              </w:rPr>
              <w:t>Genes</w:t>
            </w:r>
          </w:p>
        </w:tc>
        <w:tc>
          <w:tcPr>
            <w:tcW w:type="dxa" w:w="3992"/>
            <w:shd w:val="clear" w:color="auto" w:fill="008080"/>
            <w:tcMar>
              <w:top w:w="60" w:type="dxa"/>
              <w:bottom w:w="60" w:type="dxa"/>
              <w:start w:w="80" w:type="dxa"/>
              <w:end w:w="80" w:type="dxa"/>
            </w:tcMar>
          </w:tcPr>
          <w:p>
            <w:pPr>
              <w:jc w:val="center"/>
            </w:pPr>
            <w:r>
              <w:rPr>
                <w:rFonts w:ascii="Cambria" w:hAnsi="Cambria"/>
                <w:b/>
                <w:color w:val="FFFFFF"/>
                <w:sz w:val="20"/>
              </w:rPr>
              <w:t>Copy Number</w:t>
            </w:r>
          </w:p>
        </w:tc>
      </w:tr>
      <w:tr>
        <w:trPr>
          <w:cantSplit w:val="true"/>
        </w:trPr>
        <w:tc>
          <w:tcPr>
            <w:tcW w:type="dxa" w:w="3793"/>
            <w:shd w:val="clear" w:color="auto" w:fill="ffffff"/>
            <w:tcMar>
              <w:top w:w="60" w:type="dxa"/>
              <w:bottom w:w="60" w:type="dxa"/>
              <w:start w:w="80" w:type="dxa"/>
              <w:end w:w="80" w:type="dxa"/>
            </w:tcMar>
          </w:tcPr>
          <w:p>
            <w:pPr>
              <w:jc w:val="left"/>
            </w:pPr>
            <w:r>
              <w:rPr>
                <w:rFonts w:ascii="Cambria" w:hAnsi="Cambria"/>
                <w:b/>
                <w:i w:val="0"/>
                <w:color w:val="000000"/>
                <w:sz w:val="20"/>
              </w:rPr>
              <w:t>-Negative-</w:t>
            </w:r>
          </w:p>
        </w:tc>
        <w:tc>
          <w:tcPr>
            <w:tcW w:type="dxa" w:w="2681"/>
            <w:tcMar>
              <w:top w:w="60" w:type="dxa"/>
              <w:bottom w:w="60" w:type="dxa"/>
              <w:start w:w="80" w:type="dxa"/>
              <w:end w:w="80" w:type="dxa"/>
            </w:tcMar>
          </w:tcPr>
          <w:p>
            <w:pPr>
              <w:jc w:val="left"/>
            </w:pPr>
            <w:r>
              <w:rPr>
                <w:rFonts w:ascii="Times New Roman" w:hAnsi="Times New Roman"/>
                <w:b w:val="0"/>
                <w:i w:val="0"/>
                <w:color w:val="000000"/>
                <w:sz w:val="19"/>
              </w:rPr>
            </w:r>
          </w:p>
        </w:tc>
        <w:tc>
          <w:tcPr>
            <w:tcW w:type="dxa" w:w="3992"/>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keepNext/>
        <w:spacing w:before="279" w:after="60"/>
        <w:jc w:val="left"/>
      </w:pPr>
      <w:r>
        <w:rPr>
          <w:rFonts w:ascii="Cambria" w:hAnsi="Cambria"/>
          <w:b/>
          <w:i w:val="0"/>
          <w:color w:val="1F497D"/>
          <w:sz w:val="20"/>
        </w:rPr>
        <w:t>Biomarkers Results:</w:t>
      </w:r>
    </w:p>
    <w:p>
      <w:pPr>
        <w:spacing w:before="0" w:after="278"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4328"/>
            <w:shd w:val="clear" w:color="auto" w:fill="008080"/>
            <w:tcMar>
              <w:top w:w="60" w:type="dxa"/>
              <w:bottom w:w="60" w:type="dxa"/>
              <w:start w:w="80" w:type="dxa"/>
              <w:end w:w="80" w:type="dxa"/>
            </w:tcMar>
          </w:tcPr>
          <w:p>
            <w:pPr>
              <w:jc w:val="center"/>
            </w:pPr>
            <w:r>
              <w:rPr>
                <w:rFonts w:ascii="Cambria" w:hAnsi="Cambria"/>
                <w:b/>
                <w:color w:val="FFFFFF"/>
                <w:sz w:val="20"/>
              </w:rPr>
              <w:t>Assay Biomarker</w:t>
            </w:r>
          </w:p>
        </w:tc>
        <w:tc>
          <w:tcPr>
            <w:tcW w:type="dxa" w:w="1962"/>
            <w:shd w:val="clear" w:color="auto" w:fill="008080"/>
            <w:tcMar>
              <w:top w:w="60" w:type="dxa"/>
              <w:bottom w:w="60" w:type="dxa"/>
              <w:start w:w="80" w:type="dxa"/>
              <w:end w:w="80" w:type="dxa"/>
            </w:tcMar>
          </w:tcPr>
          <w:p>
            <w:pPr>
              <w:jc w:val="center"/>
            </w:pPr>
            <w:r>
              <w:rPr>
                <w:rFonts w:ascii="Cambria" w:hAnsi="Cambria"/>
                <w:b/>
                <w:color w:val="FFFFFF"/>
                <w:sz w:val="20"/>
              </w:rPr>
              <w:t>Result</w:t>
            </w:r>
          </w:p>
        </w:tc>
        <w:tc>
          <w:tcPr>
            <w:tcW w:type="dxa" w:w="4176"/>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4328"/>
            <w:shd w:val="clear" w:color="auto" w:fill="f8f8f8"/>
            <w:tcMar>
              <w:top w:w="60" w:type="dxa"/>
              <w:bottom w:w="60" w:type="dxa"/>
              <w:start w:w="80" w:type="dxa"/>
              <w:end w:w="80" w:type="dxa"/>
            </w:tcMar>
          </w:tcPr>
          <w:p>
            <w:pPr>
              <w:jc w:val="left"/>
            </w:pPr>
            <w:r>
              <w:rPr>
                <w:rFonts w:ascii="Cambria" w:hAnsi="Cambria"/>
                <w:b w:val="0"/>
                <w:i w:val="0"/>
                <w:color w:val="000000"/>
                <w:sz w:val="20"/>
              </w:rPr>
              <w:t>Microsatellite Instability (MSI)</w:t>
            </w:r>
          </w:p>
        </w:tc>
        <w:tc>
          <w:tcPr>
            <w:tcW w:type="dxa" w:w="1962"/>
            <w:shd w:val="clear" w:color="auto" w:fill="f8f8f8"/>
            <w:tcMar>
              <w:top w:w="60" w:type="dxa"/>
              <w:bottom w:w="60" w:type="dxa"/>
              <w:start w:w="80" w:type="dxa"/>
              <w:end w:w="80" w:type="dxa"/>
            </w:tcMar>
          </w:tcPr>
          <w:p>
            <w:pPr>
              <w:jc w:val="left"/>
            </w:pPr>
            <w:r>
              <w:rPr>
                <w:rFonts w:ascii="Cambria" w:hAnsi="Cambria"/>
                <w:b w:val="0"/>
                <w:i w:val="0"/>
                <w:color w:val="000000"/>
                <w:sz w:val="20"/>
              </w:rPr>
              <w:t>Stable</w:t>
            </w:r>
          </w:p>
        </w:tc>
        <w:tc>
          <w:tcPr>
            <w:tcW w:type="dxa" w:w="4176"/>
            <w:shd w:val="clear" w:color="auto" w:fill="f8f8f8"/>
            <w:tcMar>
              <w:top w:w="60" w:type="dxa"/>
              <w:bottom w:w="60" w:type="dxa"/>
              <w:start w:w="80" w:type="dxa"/>
              <w:end w:w="80" w:type="dxa"/>
            </w:tcMar>
          </w:tcPr>
          <w:p>
            <w:pPr>
              <w:jc w:val="right"/>
            </w:pPr>
            <w:r>
              <w:rPr>
                <w:rFonts w:ascii="Cambria" w:hAnsi="Cambria"/>
                <w:b w:val="0"/>
                <w:i w:val="0"/>
                <w:color w:val="000000"/>
                <w:sz w:val="20"/>
              </w:rPr>
              <w:t>Stable Microsatellite detected</w:t>
            </w:r>
          </w:p>
        </w:tc>
      </w:tr>
    </w:tbl>
    <w:p>
      <w:pPr>
        <w:spacing w:before="0" w:after="120" w:line="20" w:lineRule="exact"/>
      </w:pPr>
      <w:r>
        <w:rPr>
          <w:sz w:val="2"/>
        </w:rPr>
      </w:r>
    </w:p>
    <w:p>
      <w:pPr>
        <w:keepNext/>
        <w:spacing w:before="265" w:after="60"/>
        <w:jc w:val="left"/>
      </w:pPr>
      <w:r>
        <w:rPr>
          <w:rFonts w:ascii="Cambria" w:hAnsi="Cambria"/>
          <w:b/>
          <w:i w:val="0"/>
          <w:color w:val="1F497D"/>
          <w:sz w:val="20"/>
        </w:rPr>
        <w:t>Test Description</w:t>
      </w:r>
    </w:p>
    <w:p>
      <w:pPr>
        <w:spacing w:before="90" w:after="80" w:line="276" w:lineRule="auto"/>
        <w:jc w:val="left"/>
      </w:pPr>
      <w:r>
        <w:rPr>
          <w:rFonts w:ascii="Cambria" w:hAnsi="Cambria"/>
          <w:color w:val="000000"/>
          <w:sz w:val="20"/>
          <w:highlight w:val="yellow"/>
        </w:rPr>
        <w:t>TEST NAME</w:t>
      </w:r>
      <w:r>
        <w:rPr>
          <w:rFonts w:ascii="Cambria" w:hAnsi="Cambria"/>
          <w:color w:val="000000"/>
          <w:sz w:val="20"/>
        </w:rPr>
        <w:t xml:space="preserve">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0"/>
        </w:rPr>
        <w:t>The </w:t>
      </w:r>
      <w:r>
        <w:rPr>
          <w:rFonts w:ascii="Cambria" w:hAnsi="Cambria"/>
          <w:color w:val="000000"/>
          <w:sz w:val="20"/>
          <w:highlight w:val="yellow"/>
        </w:rPr>
        <w:t xml:space="preserve">TEST NAME</w:t>
      </w:r>
      <w:r>
        <w:rPr>
          <w:rFonts w:ascii="Cambria" w:hAnsi="Cambria"/>
          <w:color w:val="000000"/>
          <w:sz w:val="20"/>
        </w:rPr>
        <w:t xml:space="preserve"> analyses  71  unique genes ( 65  DNA +  6  Fusions driver genes) for single gene and multiple</w:t>
      </w:r>
    </w:p>
    <w:p>
      <w:pPr>
        <w:spacing w:before="245"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22"/>
          <w:headerReference w:type="even" r:id="rId23"/>
          <w:footerReference w:type="first" r:id="rId24"/>
          <w:footerReference w:type="even" r:id="rId25"/>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gene biomarker insights, detects single gene biomarkers from all variant types including  SNVs, indels, CNVs, known and novel fusions, and splice variants. Analyze complex multi-gene biomarkers for mutational signatures, including microsatellite instability ( MSI ) for immunotherapy research.</w:t>
      </w:r>
    </w:p>
    <w:p>
      <w:pPr>
        <w:spacing w:before="360" w:after="80" w:line="276" w:lineRule="auto"/>
        <w:jc w:val="left"/>
      </w:pPr>
      <w:r>
        <w:rPr>
          <w:rFonts w:ascii="Cambria" w:hAnsi="Cambria"/>
          <w:color w:val="000000"/>
          <w:sz w:val="20"/>
        </w:rPr>
        <w:t>The performance of the panel was verified using both commercially sourced reference controls and cell-free DNA (cfTNA)samples.</w:t>
      </w:r>
    </w:p>
    <w:p>
      <w:pPr>
        <w:spacing w:before="360" w:after="80" w:line="276" w:lineRule="auto"/>
        <w:jc w:val="left"/>
      </w:pPr>
      <w:r>
        <w:rPr>
          <w:rFonts w:ascii="Cambria" w:hAnsi="Cambria"/>
          <w:color w:val="000000"/>
          <w:sz w:val="20"/>
        </w:rPr>
        <w:t>Test Methodology Extraction &amp; Library Preparation: Cell free Total Nucleic acid (cfTNA) extracted from the liquid biopsy sample is used for targeted gene capture using a custom designed hybrid capture panel. In process quality controls were determined for prepared library.</w:t>
      </w:r>
    </w:p>
    <w:p>
      <w:pPr>
        <w:spacing w:before="0" w:after="27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Sequencing</w:t>
            </w:r>
          </w:p>
        </w:tc>
        <w:tc>
          <w:tcPr>
            <w:tcW w:type="dxa" w:w="3168"/>
            <w:tcMar>
              <w:top w:w="20" w:type="dxa"/>
              <w:bottom w:w="20" w:type="dxa"/>
              <w:start w:w="40" w:type="dxa"/>
              <w:end w:w="40" w:type="dxa"/>
            </w:tcMar>
          </w:tcPr>
          <w:p>
            <w:r>
              <w:rPr>
                <w:rFonts w:ascii="Times New Roman" w:hAnsi="Times New Roman"/>
                <w:color w:val="000000"/>
                <w:sz w:val="20"/>
              </w:rPr>
              <w:t>The   libraries   were   sequenced   at   mean   depth:   &gt;25,000x   on   Illumina   Novaseq-   next   generation   sequ</w:t>
            </w:r>
          </w:p>
        </w:tc>
        <w:tc>
          <w:tcPr>
            <w:tcW w:type="dxa" w:w="1440"/>
            <w:tcMar>
              <w:top w:w="20" w:type="dxa"/>
              <w:bottom w:w="20" w:type="dxa"/>
              <w:start w:w="40" w:type="dxa"/>
              <w:end w:w="40" w:type="dxa"/>
            </w:tcMar>
          </w:tcPr>
          <w:p>
            <w:r>
              <w:rPr>
                <w:rFonts w:ascii="Times New Roman" w:hAnsi="Times New Roman"/>
                <w:b/>
                <w:color w:val="1F497D"/>
                <w:sz w:val="20"/>
              </w:rPr>
              <w:t>Data   Analysis</w:t>
            </w:r>
          </w:p>
        </w:tc>
        <w:tc>
          <w:tcPr>
            <w:tcW w:type="dxa" w:w="3168"/>
            <w:tcMar>
              <w:top w:w="20" w:type="dxa"/>
              <w:bottom w:w="20" w:type="dxa"/>
              <w:start w:w="40" w:type="dxa"/>
              <w:end w:w="40" w:type="dxa"/>
            </w:tcMar>
          </w:tcPr>
          <w:p>
            <w:r>
              <w:rPr>
                <w:rFonts w:ascii="Times New Roman" w:hAnsi="Times New Roman"/>
                <w:color w:val="000000"/>
                <w:sz w:val="20"/>
              </w:rPr>
              <w:t>Sequencing   data   are   analyzed   using   a   customized   and   validated   bioinformatics   pipeline   capable   of</w:t>
            </w:r>
          </w:p>
        </w:tc>
      </w:tr>
    </w:tbl>
    <w:p>
      <w:pPr>
        <w:spacing w:before="0" w:after="80" w:line="20" w:lineRule="exact"/>
      </w:pPr>
      <w:r>
        <w:rPr>
          <w:sz w:val="2"/>
        </w:rPr>
      </w:r>
    </w:p>
    <w:p>
      <w:pPr>
        <w:spacing w:before="80" w:after="80" w:line="276" w:lineRule="auto"/>
        <w:jc w:val="left"/>
      </w:pPr>
      <w:r>
        <w:rPr>
          <w:rFonts w:ascii="Cambria" w:hAnsi="Cambria"/>
          <w:color w:val="000000"/>
          <w:sz w:val="20"/>
        </w:rPr>
        <w:t>Limit of Detection (LOD): The LOD for SNVs and Short InDels is 0.1% Variant allele Frequency (VAF) and for Fusions is 05 supporting reads.</w:t>
      </w:r>
    </w:p>
    <w:p>
      <w:pPr>
        <w:keepNext/>
        <w:spacing w:before="360" w:after="60"/>
        <w:jc w:val="left"/>
      </w:pPr>
      <w:r>
        <w:rPr>
          <w:rFonts w:ascii="Cambria" w:hAnsi="Cambria"/>
          <w:b/>
          <w:i w:val="0"/>
          <w:color w:val="1F497D"/>
          <w:sz w:val="20"/>
        </w:rPr>
        <w:t>Notes</w:t>
      </w:r>
    </w:p>
    <w:p>
      <w:pPr>
        <w:spacing w:before="9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w:t>
      </w: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Page 2 of 5</w:t>
      </w:r>
    </w:p>
    <w:p>
      <w:pPr>
        <w:spacing w:before="0"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The assay is designed and validated for somatic variant detection, it does not differentiate between somatic and germline variants. If indicated, germline testing and genetic counselling are recommended.</w:t>
      </w:r>
    </w:p>
    <w:p>
      <w:pPr>
        <w:spacing w:before="360" w:after="80" w:line="276" w:lineRule="auto"/>
        <w:jc w:val="left"/>
      </w:pPr>
      <w:r>
        <w:rPr>
          <w:rFonts w:ascii="Cambria" w:hAnsi="Cambria"/>
          <w:color w:val="000000"/>
          <w:sz w:val="20"/>
        </w:rPr>
        <w:t>Poor-quality cfDNA may fail QC thresholds at various stages such as cfDNA extraction, library preparation, or bioinformatics, and may result in assay failure or compromised results, such as low gene coverage or shallow variant depth.</w:t>
      </w:r>
    </w:p>
    <w:p>
      <w:pPr>
        <w:spacing w:before="360" w:after="80" w:line="276" w:lineRule="auto"/>
        <w:jc w:val="left"/>
      </w:pPr>
      <w:r>
        <w:rPr>
          <w:rFonts w:ascii="Cambria" w:hAnsi="Cambria"/>
          <w:color w:val="000000"/>
          <w:sz w:val="20"/>
        </w:rPr>
        <w:t>Variants with lower allele frequencies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reported, Confirmation using orthogonal methods such as DDPCR is recommended when clinically indicated.</w:t>
      </w:r>
    </w:p>
    <w:p>
      <w:pPr>
        <w:spacing w:before="360" w:after="80" w:line="276" w:lineRule="auto"/>
        <w:jc w:val="left"/>
      </w:pPr>
      <w:r>
        <w:rPr>
          <w:rFonts w:ascii="Cambria" w:hAnsi="Cambria"/>
          <w:color w:val="000000"/>
          <w:sz w:val="20"/>
        </w:rPr>
        <w:t>Variants in non-coding regions or deep intronic sequences are not assessed in this assay.</w:t>
      </w:r>
    </w:p>
    <w:p>
      <w:pPr>
        <w:spacing w:before="80" w:after="80" w:line="276" w:lineRule="auto"/>
        <w:jc w:val="left"/>
      </w:pPr>
      <w:r>
        <w:rPr>
          <w:rFonts w:ascii="Cambria" w:hAnsi="Cambria"/>
          <w:color w:val="000000"/>
          <w:sz w:val="20"/>
        </w:rPr>
        <w:t>This assay is under the scope of NABL as </w:t>
      </w:r>
      <w:r>
        <w:rPr>
          <w:rFonts w:ascii="Cambria" w:hAnsi="Cambria"/>
          <w:color w:val="000000"/>
          <w:sz w:val="20"/>
          <w:highlight w:val="yellow"/>
        </w:rPr>
        <w:t xml:space="preserve">TEST NAME</w:t>
      </w:r>
      <w:r>
        <w:rPr>
          <w:rFonts w:ascii="Cambria" w:hAnsi="Cambria"/>
          <w:color w:val="000000"/>
          <w:sz w:val="20"/>
        </w:rPr>
        <w:t xml:space="preserve">.</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0"/>
              </w:rPr>
              <w:t>DNA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AKT1</w:t>
            </w:r>
          </w:p>
        </w:tc>
        <w:tc>
          <w:tcPr>
            <w:tcW w:type="dxa" w:w="2004"/>
            <w:tcMar>
              <w:top w:w="60" w:type="dxa"/>
              <w:bottom w:w="60" w:type="dxa"/>
              <w:start w:w="80" w:type="dxa"/>
              <w:end w:w="80" w:type="dxa"/>
            </w:tcMar>
          </w:tcPr>
          <w:p>
            <w:pPr>
              <w:jc w:val="left"/>
            </w:pPr>
            <w:r>
              <w:rPr>
                <w:rFonts w:ascii="Cambria" w:hAnsi="Cambria"/>
                <w:b w:val="0"/>
                <w:i w:val="0"/>
                <w:color w:val="000000"/>
                <w:sz w:val="20"/>
              </w:rPr>
              <w:t>ALK</w:t>
            </w:r>
          </w:p>
        </w:tc>
        <w:tc>
          <w:tcPr>
            <w:tcW w:type="dxa" w:w="2004"/>
            <w:tcMar>
              <w:top w:w="60" w:type="dxa"/>
              <w:bottom w:w="60" w:type="dxa"/>
              <w:start w:w="80" w:type="dxa"/>
              <w:end w:w="80" w:type="dxa"/>
            </w:tcMar>
          </w:tcPr>
          <w:p>
            <w:pPr>
              <w:jc w:val="center"/>
            </w:pPr>
            <w:r>
              <w:rPr>
                <w:rFonts w:ascii="Cambria" w:hAnsi="Cambria"/>
                <w:b w:val="0"/>
                <w:i w:val="0"/>
                <w:color w:val="000000"/>
                <w:sz w:val="20"/>
              </w:rPr>
              <w:t>APC</w:t>
            </w:r>
          </w:p>
        </w:tc>
        <w:tc>
          <w:tcPr>
            <w:tcW w:type="dxa" w:w="2004"/>
            <w:tcMar>
              <w:top w:w="60" w:type="dxa"/>
              <w:bottom w:w="60" w:type="dxa"/>
              <w:start w:w="80" w:type="dxa"/>
              <w:end w:w="80" w:type="dxa"/>
            </w:tcMar>
          </w:tcPr>
          <w:p>
            <w:pPr>
              <w:jc w:val="left"/>
            </w:pPr>
            <w:r>
              <w:rPr>
                <w:rFonts w:ascii="Cambria" w:hAnsi="Cambria"/>
                <w:b w:val="0"/>
                <w:i w:val="0"/>
                <w:color w:val="000000"/>
                <w:sz w:val="20"/>
              </w:rPr>
              <w:t>ATM</w:t>
            </w:r>
          </w:p>
        </w:tc>
        <w:tc>
          <w:tcPr>
            <w:tcW w:type="dxa" w:w="2004"/>
            <w:tcMar>
              <w:top w:w="60" w:type="dxa"/>
              <w:bottom w:w="60" w:type="dxa"/>
              <w:start w:w="80" w:type="dxa"/>
              <w:end w:w="80" w:type="dxa"/>
            </w:tcMar>
          </w:tcPr>
          <w:p>
            <w:pPr>
              <w:jc w:val="right"/>
            </w:pPr>
            <w:r>
              <w:rPr>
                <w:rFonts w:ascii="Cambria" w:hAnsi="Cambria"/>
                <w:b w:val="0"/>
                <w:i w:val="0"/>
                <w:color w:val="000000"/>
                <w:sz w:val="20"/>
              </w:rPr>
              <w:t>BARD1</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BRAF</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BRCA1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BRCA2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BRIP1</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CDK12</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CDKN2A</w:t>
            </w:r>
          </w:p>
        </w:tc>
        <w:tc>
          <w:tcPr>
            <w:tcW w:type="dxa" w:w="2004"/>
            <w:tcMar>
              <w:top w:w="60" w:type="dxa"/>
              <w:bottom w:w="60" w:type="dxa"/>
              <w:start w:w="80" w:type="dxa"/>
              <w:end w:w="80" w:type="dxa"/>
            </w:tcMar>
          </w:tcPr>
          <w:p>
            <w:pPr>
              <w:jc w:val="left"/>
            </w:pPr>
            <w:r>
              <w:rPr>
                <w:rFonts w:ascii="Cambria" w:hAnsi="Cambria"/>
                <w:b w:val="0"/>
                <w:i w:val="0"/>
                <w:color w:val="000000"/>
                <w:sz w:val="20"/>
              </w:rPr>
              <w:t>CHEK1</w:t>
            </w:r>
          </w:p>
        </w:tc>
        <w:tc>
          <w:tcPr>
            <w:tcW w:type="dxa" w:w="2004"/>
            <w:tcMar>
              <w:top w:w="60" w:type="dxa"/>
              <w:bottom w:w="60" w:type="dxa"/>
              <w:start w:w="80" w:type="dxa"/>
              <w:end w:w="80" w:type="dxa"/>
            </w:tcMar>
          </w:tcPr>
          <w:p>
            <w:pPr>
              <w:jc w:val="center"/>
            </w:pPr>
            <w:r>
              <w:rPr>
                <w:rFonts w:ascii="Cambria" w:hAnsi="Cambria"/>
                <w:b w:val="0"/>
                <w:i w:val="0"/>
                <w:color w:val="000000"/>
                <w:sz w:val="20"/>
              </w:rPr>
              <w:t>CHEK2</w:t>
            </w:r>
          </w:p>
        </w:tc>
        <w:tc>
          <w:tcPr>
            <w:tcW w:type="dxa" w:w="2004"/>
            <w:tcMar>
              <w:top w:w="60" w:type="dxa"/>
              <w:bottom w:w="60" w:type="dxa"/>
              <w:start w:w="80" w:type="dxa"/>
              <w:end w:w="80" w:type="dxa"/>
            </w:tcMar>
          </w:tcPr>
          <w:p>
            <w:pPr>
              <w:jc w:val="left"/>
            </w:pPr>
            <w:r>
              <w:rPr>
                <w:rFonts w:ascii="Cambria" w:hAnsi="Cambria"/>
                <w:b w:val="0"/>
                <w:i w:val="0"/>
                <w:color w:val="000000"/>
                <w:sz w:val="20"/>
              </w:rPr>
              <w:t>CTNNB1</w:t>
            </w:r>
          </w:p>
        </w:tc>
        <w:tc>
          <w:tcPr>
            <w:tcW w:type="dxa" w:w="2004"/>
            <w:tcMar>
              <w:top w:w="60" w:type="dxa"/>
              <w:bottom w:w="60" w:type="dxa"/>
              <w:start w:w="80" w:type="dxa"/>
              <w:end w:w="80" w:type="dxa"/>
            </w:tcMar>
          </w:tcPr>
          <w:p>
            <w:pPr>
              <w:jc w:val="right"/>
            </w:pPr>
            <w:r>
              <w:rPr>
                <w:rFonts w:ascii="Cambria" w:hAnsi="Cambria"/>
                <w:b w:val="0"/>
                <w:i w:val="0"/>
                <w:color w:val="000000"/>
                <w:sz w:val="20"/>
              </w:rPr>
              <w:t>EGFR</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ERBB2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ERBB3</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ESR1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FANCA</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FANCD2</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FANCL</w:t>
            </w:r>
          </w:p>
        </w:tc>
        <w:tc>
          <w:tcPr>
            <w:tcW w:type="dxa" w:w="2004"/>
            <w:tcMar>
              <w:top w:w="60" w:type="dxa"/>
              <w:bottom w:w="60" w:type="dxa"/>
              <w:start w:w="80" w:type="dxa"/>
              <w:end w:w="80" w:type="dxa"/>
            </w:tcMar>
          </w:tcPr>
          <w:p>
            <w:pPr>
              <w:jc w:val="left"/>
            </w:pPr>
            <w:r>
              <w:rPr>
                <w:rFonts w:ascii="Cambria" w:hAnsi="Cambria"/>
                <w:b w:val="0"/>
                <w:i w:val="0"/>
                <w:color w:val="000000"/>
                <w:sz w:val="20"/>
              </w:rPr>
              <w:t>FGFR3</w:t>
            </w:r>
          </w:p>
        </w:tc>
        <w:tc>
          <w:tcPr>
            <w:tcW w:type="dxa" w:w="2004"/>
            <w:tcMar>
              <w:top w:w="60" w:type="dxa"/>
              <w:bottom w:w="60" w:type="dxa"/>
              <w:start w:w="80" w:type="dxa"/>
              <w:end w:w="80" w:type="dxa"/>
            </w:tcMar>
          </w:tcPr>
          <w:p>
            <w:pPr>
              <w:jc w:val="center"/>
            </w:pPr>
            <w:r>
              <w:rPr>
                <w:rFonts w:ascii="Cambria" w:hAnsi="Cambria"/>
                <w:b w:val="0"/>
                <w:i w:val="0"/>
                <w:color w:val="000000"/>
                <w:sz w:val="20"/>
              </w:rPr>
              <w:t>FOXL2</w:t>
            </w:r>
          </w:p>
        </w:tc>
        <w:tc>
          <w:tcPr>
            <w:tcW w:type="dxa" w:w="2004"/>
            <w:tcMar>
              <w:top w:w="60" w:type="dxa"/>
              <w:bottom w:w="60" w:type="dxa"/>
              <w:start w:w="80" w:type="dxa"/>
              <w:end w:w="80" w:type="dxa"/>
            </w:tcMar>
          </w:tcPr>
          <w:p>
            <w:pPr>
              <w:jc w:val="left"/>
            </w:pPr>
            <w:r>
              <w:rPr>
                <w:rFonts w:ascii="Cambria" w:hAnsi="Cambria"/>
                <w:b w:val="0"/>
                <w:i w:val="0"/>
                <w:color w:val="000000"/>
                <w:sz w:val="20"/>
              </w:rPr>
              <w:t>GNA11</w:t>
            </w:r>
          </w:p>
        </w:tc>
        <w:tc>
          <w:tcPr>
            <w:tcW w:type="dxa" w:w="2004"/>
            <w:tcMar>
              <w:top w:w="60" w:type="dxa"/>
              <w:bottom w:w="60" w:type="dxa"/>
              <w:start w:w="80" w:type="dxa"/>
              <w:end w:w="80" w:type="dxa"/>
            </w:tcMar>
          </w:tcPr>
          <w:p>
            <w:pPr>
              <w:jc w:val="right"/>
            </w:pPr>
            <w:r>
              <w:rPr>
                <w:rFonts w:ascii="Cambria" w:hAnsi="Cambria"/>
                <w:b w:val="0"/>
                <w:i w:val="0"/>
                <w:color w:val="000000"/>
                <w:sz w:val="20"/>
              </w:rPr>
              <w:t>GNAQ</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HRAS</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IDH1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IDH2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KIT</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KRAS</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MET</w:t>
            </w:r>
          </w:p>
        </w:tc>
        <w:tc>
          <w:tcPr>
            <w:tcW w:type="dxa" w:w="2004"/>
            <w:tcMar>
              <w:top w:w="60" w:type="dxa"/>
              <w:bottom w:w="60" w:type="dxa"/>
              <w:start w:w="80" w:type="dxa"/>
              <w:end w:w="80" w:type="dxa"/>
            </w:tcMar>
          </w:tcPr>
          <w:p>
            <w:pPr>
              <w:jc w:val="left"/>
            </w:pPr>
            <w:r>
              <w:rPr>
                <w:rFonts w:ascii="Cambria" w:hAnsi="Cambria"/>
                <w:b w:val="0"/>
                <w:i w:val="0"/>
                <w:color w:val="000000"/>
                <w:sz w:val="20"/>
              </w:rPr>
              <w:t>MRE11A</w:t>
            </w:r>
          </w:p>
        </w:tc>
        <w:tc>
          <w:tcPr>
            <w:tcW w:type="dxa" w:w="2004"/>
            <w:tcMar>
              <w:top w:w="60" w:type="dxa"/>
              <w:bottom w:w="60" w:type="dxa"/>
              <w:start w:w="80" w:type="dxa"/>
              <w:end w:w="80" w:type="dxa"/>
            </w:tcMar>
          </w:tcPr>
          <w:p>
            <w:pPr>
              <w:jc w:val="center"/>
            </w:pPr>
            <w:r>
              <w:rPr>
                <w:rFonts w:ascii="Cambria" w:hAnsi="Cambria"/>
                <w:b w:val="0"/>
                <w:i w:val="0"/>
                <w:color w:val="000000"/>
                <w:sz w:val="20"/>
              </w:rPr>
              <w:t>NBN</w:t>
            </w:r>
          </w:p>
        </w:tc>
        <w:tc>
          <w:tcPr>
            <w:tcW w:type="dxa" w:w="2004"/>
            <w:tcMar>
              <w:top w:w="60" w:type="dxa"/>
              <w:bottom w:w="60" w:type="dxa"/>
              <w:start w:w="80" w:type="dxa"/>
              <w:end w:w="80" w:type="dxa"/>
            </w:tcMar>
          </w:tcPr>
          <w:p>
            <w:pPr>
              <w:jc w:val="left"/>
            </w:pPr>
            <w:r>
              <w:rPr>
                <w:rFonts w:ascii="Cambria" w:hAnsi="Cambria"/>
                <w:b w:val="0"/>
                <w:i w:val="0"/>
                <w:color w:val="000000"/>
                <w:sz w:val="20"/>
              </w:rPr>
              <w:t>NF1</w:t>
            </w:r>
          </w:p>
        </w:tc>
        <w:tc>
          <w:tcPr>
            <w:tcW w:type="dxa" w:w="2004"/>
            <w:tcMar>
              <w:top w:w="60" w:type="dxa"/>
              <w:bottom w:w="60" w:type="dxa"/>
              <w:start w:w="80" w:type="dxa"/>
              <w:end w:w="80" w:type="dxa"/>
            </w:tcMar>
          </w:tcPr>
          <w:p>
            <w:pPr>
              <w:jc w:val="right"/>
            </w:pPr>
            <w:r>
              <w:rPr>
                <w:rFonts w:ascii="Cambria" w:hAnsi="Cambria"/>
                <w:b w:val="0"/>
                <w:i w:val="0"/>
                <w:color w:val="000000"/>
                <w:sz w:val="20"/>
              </w:rPr>
              <w:t>NF2</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NRAS</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NTRK1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NTRK2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NTRK3</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PALB2</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PDGFRA</w:t>
            </w:r>
          </w:p>
        </w:tc>
        <w:tc>
          <w:tcPr>
            <w:tcW w:type="dxa" w:w="2004"/>
            <w:tcMar>
              <w:top w:w="60" w:type="dxa"/>
              <w:bottom w:w="60" w:type="dxa"/>
              <w:start w:w="80" w:type="dxa"/>
              <w:end w:w="80" w:type="dxa"/>
            </w:tcMar>
          </w:tcPr>
          <w:p>
            <w:pPr>
              <w:jc w:val="left"/>
            </w:pPr>
            <w:r>
              <w:rPr>
                <w:rFonts w:ascii="Cambria" w:hAnsi="Cambria"/>
                <w:b w:val="0"/>
                <w:i w:val="0"/>
                <w:color w:val="000000"/>
                <w:sz w:val="20"/>
              </w:rPr>
              <w:t>PIK3CA</w:t>
            </w:r>
          </w:p>
        </w:tc>
        <w:tc>
          <w:tcPr>
            <w:tcW w:type="dxa" w:w="2004"/>
            <w:tcMar>
              <w:top w:w="60" w:type="dxa"/>
              <w:bottom w:w="60" w:type="dxa"/>
              <w:start w:w="80" w:type="dxa"/>
              <w:end w:w="80" w:type="dxa"/>
            </w:tcMar>
          </w:tcPr>
          <w:p>
            <w:pPr>
              <w:jc w:val="center"/>
            </w:pPr>
            <w:r>
              <w:rPr>
                <w:rFonts w:ascii="Cambria" w:hAnsi="Cambria"/>
                <w:b w:val="0"/>
                <w:i w:val="0"/>
                <w:color w:val="000000"/>
                <w:sz w:val="20"/>
              </w:rPr>
              <w:t>POLD1</w:t>
            </w:r>
          </w:p>
        </w:tc>
        <w:tc>
          <w:tcPr>
            <w:tcW w:type="dxa" w:w="2004"/>
            <w:tcMar>
              <w:top w:w="60" w:type="dxa"/>
              <w:bottom w:w="60" w:type="dxa"/>
              <w:start w:w="80" w:type="dxa"/>
              <w:end w:w="80" w:type="dxa"/>
            </w:tcMar>
          </w:tcPr>
          <w:p>
            <w:pPr>
              <w:jc w:val="left"/>
            </w:pPr>
            <w:r>
              <w:rPr>
                <w:rFonts w:ascii="Cambria" w:hAnsi="Cambria"/>
                <w:b w:val="0"/>
                <w:i w:val="0"/>
                <w:color w:val="000000"/>
                <w:sz w:val="20"/>
              </w:rPr>
              <w:t>POLE</w:t>
            </w:r>
          </w:p>
        </w:tc>
        <w:tc>
          <w:tcPr>
            <w:tcW w:type="dxa" w:w="2004"/>
            <w:tcMar>
              <w:top w:w="60" w:type="dxa"/>
              <w:bottom w:w="60" w:type="dxa"/>
              <w:start w:w="80" w:type="dxa"/>
              <w:end w:w="80" w:type="dxa"/>
            </w:tcMar>
          </w:tcPr>
          <w:p>
            <w:pPr>
              <w:jc w:val="right"/>
            </w:pPr>
            <w:r>
              <w:rPr>
                <w:rFonts w:ascii="Cambria" w:hAnsi="Cambria"/>
                <w:b w:val="0"/>
                <w:i w:val="0"/>
                <w:color w:val="000000"/>
                <w:sz w:val="20"/>
              </w:rPr>
              <w:t>PPP2R2A</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PTEN</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RAD50</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RAD51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RAD51B</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RAD51C</w:t>
            </w:r>
          </w:p>
        </w:tc>
      </w:tr>
    </w:tbl>
    <w:p>
      <w:pPr>
        <w:spacing w:before="0" w:after="120" w:line="20" w:lineRule="exact"/>
      </w:pPr>
      <w:r>
        <w:rPr>
          <w:sz w:val="2"/>
        </w:rPr>
      </w:r>
    </w:p>
    <w:p>
      <w:pPr>
        <w:spacing w:before="23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val="0"/>
                <w:color w:val="000000"/>
                <w:sz w:val="20"/>
              </w:rPr>
              <w:t>DNA Gene List</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2</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3</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4</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RAD51D</w:t>
            </w:r>
          </w:p>
        </w:tc>
        <w:tc>
          <w:tcPr>
            <w:tcW w:type="dxa" w:w="2004"/>
            <w:tcMar>
              <w:top w:w="60" w:type="dxa"/>
              <w:bottom w:w="60" w:type="dxa"/>
              <w:start w:w="80" w:type="dxa"/>
              <w:end w:w="80" w:type="dxa"/>
            </w:tcMar>
          </w:tcPr>
          <w:p>
            <w:pPr>
              <w:jc w:val="left"/>
            </w:pPr>
            <w:r>
              <w:rPr>
                <w:rFonts w:ascii="Cambria" w:hAnsi="Cambria"/>
                <w:b w:val="0"/>
                <w:i w:val="0"/>
                <w:color w:val="000000"/>
                <w:sz w:val="20"/>
              </w:rPr>
              <w:t>RAD52</w:t>
            </w:r>
          </w:p>
        </w:tc>
        <w:tc>
          <w:tcPr>
            <w:tcW w:type="dxa" w:w="2004"/>
            <w:tcMar>
              <w:top w:w="60" w:type="dxa"/>
              <w:bottom w:w="60" w:type="dxa"/>
              <w:start w:w="80" w:type="dxa"/>
              <w:end w:w="80" w:type="dxa"/>
            </w:tcMar>
          </w:tcPr>
          <w:p>
            <w:pPr>
              <w:jc w:val="center"/>
            </w:pPr>
            <w:r>
              <w:rPr>
                <w:rFonts w:ascii="Cambria" w:hAnsi="Cambria"/>
                <w:b w:val="0"/>
                <w:i w:val="0"/>
                <w:color w:val="000000"/>
                <w:sz w:val="20"/>
              </w:rPr>
              <w:t>RAD54L</w:t>
            </w:r>
          </w:p>
        </w:tc>
        <w:tc>
          <w:tcPr>
            <w:tcW w:type="dxa" w:w="2004"/>
            <w:tcMar>
              <w:top w:w="60" w:type="dxa"/>
              <w:bottom w:w="60" w:type="dxa"/>
              <w:start w:w="80" w:type="dxa"/>
              <w:end w:w="80" w:type="dxa"/>
            </w:tcMar>
          </w:tcPr>
          <w:p>
            <w:pPr>
              <w:jc w:val="left"/>
            </w:pPr>
            <w:r>
              <w:rPr>
                <w:rFonts w:ascii="Cambria" w:hAnsi="Cambria"/>
                <w:b w:val="0"/>
                <w:i w:val="0"/>
                <w:color w:val="000000"/>
                <w:sz w:val="20"/>
              </w:rPr>
              <w:t>RAF1</w:t>
            </w:r>
          </w:p>
        </w:tc>
        <w:tc>
          <w:tcPr>
            <w:tcW w:type="dxa" w:w="2004"/>
            <w:tcMar>
              <w:top w:w="60" w:type="dxa"/>
              <w:bottom w:w="60" w:type="dxa"/>
              <w:start w:w="80" w:type="dxa"/>
              <w:end w:w="80" w:type="dxa"/>
            </w:tcMar>
          </w:tcPr>
          <w:p>
            <w:pPr>
              <w:jc w:val="right"/>
            </w:pPr>
            <w:r>
              <w:rPr>
                <w:rFonts w:ascii="Cambria" w:hAnsi="Cambria"/>
                <w:b w:val="0"/>
                <w:i w:val="0"/>
                <w:color w:val="000000"/>
                <w:sz w:val="20"/>
              </w:rPr>
              <w:t>RET</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ROS1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SDHA</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SDHB</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SDHC</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SDHD</w:t>
            </w:r>
          </w:p>
        </w:tc>
      </w:tr>
      <w:tr>
        <w:trPr>
          <w:cantSplit w:val="true"/>
        </w:trPr>
        <w:tc>
          <w:tcPr>
            <w:tcW w:type="dxa" w:w="2451"/>
            <w:tcMar>
              <w:top w:w="60" w:type="dxa"/>
              <w:bottom w:w="60" w:type="dxa"/>
              <w:start w:w="80" w:type="dxa"/>
              <w:end w:w="80" w:type="dxa"/>
            </w:tcMar>
          </w:tcPr>
          <w:p>
            <w:pPr>
              <w:jc w:val="left"/>
            </w:pPr>
            <w:r>
              <w:rPr>
                <w:rFonts w:ascii="Times New Roman" w:hAnsi="Times New Roman"/>
                <w:b w:val="0"/>
                <w:i w:val="0"/>
                <w:color w:val="000000"/>
                <w:sz w:val="19"/>
              </w:rPr>
              <w:t>STK11</w:t>
            </w:r>
          </w:p>
        </w:tc>
        <w:tc>
          <w:tcPr>
            <w:tcW w:type="dxa" w:w="2004"/>
            <w:tcMar>
              <w:top w:w="60" w:type="dxa"/>
              <w:bottom w:w="60" w:type="dxa"/>
              <w:start w:w="80" w:type="dxa"/>
              <w:end w:w="80" w:type="dxa"/>
            </w:tcMar>
          </w:tcPr>
          <w:p>
            <w:pPr>
              <w:jc w:val="left"/>
            </w:pPr>
            <w:r>
              <w:rPr>
                <w:rFonts w:ascii="Times New Roman" w:hAnsi="Times New Roman"/>
                <w:b w:val="0"/>
                <w:i w:val="0"/>
                <w:color w:val="000000"/>
                <w:sz w:val="19"/>
              </w:rPr>
              <w:t>TERT</w:t>
            </w:r>
          </w:p>
        </w:tc>
        <w:tc>
          <w:tcPr>
            <w:tcW w:type="dxa" w:w="2004"/>
            <w:tcMar>
              <w:top w:w="60" w:type="dxa"/>
              <w:bottom w:w="60" w:type="dxa"/>
              <w:start w:w="80" w:type="dxa"/>
              <w:end w:w="80" w:type="dxa"/>
            </w:tcMar>
          </w:tcPr>
          <w:p>
            <w:pPr>
              <w:jc w:val="left"/>
            </w:pPr>
            <w:r>
              <w:rPr>
                <w:rFonts w:ascii="Times New Roman" w:hAnsi="Times New Roman"/>
                <w:b w:val="0"/>
                <w:i w:val="0"/>
                <w:color w:val="000000"/>
                <w:sz w:val="19"/>
              </w:rPr>
              <w:t>TP53</w:t>
            </w:r>
          </w:p>
        </w:tc>
        <w:tc>
          <w:tcPr>
            <w:tcW w:type="dxa" w:w="2004"/>
            <w:tcMar>
              <w:top w:w="60" w:type="dxa"/>
              <w:bottom w:w="60" w:type="dxa"/>
              <w:start w:w="80" w:type="dxa"/>
              <w:end w:w="80" w:type="dxa"/>
            </w:tcMar>
          </w:tcPr>
          <w:p>
            <w:pPr>
              <w:jc w:val="left"/>
            </w:pPr>
            <w:r>
              <w:rPr>
                <w:rFonts w:ascii="Times New Roman" w:hAnsi="Times New Roman"/>
                <w:b w:val="0"/>
                <w:i w:val="0"/>
                <w:color w:val="000000"/>
                <w:sz w:val="19"/>
              </w:rPr>
              <w:t>VHL</w:t>
            </w:r>
          </w:p>
        </w:tc>
        <w:tc>
          <w:tcPr>
            <w:tcW w:type="dxa" w:w="2004"/>
            <w:tcMar>
              <w:top w:w="60" w:type="dxa"/>
              <w:bottom w:w="60" w:type="dxa"/>
              <w:start w:w="80" w:type="dxa"/>
              <w:end w:w="80" w:type="dxa"/>
            </w:tcMar>
          </w:tcPr>
          <w:p>
            <w:pPr>
              <w:jc w:val="left"/>
            </w:pPr>
            <w:r>
              <w:rPr>
                <w:rFonts w:ascii="Times New Roman" w:hAnsi="Times New Roman"/>
                <w:b w:val="0"/>
                <w:i w:val="0"/>
                <w:color w:val="000000"/>
                <w:sz w:val="19"/>
              </w:rPr>
              <w:t>XRCC2</w:t>
            </w:r>
          </w:p>
        </w:tc>
      </w:tr>
    </w:tbl>
    <w:p>
      <w:pPr>
        <w:spacing w:before="0" w:after="120" w:line="20" w:lineRule="exact"/>
      </w:pPr>
      <w:r>
        <w:rPr>
          <w:sz w:val="2"/>
        </w:rPr>
      </w:r>
    </w:p>
    <w:p>
      <w:pPr>
        <w:spacing w:before="0" w:after="27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0"/>
              </w:rPr>
              <w:t>RNA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ALK</w:t>
            </w:r>
          </w:p>
        </w:tc>
        <w:tc>
          <w:tcPr>
            <w:tcW w:type="dxa" w:w="2004"/>
            <w:tcMar>
              <w:top w:w="60" w:type="dxa"/>
              <w:bottom w:w="60" w:type="dxa"/>
              <w:start w:w="80" w:type="dxa"/>
              <w:end w:w="80" w:type="dxa"/>
            </w:tcMar>
          </w:tcPr>
          <w:p>
            <w:pPr>
              <w:jc w:val="left"/>
            </w:pPr>
            <w:r>
              <w:rPr>
                <w:rFonts w:ascii="Cambria" w:hAnsi="Cambria"/>
                <w:b w:val="0"/>
                <w:i w:val="0"/>
                <w:color w:val="000000"/>
                <w:sz w:val="20"/>
              </w:rPr>
              <w:t>EML4</w:t>
            </w:r>
          </w:p>
        </w:tc>
        <w:tc>
          <w:tcPr>
            <w:tcW w:type="dxa" w:w="2004"/>
            <w:tcMar>
              <w:top w:w="60" w:type="dxa"/>
              <w:bottom w:w="60" w:type="dxa"/>
              <w:start w:w="80" w:type="dxa"/>
              <w:end w:w="80" w:type="dxa"/>
            </w:tcMar>
          </w:tcPr>
          <w:p>
            <w:pPr>
              <w:jc w:val="center"/>
            </w:pPr>
            <w:r>
              <w:rPr>
                <w:rFonts w:ascii="Cambria" w:hAnsi="Cambria"/>
                <w:b w:val="0"/>
                <w:i w:val="0"/>
                <w:color w:val="000000"/>
                <w:sz w:val="20"/>
              </w:rPr>
              <w:t>NTRK1</w:t>
            </w:r>
          </w:p>
        </w:tc>
        <w:tc>
          <w:tcPr>
            <w:tcW w:type="dxa" w:w="2004"/>
            <w:tcMar>
              <w:top w:w="60" w:type="dxa"/>
              <w:bottom w:w="60" w:type="dxa"/>
              <w:start w:w="80" w:type="dxa"/>
              <w:end w:w="80" w:type="dxa"/>
            </w:tcMar>
          </w:tcPr>
          <w:p>
            <w:pPr>
              <w:jc w:val="left"/>
            </w:pPr>
            <w:r>
              <w:rPr>
                <w:rFonts w:ascii="Cambria" w:hAnsi="Cambria"/>
                <w:b w:val="0"/>
                <w:i w:val="0"/>
                <w:color w:val="000000"/>
                <w:sz w:val="20"/>
              </w:rPr>
              <w:t>NTRK2</w:t>
            </w:r>
          </w:p>
        </w:tc>
        <w:tc>
          <w:tcPr>
            <w:tcW w:type="dxa" w:w="2004"/>
            <w:tcMar>
              <w:top w:w="60" w:type="dxa"/>
              <w:bottom w:w="60" w:type="dxa"/>
              <w:start w:w="80" w:type="dxa"/>
              <w:end w:w="80" w:type="dxa"/>
            </w:tcMar>
          </w:tcPr>
          <w:p>
            <w:pPr>
              <w:jc w:val="right"/>
            </w:pPr>
            <w:r>
              <w:rPr>
                <w:rFonts w:ascii="Cambria" w:hAnsi="Cambria"/>
                <w:b w:val="0"/>
                <w:i w:val="0"/>
                <w:color w:val="000000"/>
                <w:sz w:val="20"/>
              </w:rPr>
              <w:t>NTRK3</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ROS1</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center"/>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2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5668"/>
            <w:shd w:val="clear" w:color="auto" w:fill="008080"/>
            <w:tcMar>
              <w:top w:w="60" w:type="dxa"/>
              <w:bottom w:w="60" w:type="dxa"/>
              <w:start w:w="80" w:type="dxa"/>
              <w:end w:w="80" w:type="dxa"/>
            </w:tcMar>
          </w:tcPr>
          <w:p>
            <w:pPr>
              <w:jc w:val="center"/>
            </w:pPr>
            <w:r>
              <w:rPr>
                <w:rFonts w:ascii="Cambria" w:hAnsi="Cambria"/>
                <w:b/>
                <w:color w:val="FFFFFF"/>
                <w:sz w:val="20"/>
              </w:rPr>
              <w:t>MSI</w:t>
            </w:r>
          </w:p>
        </w:tc>
        <w:tc>
          <w:tcPr>
            <w:tcW w:type="dxa" w:w="4798"/>
            <w:shd w:val="clear" w:color="auto" w:fill="008080"/>
            <w:tcMar>
              <w:top w:w="60" w:type="dxa"/>
              <w:bottom w:w="60" w:type="dxa"/>
              <w:start w:w="80" w:type="dxa"/>
              <w:end w:w="80" w:type="dxa"/>
            </w:tcMar>
          </w:tcPr>
          <w:p>
            <w:pPr>
              <w:jc w:val="center"/>
            </w:pPr>
            <w:r>
              <w:rPr>
                <w:rFonts w:ascii="Cambria" w:hAnsi="Cambria"/>
                <w:b/>
                <w:color w:val="FFFFFF"/>
                <w:sz w:val="20"/>
              </w:rPr>
              <w:t>% of Unstable Loci</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Stable</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0-19%</w:t>
            </w:r>
          </w:p>
        </w:tc>
      </w:tr>
      <w:tr>
        <w:trPr>
          <w:cantSplit w:val="true"/>
        </w:trPr>
        <w:tc>
          <w:tcPr>
            <w:tcW w:type="dxa" w:w="5668"/>
            <w:shd w:val="clear" w:color="auto" w:fill="f8fafc"/>
            <w:tcMar>
              <w:top w:w="60" w:type="dxa"/>
              <w:bottom w:w="60" w:type="dxa"/>
              <w:start w:w="80" w:type="dxa"/>
              <w:end w:w="80" w:type="dxa"/>
            </w:tcMar>
          </w:tcPr>
          <w:p>
            <w:pPr>
              <w:jc w:val="left"/>
            </w:pPr>
            <w:r>
              <w:rPr>
                <w:rFonts w:ascii="Cambria" w:hAnsi="Cambria"/>
                <w:b w:val="0"/>
                <w:i w:val="0"/>
                <w:color w:val="000000"/>
                <w:sz w:val="20"/>
              </w:rPr>
              <w:t>MSI - Low / Intermediate</w:t>
            </w:r>
          </w:p>
        </w:tc>
        <w:tc>
          <w:tcPr>
            <w:tcW w:type="dxa" w:w="4798"/>
            <w:shd w:val="clear" w:color="auto" w:fill="f8fafc"/>
            <w:tcMar>
              <w:top w:w="60" w:type="dxa"/>
              <w:bottom w:w="60" w:type="dxa"/>
              <w:start w:w="80" w:type="dxa"/>
              <w:end w:w="80" w:type="dxa"/>
            </w:tcMar>
          </w:tcPr>
          <w:p>
            <w:pPr>
              <w:jc w:val="right"/>
            </w:pPr>
            <w:r>
              <w:rPr>
                <w:rFonts w:ascii="Cambria" w:hAnsi="Cambria"/>
                <w:b w:val="0"/>
                <w:i w:val="0"/>
                <w:color w:val="000000"/>
                <w:sz w:val="20"/>
              </w:rPr>
              <w:t>20-30%</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High</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&gt;20%</w:t>
            </w:r>
          </w:p>
        </w:tc>
      </w:tr>
    </w:tbl>
    <w:p>
      <w:pPr>
        <w:spacing w:before="0" w:after="120" w:line="20" w:lineRule="exact"/>
      </w:pPr>
      <w:r>
        <w:rPr>
          <w:sz w:val="2"/>
        </w:rPr>
      </w:r>
    </w:p>
    <w:p>
      <w:pPr>
        <w:spacing w:before="0" w:after="28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471"/>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8994"/>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t>Tier IA</w:t>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Variants of Strong Clinical Significance: Biomarkers that predict response or resistance to US FDA-</w:t>
              <w:br/>
              <w:t>approved therapies for a specific type of tumor or have been included in professional guidelines as</w:t>
              <w:br/>
              <w:t>therapeutic, diagnostic, and/or prognostic biomarkers for specific types of tumors.</w:t>
            </w:r>
          </w:p>
        </w:tc>
      </w:tr>
      <w:tr>
        <w:trPr>
          <w:cantSplit w:val="true"/>
        </w:trPr>
        <w:tc>
          <w:tcPr>
            <w:tcW w:type="dxa" w:w="1471"/>
            <w:shd w:val="clear" w:color="auto" w:fill="f8fafc"/>
            <w:tcMar>
              <w:top w:w="60" w:type="dxa"/>
              <w:bottom w:w="60" w:type="dxa"/>
              <w:start w:w="80" w:type="dxa"/>
              <w:end w:w="80" w:type="dxa"/>
            </w:tcMar>
          </w:tcPr>
          <w:p>
            <w:pPr>
              <w:jc w:val="left"/>
            </w:pPr>
            <w:r>
              <w:rPr>
                <w:rFonts w:ascii="Cambria" w:hAnsi="Cambria"/>
                <w:b/>
                <w:i w:val="0"/>
                <w:color w:val="000000"/>
                <w:sz w:val="20"/>
              </w:rPr>
              <w:t>Tier IB</w:t>
            </w:r>
          </w:p>
        </w:tc>
        <w:tc>
          <w:tcPr>
            <w:tcW w:type="dxa" w:w="8994"/>
            <w:shd w:val="clear" w:color="auto" w:fill="f8fafc"/>
            <w:tcMar>
              <w:top w:w="60" w:type="dxa"/>
              <w:bottom w:w="60" w:type="dxa"/>
              <w:start w:w="80" w:type="dxa"/>
              <w:end w:w="80" w:type="dxa"/>
            </w:tcMar>
          </w:tcPr>
          <w:p>
            <w:pPr>
              <w:jc w:val="left"/>
            </w:pPr>
            <w:r>
              <w:rPr>
                <w:rFonts w:ascii="Cambria" w:hAnsi="Cambria"/>
                <w:b w:val="0"/>
                <w:i w:val="0"/>
                <w:color w:val="000000"/>
                <w:sz w:val="20"/>
              </w:rPr>
              <w:t>Variants of Strong Clinical Significance: Biomarkers that predict response or resistance to a therapy</w:t>
              <w:br/>
              <w:t>based on well-powered studies with consensus from experts in the field, or have diagnostic and/or</w:t>
              <w:br/>
              <w:t>prognostic significance of certain diseases based on well-powered studies with expert consensus.</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t>Tier IIC</w:t>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predict response or resistance to</w:t>
              <w:br/>
              <w:t>therapies approved by FDA or professional societies for a different tumor type (i.e., off-label use of a</w:t>
              <w:br/>
              <w:t>drug), serve as inclusion criteria for clinical trials, or have diagnostic and/or prognostic significance</w:t>
              <w:br/>
              <w:t>based on the results of multiple small studies.</w:t>
            </w:r>
          </w:p>
        </w:tc>
      </w:tr>
      <w:tr>
        <w:trPr>
          <w:cantSplit w:val="true"/>
        </w:trPr>
        <w:tc>
          <w:tcPr>
            <w:tcW w:type="dxa" w:w="1471"/>
            <w:shd w:val="clear" w:color="auto" w:fill="f8fafc"/>
            <w:tcMar>
              <w:top w:w="60" w:type="dxa"/>
              <w:bottom w:w="60" w:type="dxa"/>
              <w:start w:w="80" w:type="dxa"/>
              <w:end w:w="80" w:type="dxa"/>
            </w:tcMar>
          </w:tcPr>
          <w:p>
            <w:pPr>
              <w:jc w:val="left"/>
            </w:pPr>
            <w:r>
              <w:rPr>
                <w:rFonts w:ascii="Cambria" w:hAnsi="Cambria"/>
                <w:b/>
                <w:i w:val="0"/>
                <w:color w:val="000000"/>
                <w:sz w:val="20"/>
              </w:rPr>
              <w:t>Tier IID</w:t>
            </w:r>
          </w:p>
        </w:tc>
        <w:tc>
          <w:tcPr>
            <w:tcW w:type="dxa" w:w="8994"/>
            <w:shd w:val="clear" w:color="auto" w:fill="f8faf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show plausible therapeutic significance</w:t>
              <w:br/>
              <w:t>based on preclinical studies or may assist disease diagnosis and/or prognosis themselves or along</w:t>
              <w:br/>
              <w:t>with other biomarkers based on small studies or multiple case reports with no consensus.</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t>Tier III</w:t>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Variants of Unknown clinical significance (VUS): Not observed at a significant allele frequency in the</w:t>
              <w:br/>
              <w:t>general or specific subpopulation or pancancer or tumor specific variant databases. No convincing</w:t>
              <w:br/>
              <w:t>published evidence of cancer Association</w:t>
            </w:r>
          </w:p>
        </w:tc>
      </w:tr>
    </w:tbl>
    <w:p>
      <w:pPr>
        <w:spacing w:before="0" w:after="120" w:line="20" w:lineRule="exact"/>
      </w:pPr>
      <w:r>
        <w:rPr>
          <w:sz w:val="2"/>
        </w:rPr>
      </w:r>
    </w:p>
    <w:p>
      <w:pPr>
        <w:keepNext/>
        <w:spacing w:before="276" w:after="60"/>
        <w:jc w:val="left"/>
      </w:pPr>
      <w:r>
        <w:rPr>
          <w:rFonts w:ascii="Cambria" w:hAnsi="Cambria"/>
          <w:b/>
          <w:i w:val="0"/>
          <w:color w:val="1F497D"/>
          <w:sz w:val="20"/>
        </w:rPr>
        <w:t>References:</w:t>
      </w:r>
    </w:p>
    <w:p>
      <w:pPr>
        <w:spacing w:before="305" w:after="80" w:line="276" w:lineRule="auto"/>
        <w:jc w:val="left"/>
      </w:pPr>
      <w:r>
        <w:rPr>
          <w:rFonts w:ascii="Cambria" w:hAnsi="Cambria"/>
          <w:color w:val="000000"/>
          <w:sz w:val="20"/>
        </w:rPr>
        <w:t>1. Exome Aggregation Consortium et al. “Analysis of Protein-Coding Genetic Variation in 60,706 Humans.” Nature (2016) 536(7616): 285–291. PMID: 27535533. Page 4 of 5</w:t>
      </w:r>
    </w:p>
    <w:p>
      <w:pPr>
        <w:spacing w:before="0"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2. Forbes, Simon A., et al. "COSMIC: somatic cancer genetics at high-resolution." Nucleic Acids Research (2016) 45(D1): D777-D783. PMID: 27899578.</w:t>
      </w:r>
    </w:p>
    <w:p>
      <w:pPr>
        <w:spacing w:before="235" w:after="80" w:line="276" w:lineRule="auto"/>
        <w:jc w:val="left"/>
      </w:pPr>
      <w:r>
        <w:rPr>
          <w:rFonts w:ascii="Cambria" w:hAnsi="Cambria"/>
          <w:color w:val="000000"/>
          <w:sz w:val="20"/>
        </w:rPr>
        <w:t>3. Li, Marilyn M., et al. "Standards and guidelines for the interpretation and reporting of sequence variants in cancer: a joint consensus recommendation of the Association for Molecular Pathology, American Society of Clinical Oncology, and College of American Pathologists." The Journal of Molecular Diagnostics (2017) 19(1): 4-23. PMID: 27993330.</w:t>
      </w:r>
    </w:p>
    <w:p>
      <w:pPr>
        <w:spacing w:before="235" w:after="80" w:line="276" w:lineRule="auto"/>
        <w:jc w:val="left"/>
      </w:pPr>
      <w:r>
        <w:rPr>
          <w:rFonts w:ascii="Cambria" w:hAnsi="Cambria"/>
          <w:color w:val="1B1B1B"/>
          <w:sz w:val="20"/>
        </w:rPr>
        <w:t>4. Mamanova L, Coffey AJ, Scott CE, Kozarewa I, Turner EH, Kumar A, Howard E, Shendure J, Turner DJ: Target- enrichment strategies for next-generation sequencing. Nat Methods 2010, 7: 111–118</w:t>
      </w:r>
    </w:p>
    <w:p>
      <w:pPr>
        <w:spacing w:before="235" w:after="80" w:line="276" w:lineRule="auto"/>
        <w:jc w:val="left"/>
      </w:pPr>
      <w:r>
        <w:rPr>
          <w:rFonts w:ascii="Cambria" w:hAnsi="Cambria"/>
          <w:color w:val="000000"/>
          <w:sz w:val="20"/>
        </w:rPr>
        <w:t>5. Richards, Sue, et al. "Standards and guidelines for the interpretation of sequence variants: a joint consensus recommendation of the American College of Medical Genetics and Genomics and the Association for Molecular Pathology." Genetics in Medicine (2015) 17(5): 405. PMID: 25741868.</w:t>
      </w:r>
    </w:p>
    <w:p>
      <w:pPr>
        <w:spacing w:before="235" w:after="80" w:line="276" w:lineRule="auto"/>
        <w:jc w:val="left"/>
      </w:pPr>
      <w:r>
        <w:rPr>
          <w:rFonts w:ascii="Cambria" w:hAnsi="Cambria"/>
          <w:color w:val="000000"/>
          <w:sz w:val="20"/>
        </w:rPr>
        <w:t>6. The 1000 Genomes Project Consortium. “A Global Reference for Human Genetic Variation.” Nature (2015) 526(7571): 68–74. PMID: 26432245.</w:t>
      </w:r>
    </w:p>
    <w:p>
      <w:pPr>
        <w:spacing w:before="235" w:after="80" w:line="276" w:lineRule="auto"/>
        <w:jc w:val="left"/>
      </w:pPr>
      <w:r>
        <w:rPr>
          <w:rFonts w:ascii="Cambria" w:hAnsi="Cambria"/>
          <w:color w:val="1B1B1B"/>
          <w:sz w:val="20"/>
        </w:rPr>
        <w:t>7. Thusberg J, Olatubosun A, Vihinen M. Performance of mutation pathogenicity prediction methods on missense variants. Hum Mutat. 2011;32:358–368. doi: 10.1002/humu.21445.</w:t>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sectPr w:rsidR="00FC693F" w:rsidRPr="0006063C" w:rsidSect="00034616">
      <w:headerReference w:type="default" r:id="rId20"/>
      <w:footerReference w:type="default" r:id="rId21"/>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6.xml"/><Relationship Id="rId2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